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4F423" w14:textId="77777777" w:rsidR="00CD1C14" w:rsidRPr="00F55FD7" w:rsidRDefault="00CD1C14" w:rsidP="00F91193">
      <w:pPr>
        <w:spacing w:after="0"/>
        <w:rPr>
          <w:rFonts w:cs="Arial"/>
          <w:sz w:val="16"/>
          <w:szCs w:val="16"/>
        </w:rPr>
        <w:sectPr w:rsidR="00CD1C14" w:rsidRPr="00F55FD7" w:rsidSect="001254B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337" w:right="1440" w:bottom="1440" w:left="1440" w:header="426" w:footer="307" w:gutter="0"/>
          <w:cols w:space="708"/>
          <w:docGrid w:linePitch="360"/>
        </w:sectPr>
      </w:pPr>
      <w:bookmarkStart w:id="0" w:name="_GoBack"/>
      <w:bookmarkEnd w:id="0"/>
    </w:p>
    <w:p w14:paraId="6B74F424" w14:textId="77777777" w:rsidR="00CC108F" w:rsidRPr="00F55FD7" w:rsidRDefault="00CC108F" w:rsidP="00CC108F">
      <w:pPr>
        <w:pBdr>
          <w:top w:val="single" w:sz="4" w:space="1" w:color="D5DCE4" w:themeColor="text2" w:themeTint="33"/>
          <w:bottom w:val="single" w:sz="4" w:space="1" w:color="D5DCE4" w:themeColor="text2" w:themeTint="33"/>
        </w:pBdr>
        <w:rPr>
          <w:rFonts w:cs="Arial"/>
          <w:i/>
          <w:sz w:val="20"/>
          <w:szCs w:val="20"/>
          <w:lang w:val="en-AU"/>
        </w:rPr>
      </w:pPr>
      <w:r w:rsidRPr="00F55FD7">
        <w:rPr>
          <w:rFonts w:cs="Arial"/>
          <w:i/>
          <w:sz w:val="20"/>
          <w:szCs w:val="20"/>
          <w:lang w:val="en-AU"/>
        </w:rPr>
        <w:t xml:space="preserve">To enable a consistent approach to the </w:t>
      </w:r>
      <w:r w:rsidRPr="00F41D76">
        <w:rPr>
          <w:rFonts w:cs="Arial"/>
          <w:i/>
          <w:sz w:val="20"/>
          <w:szCs w:val="20"/>
          <w:lang w:val="en-AU"/>
        </w:rPr>
        <w:t>management of non-financial assets</w:t>
      </w:r>
      <w:r w:rsidRPr="00EC5577">
        <w:rPr>
          <w:rFonts w:cs="Arial"/>
          <w:i/>
          <w:sz w:val="20"/>
          <w:szCs w:val="20"/>
          <w:lang w:val="en-AU"/>
        </w:rPr>
        <w:t xml:space="preserve"> within </w:t>
      </w:r>
      <w:r w:rsidRPr="0055665E">
        <w:rPr>
          <w:rFonts w:cs="Arial"/>
          <w:i/>
          <w:sz w:val="20"/>
          <w:szCs w:val="20"/>
          <w:lang w:val="en-AU"/>
        </w:rPr>
        <w:t xml:space="preserve">the Great </w:t>
      </w:r>
      <w:r w:rsidRPr="00AD3FB3">
        <w:rPr>
          <w:rFonts w:cs="Arial"/>
          <w:i/>
          <w:sz w:val="20"/>
          <w:szCs w:val="20"/>
          <w:lang w:val="en-AU"/>
        </w:rPr>
        <w:t xml:space="preserve">Barrier </w:t>
      </w:r>
      <w:r w:rsidRPr="00BD2B73">
        <w:rPr>
          <w:rFonts w:cs="Arial"/>
          <w:i/>
          <w:sz w:val="20"/>
          <w:szCs w:val="20"/>
          <w:lang w:val="en-AU"/>
        </w:rPr>
        <w:t xml:space="preserve">Reef </w:t>
      </w:r>
      <w:r w:rsidRPr="00575808">
        <w:rPr>
          <w:rFonts w:cs="Arial"/>
          <w:i/>
          <w:sz w:val="20"/>
          <w:szCs w:val="20"/>
          <w:lang w:val="en-AU"/>
        </w:rPr>
        <w:t xml:space="preserve">Marine </w:t>
      </w:r>
      <w:r w:rsidRPr="005773B6">
        <w:rPr>
          <w:rFonts w:cs="Arial"/>
          <w:i/>
          <w:sz w:val="20"/>
          <w:szCs w:val="20"/>
          <w:lang w:val="en-AU"/>
        </w:rPr>
        <w:t>P</w:t>
      </w:r>
      <w:r w:rsidRPr="00234956">
        <w:rPr>
          <w:rFonts w:cs="Arial"/>
          <w:i/>
          <w:sz w:val="20"/>
          <w:szCs w:val="20"/>
          <w:lang w:val="en-AU"/>
        </w:rPr>
        <w:t xml:space="preserve">ark </w:t>
      </w:r>
      <w:r w:rsidRPr="007056D1">
        <w:rPr>
          <w:rFonts w:cs="Arial"/>
          <w:i/>
          <w:sz w:val="20"/>
          <w:szCs w:val="20"/>
          <w:lang w:val="en-AU"/>
        </w:rPr>
        <w:t>A</w:t>
      </w:r>
      <w:r w:rsidRPr="00AC3A52">
        <w:rPr>
          <w:rFonts w:cs="Arial"/>
          <w:i/>
          <w:sz w:val="20"/>
          <w:szCs w:val="20"/>
          <w:lang w:val="en-AU"/>
        </w:rPr>
        <w:t>uthority (‘the agency’</w:t>
      </w:r>
      <w:r w:rsidRPr="00F55FD7">
        <w:rPr>
          <w:rFonts w:cs="Arial"/>
          <w:i/>
          <w:sz w:val="20"/>
          <w:szCs w:val="20"/>
          <w:lang w:val="en-AU"/>
        </w:rPr>
        <w:t>)</w:t>
      </w:r>
    </w:p>
    <w:p w14:paraId="6B74F425" w14:textId="735716B2" w:rsidR="00F4276C" w:rsidRPr="00F55FD7" w:rsidRDefault="00CC108F" w:rsidP="005166D5">
      <w:pPr>
        <w:pBdr>
          <w:top w:val="single" w:sz="4" w:space="1" w:color="D5DCE4" w:themeColor="text2" w:themeTint="33"/>
          <w:bottom w:val="single" w:sz="4" w:space="1" w:color="D5DCE4" w:themeColor="text2" w:themeTint="33"/>
        </w:pBdr>
        <w:spacing w:after="0"/>
        <w:rPr>
          <w:rFonts w:cs="Arial"/>
          <w:i/>
          <w:sz w:val="20"/>
          <w:szCs w:val="20"/>
          <w:lang w:val="en-AU"/>
        </w:rPr>
      </w:pPr>
      <w:r w:rsidRPr="00F55FD7">
        <w:rPr>
          <w:rFonts w:cs="Arial"/>
          <w:i/>
          <w:sz w:val="20"/>
          <w:szCs w:val="20"/>
          <w:lang w:val="en-AU"/>
        </w:rPr>
        <w:t xml:space="preserve">Target audience: All </w:t>
      </w:r>
      <w:hyperlink w:anchor="Official" w:history="1">
        <w:r w:rsidRPr="004967B1">
          <w:rPr>
            <w:rStyle w:val="Hyperlink"/>
            <w:rFonts w:cs="Arial"/>
            <w:i/>
            <w:sz w:val="20"/>
            <w:szCs w:val="20"/>
            <w:lang w:val="en-AU"/>
          </w:rPr>
          <w:t>officials</w:t>
        </w:r>
      </w:hyperlink>
      <w:r w:rsidRPr="00F41D76">
        <w:rPr>
          <w:rFonts w:cs="Arial"/>
          <w:i/>
          <w:sz w:val="20"/>
          <w:szCs w:val="20"/>
          <w:lang w:val="en-AU"/>
        </w:rPr>
        <w:t xml:space="preserve"> and </w:t>
      </w:r>
      <w:hyperlink w:anchor="Contractor" w:history="1">
        <w:r w:rsidRPr="00F26CDE">
          <w:rPr>
            <w:rStyle w:val="Hyperlink"/>
            <w:rFonts w:cs="Arial"/>
            <w:i/>
            <w:sz w:val="20"/>
            <w:szCs w:val="20"/>
            <w:lang w:val="en-AU"/>
          </w:rPr>
          <w:t>contractors</w:t>
        </w:r>
      </w:hyperlink>
      <w:r w:rsidRPr="00F41D76">
        <w:rPr>
          <w:rFonts w:cs="Arial"/>
          <w:i/>
          <w:sz w:val="20"/>
          <w:szCs w:val="20"/>
          <w:lang w:val="en-AU"/>
        </w:rPr>
        <w:t xml:space="preserve"> </w:t>
      </w:r>
      <w:r w:rsidRPr="00F55FD7">
        <w:rPr>
          <w:rFonts w:cs="Arial"/>
          <w:i/>
          <w:sz w:val="20"/>
          <w:szCs w:val="20"/>
          <w:lang w:val="en-AU"/>
        </w:rPr>
        <w:t>of the agency who undertake paid or unpaid work.</w:t>
      </w:r>
    </w:p>
    <w:sdt>
      <w:sdtPr>
        <w:rPr>
          <w:rFonts w:ascii="Arial" w:eastAsia="Calibri" w:hAnsi="Arial" w:cs="Arial"/>
          <w:b w:val="0"/>
          <w:bCs w:val="0"/>
          <w:color w:val="auto"/>
          <w:sz w:val="22"/>
          <w:szCs w:val="22"/>
          <w:lang w:eastAsia="en-US"/>
        </w:rPr>
        <w:id w:val="2051112109"/>
        <w:docPartObj>
          <w:docPartGallery w:val="Table of Contents"/>
          <w:docPartUnique/>
        </w:docPartObj>
      </w:sdtPr>
      <w:sdtEndPr>
        <w:rPr>
          <w:noProof/>
        </w:rPr>
      </w:sdtEndPr>
      <w:sdtContent>
        <w:p w14:paraId="6B74F426" w14:textId="77777777" w:rsidR="006E5811" w:rsidRPr="004967B1" w:rsidRDefault="006E5811" w:rsidP="00F26CDE">
          <w:pPr>
            <w:pStyle w:val="TOCHeading"/>
            <w:spacing w:before="240" w:after="120"/>
            <w:rPr>
              <w:rStyle w:val="Heading1Char"/>
              <w:rFonts w:eastAsiaTheme="majorEastAsia"/>
            </w:rPr>
          </w:pPr>
          <w:r w:rsidRPr="004967B1">
            <w:rPr>
              <w:rStyle w:val="Heading1Char"/>
              <w:rFonts w:eastAsiaTheme="majorEastAsia"/>
            </w:rPr>
            <w:t>Contents</w:t>
          </w:r>
        </w:p>
        <w:p w14:paraId="6B74F427" w14:textId="283BDA30" w:rsidR="00F55FD7" w:rsidRDefault="006E5811">
          <w:pPr>
            <w:pStyle w:val="TOC1"/>
            <w:rPr>
              <w:rFonts w:asciiTheme="minorHAnsi" w:eastAsiaTheme="minorEastAsia" w:hAnsiTheme="minorHAnsi" w:cstheme="minorBidi"/>
              <w:b w:val="0"/>
              <w:lang w:val="en-AU" w:eastAsia="en-AU"/>
            </w:rPr>
          </w:pPr>
          <w:r w:rsidRPr="00F41D76">
            <w:rPr>
              <w:rFonts w:cs="Arial"/>
            </w:rPr>
            <w:fldChar w:fldCharType="begin"/>
          </w:r>
          <w:r w:rsidRPr="00AC3A52">
            <w:rPr>
              <w:rFonts w:cs="Arial"/>
            </w:rPr>
            <w:instrText xml:space="preserve"> TOC \o "1-3" \h \z \u </w:instrText>
          </w:r>
          <w:r w:rsidRPr="00F41D76">
            <w:rPr>
              <w:rFonts w:cs="Arial"/>
            </w:rPr>
            <w:fldChar w:fldCharType="separate"/>
          </w:r>
          <w:hyperlink w:anchor="_Toc417380690" w:history="1">
            <w:r w:rsidR="00F55FD7" w:rsidRPr="0046321F">
              <w:rPr>
                <w:rStyle w:val="Hyperlink"/>
                <w:rFonts w:cs="Arial"/>
              </w:rPr>
              <w:t>Purpose</w:t>
            </w:r>
            <w:r w:rsidR="00F55FD7">
              <w:rPr>
                <w:webHidden/>
              </w:rPr>
              <w:tab/>
            </w:r>
            <w:r w:rsidR="00F55FD7">
              <w:rPr>
                <w:webHidden/>
              </w:rPr>
              <w:fldChar w:fldCharType="begin"/>
            </w:r>
            <w:r w:rsidR="00F55FD7">
              <w:rPr>
                <w:webHidden/>
              </w:rPr>
              <w:instrText xml:space="preserve"> PAGEREF _Toc417380690 \h </w:instrText>
            </w:r>
            <w:r w:rsidR="00F55FD7">
              <w:rPr>
                <w:webHidden/>
              </w:rPr>
            </w:r>
            <w:r w:rsidR="00F55FD7">
              <w:rPr>
                <w:webHidden/>
              </w:rPr>
              <w:fldChar w:fldCharType="separate"/>
            </w:r>
            <w:r w:rsidR="00A1335C">
              <w:rPr>
                <w:webHidden/>
              </w:rPr>
              <w:t>2</w:t>
            </w:r>
            <w:r w:rsidR="00F55FD7">
              <w:rPr>
                <w:webHidden/>
              </w:rPr>
              <w:fldChar w:fldCharType="end"/>
            </w:r>
          </w:hyperlink>
        </w:p>
        <w:p w14:paraId="6B74F428" w14:textId="78374524" w:rsidR="00F55FD7" w:rsidRDefault="003B4A8E">
          <w:pPr>
            <w:pStyle w:val="TOC1"/>
            <w:rPr>
              <w:rFonts w:asciiTheme="minorHAnsi" w:eastAsiaTheme="minorEastAsia" w:hAnsiTheme="minorHAnsi" w:cstheme="minorBidi"/>
              <w:b w:val="0"/>
              <w:lang w:val="en-AU" w:eastAsia="en-AU"/>
            </w:rPr>
          </w:pPr>
          <w:hyperlink w:anchor="_Toc417380691" w:history="1">
            <w:r w:rsidR="00F55FD7" w:rsidRPr="0046321F">
              <w:rPr>
                <w:rStyle w:val="Hyperlink"/>
                <w:rFonts w:cs="Arial"/>
              </w:rPr>
              <w:t>Context</w:t>
            </w:r>
            <w:r w:rsidR="00F55FD7">
              <w:rPr>
                <w:webHidden/>
              </w:rPr>
              <w:tab/>
            </w:r>
            <w:r w:rsidR="00F55FD7">
              <w:rPr>
                <w:webHidden/>
              </w:rPr>
              <w:fldChar w:fldCharType="begin"/>
            </w:r>
            <w:r w:rsidR="00F55FD7">
              <w:rPr>
                <w:webHidden/>
              </w:rPr>
              <w:instrText xml:space="preserve"> PAGEREF _Toc417380691 \h </w:instrText>
            </w:r>
            <w:r w:rsidR="00F55FD7">
              <w:rPr>
                <w:webHidden/>
              </w:rPr>
            </w:r>
            <w:r w:rsidR="00F55FD7">
              <w:rPr>
                <w:webHidden/>
              </w:rPr>
              <w:fldChar w:fldCharType="separate"/>
            </w:r>
            <w:r w:rsidR="00A1335C">
              <w:rPr>
                <w:webHidden/>
              </w:rPr>
              <w:t>2</w:t>
            </w:r>
            <w:r w:rsidR="00F55FD7">
              <w:rPr>
                <w:webHidden/>
              </w:rPr>
              <w:fldChar w:fldCharType="end"/>
            </w:r>
          </w:hyperlink>
        </w:p>
        <w:p w14:paraId="6B74F429" w14:textId="582E9912" w:rsidR="00F55FD7" w:rsidRDefault="003B4A8E">
          <w:pPr>
            <w:pStyle w:val="TOC1"/>
            <w:rPr>
              <w:rFonts w:asciiTheme="minorHAnsi" w:eastAsiaTheme="minorEastAsia" w:hAnsiTheme="minorHAnsi" w:cstheme="minorBidi"/>
              <w:b w:val="0"/>
              <w:lang w:val="en-AU" w:eastAsia="en-AU"/>
            </w:rPr>
          </w:pPr>
          <w:hyperlink w:anchor="_Toc417380692" w:history="1">
            <w:r w:rsidR="00F55FD7" w:rsidRPr="0046321F">
              <w:rPr>
                <w:rStyle w:val="Hyperlink"/>
                <w:rFonts w:cs="Arial"/>
              </w:rPr>
              <w:t>Policy statements</w:t>
            </w:r>
            <w:r w:rsidR="00F55FD7">
              <w:rPr>
                <w:webHidden/>
              </w:rPr>
              <w:tab/>
            </w:r>
            <w:r w:rsidR="00F55FD7">
              <w:rPr>
                <w:webHidden/>
              </w:rPr>
              <w:fldChar w:fldCharType="begin"/>
            </w:r>
            <w:r w:rsidR="00F55FD7">
              <w:rPr>
                <w:webHidden/>
              </w:rPr>
              <w:instrText xml:space="preserve"> PAGEREF _Toc417380692 \h </w:instrText>
            </w:r>
            <w:r w:rsidR="00F55FD7">
              <w:rPr>
                <w:webHidden/>
              </w:rPr>
            </w:r>
            <w:r w:rsidR="00F55FD7">
              <w:rPr>
                <w:webHidden/>
              </w:rPr>
              <w:fldChar w:fldCharType="separate"/>
            </w:r>
            <w:r w:rsidR="00A1335C">
              <w:rPr>
                <w:webHidden/>
              </w:rPr>
              <w:t>3</w:t>
            </w:r>
            <w:r w:rsidR="00F55FD7">
              <w:rPr>
                <w:webHidden/>
              </w:rPr>
              <w:fldChar w:fldCharType="end"/>
            </w:r>
          </w:hyperlink>
        </w:p>
        <w:p w14:paraId="6B74F42A" w14:textId="0C89B015"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693" w:history="1">
            <w:r w:rsidR="00F55FD7" w:rsidRPr="0046321F">
              <w:rPr>
                <w:rStyle w:val="Hyperlink"/>
                <w:rFonts w:cs="Arial"/>
                <w:noProof/>
              </w:rPr>
              <w:t>Asset recognition and capitalisation</w:t>
            </w:r>
            <w:r w:rsidR="00F55FD7">
              <w:rPr>
                <w:noProof/>
                <w:webHidden/>
              </w:rPr>
              <w:tab/>
            </w:r>
            <w:r w:rsidR="00F55FD7">
              <w:rPr>
                <w:noProof/>
                <w:webHidden/>
              </w:rPr>
              <w:fldChar w:fldCharType="begin"/>
            </w:r>
            <w:r w:rsidR="00F55FD7">
              <w:rPr>
                <w:noProof/>
                <w:webHidden/>
              </w:rPr>
              <w:instrText xml:space="preserve"> PAGEREF _Toc417380693 \h </w:instrText>
            </w:r>
            <w:r w:rsidR="00F55FD7">
              <w:rPr>
                <w:noProof/>
                <w:webHidden/>
              </w:rPr>
            </w:r>
            <w:r w:rsidR="00F55FD7">
              <w:rPr>
                <w:noProof/>
                <w:webHidden/>
              </w:rPr>
              <w:fldChar w:fldCharType="separate"/>
            </w:r>
            <w:r w:rsidR="00A1335C">
              <w:rPr>
                <w:noProof/>
                <w:webHidden/>
              </w:rPr>
              <w:t>3</w:t>
            </w:r>
            <w:r w:rsidR="00F55FD7">
              <w:rPr>
                <w:noProof/>
                <w:webHidden/>
              </w:rPr>
              <w:fldChar w:fldCharType="end"/>
            </w:r>
          </w:hyperlink>
        </w:p>
        <w:p w14:paraId="6B74F42B" w14:textId="188428F3"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694" w:history="1">
            <w:r w:rsidR="00F55FD7" w:rsidRPr="0046321F">
              <w:rPr>
                <w:rStyle w:val="Hyperlink"/>
                <w:rFonts w:cs="Arial"/>
                <w:noProof/>
              </w:rPr>
              <w:t>Depreciation</w:t>
            </w:r>
            <w:r w:rsidR="00F55FD7">
              <w:rPr>
                <w:noProof/>
                <w:webHidden/>
              </w:rPr>
              <w:tab/>
            </w:r>
            <w:r w:rsidR="00F55FD7">
              <w:rPr>
                <w:noProof/>
                <w:webHidden/>
              </w:rPr>
              <w:fldChar w:fldCharType="begin"/>
            </w:r>
            <w:r w:rsidR="00F55FD7">
              <w:rPr>
                <w:noProof/>
                <w:webHidden/>
              </w:rPr>
              <w:instrText xml:space="preserve"> PAGEREF _Toc417380694 \h </w:instrText>
            </w:r>
            <w:r w:rsidR="00F55FD7">
              <w:rPr>
                <w:noProof/>
                <w:webHidden/>
              </w:rPr>
            </w:r>
            <w:r w:rsidR="00F55FD7">
              <w:rPr>
                <w:noProof/>
                <w:webHidden/>
              </w:rPr>
              <w:fldChar w:fldCharType="separate"/>
            </w:r>
            <w:r w:rsidR="00A1335C">
              <w:rPr>
                <w:noProof/>
                <w:webHidden/>
              </w:rPr>
              <w:t>5</w:t>
            </w:r>
            <w:r w:rsidR="00F55FD7">
              <w:rPr>
                <w:noProof/>
                <w:webHidden/>
              </w:rPr>
              <w:fldChar w:fldCharType="end"/>
            </w:r>
          </w:hyperlink>
        </w:p>
        <w:p w14:paraId="6B74F42C" w14:textId="71AB96FD"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695" w:history="1">
            <w:r w:rsidR="00F55FD7" w:rsidRPr="0046321F">
              <w:rPr>
                <w:rStyle w:val="Hyperlink"/>
                <w:rFonts w:cs="Arial"/>
                <w:noProof/>
              </w:rPr>
              <w:t>Grouping assets</w:t>
            </w:r>
            <w:r w:rsidR="00F55FD7">
              <w:rPr>
                <w:noProof/>
                <w:webHidden/>
              </w:rPr>
              <w:tab/>
            </w:r>
            <w:r w:rsidR="00F55FD7">
              <w:rPr>
                <w:noProof/>
                <w:webHidden/>
              </w:rPr>
              <w:fldChar w:fldCharType="begin"/>
            </w:r>
            <w:r w:rsidR="00F55FD7">
              <w:rPr>
                <w:noProof/>
                <w:webHidden/>
              </w:rPr>
              <w:instrText xml:space="preserve"> PAGEREF _Toc417380695 \h </w:instrText>
            </w:r>
            <w:r w:rsidR="00F55FD7">
              <w:rPr>
                <w:noProof/>
                <w:webHidden/>
              </w:rPr>
            </w:r>
            <w:r w:rsidR="00F55FD7">
              <w:rPr>
                <w:noProof/>
                <w:webHidden/>
              </w:rPr>
              <w:fldChar w:fldCharType="separate"/>
            </w:r>
            <w:r w:rsidR="00A1335C">
              <w:rPr>
                <w:noProof/>
                <w:webHidden/>
              </w:rPr>
              <w:t>6</w:t>
            </w:r>
            <w:r w:rsidR="00F55FD7">
              <w:rPr>
                <w:noProof/>
                <w:webHidden/>
              </w:rPr>
              <w:fldChar w:fldCharType="end"/>
            </w:r>
          </w:hyperlink>
        </w:p>
        <w:p w14:paraId="6B74F42D" w14:textId="5E4AE5C1"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696" w:history="1">
            <w:r w:rsidR="00F55FD7" w:rsidRPr="0046321F">
              <w:rPr>
                <w:rStyle w:val="Hyperlink"/>
                <w:rFonts w:cs="Arial"/>
                <w:noProof/>
              </w:rPr>
              <w:t>Asset register (FMIS)</w:t>
            </w:r>
            <w:r w:rsidR="00F55FD7">
              <w:rPr>
                <w:noProof/>
                <w:webHidden/>
              </w:rPr>
              <w:tab/>
            </w:r>
            <w:r w:rsidR="00F55FD7">
              <w:rPr>
                <w:noProof/>
                <w:webHidden/>
              </w:rPr>
              <w:fldChar w:fldCharType="begin"/>
            </w:r>
            <w:r w:rsidR="00F55FD7">
              <w:rPr>
                <w:noProof/>
                <w:webHidden/>
              </w:rPr>
              <w:instrText xml:space="preserve"> PAGEREF _Toc417380696 \h </w:instrText>
            </w:r>
            <w:r w:rsidR="00F55FD7">
              <w:rPr>
                <w:noProof/>
                <w:webHidden/>
              </w:rPr>
            </w:r>
            <w:r w:rsidR="00F55FD7">
              <w:rPr>
                <w:noProof/>
                <w:webHidden/>
              </w:rPr>
              <w:fldChar w:fldCharType="separate"/>
            </w:r>
            <w:r w:rsidR="00A1335C">
              <w:rPr>
                <w:noProof/>
                <w:webHidden/>
              </w:rPr>
              <w:t>6</w:t>
            </w:r>
            <w:r w:rsidR="00F55FD7">
              <w:rPr>
                <w:noProof/>
                <w:webHidden/>
              </w:rPr>
              <w:fldChar w:fldCharType="end"/>
            </w:r>
          </w:hyperlink>
        </w:p>
        <w:p w14:paraId="6B74F42E" w14:textId="5B0AA55B"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697" w:history="1">
            <w:r w:rsidR="00F55FD7" w:rsidRPr="0046321F">
              <w:rPr>
                <w:rStyle w:val="Hyperlink"/>
                <w:rFonts w:cs="Arial"/>
                <w:noProof/>
              </w:rPr>
              <w:t>Asset life cycle</w:t>
            </w:r>
            <w:r w:rsidR="00F55FD7">
              <w:rPr>
                <w:noProof/>
                <w:webHidden/>
              </w:rPr>
              <w:tab/>
            </w:r>
            <w:r w:rsidR="00F55FD7">
              <w:rPr>
                <w:noProof/>
                <w:webHidden/>
              </w:rPr>
              <w:fldChar w:fldCharType="begin"/>
            </w:r>
            <w:r w:rsidR="00F55FD7">
              <w:rPr>
                <w:noProof/>
                <w:webHidden/>
              </w:rPr>
              <w:instrText xml:space="preserve"> PAGEREF _Toc417380697 \h </w:instrText>
            </w:r>
            <w:r w:rsidR="00F55FD7">
              <w:rPr>
                <w:noProof/>
                <w:webHidden/>
              </w:rPr>
            </w:r>
            <w:r w:rsidR="00F55FD7">
              <w:rPr>
                <w:noProof/>
                <w:webHidden/>
              </w:rPr>
              <w:fldChar w:fldCharType="separate"/>
            </w:r>
            <w:r w:rsidR="00A1335C">
              <w:rPr>
                <w:noProof/>
                <w:webHidden/>
              </w:rPr>
              <w:t>6</w:t>
            </w:r>
            <w:r w:rsidR="00F55FD7">
              <w:rPr>
                <w:noProof/>
                <w:webHidden/>
              </w:rPr>
              <w:fldChar w:fldCharType="end"/>
            </w:r>
          </w:hyperlink>
        </w:p>
        <w:p w14:paraId="6B74F42F" w14:textId="556B5654"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698" w:history="1">
            <w:r w:rsidR="00F55FD7" w:rsidRPr="0046321F">
              <w:rPr>
                <w:rStyle w:val="Hyperlink"/>
                <w:rFonts w:cs="Arial"/>
                <w:noProof/>
              </w:rPr>
              <w:t>Asset planning</w:t>
            </w:r>
            <w:r w:rsidR="00F55FD7">
              <w:rPr>
                <w:noProof/>
                <w:webHidden/>
              </w:rPr>
              <w:tab/>
            </w:r>
            <w:r w:rsidR="00F55FD7">
              <w:rPr>
                <w:noProof/>
                <w:webHidden/>
              </w:rPr>
              <w:fldChar w:fldCharType="begin"/>
            </w:r>
            <w:r w:rsidR="00F55FD7">
              <w:rPr>
                <w:noProof/>
                <w:webHidden/>
              </w:rPr>
              <w:instrText xml:space="preserve"> PAGEREF _Toc417380698 \h </w:instrText>
            </w:r>
            <w:r w:rsidR="00F55FD7">
              <w:rPr>
                <w:noProof/>
                <w:webHidden/>
              </w:rPr>
            </w:r>
            <w:r w:rsidR="00F55FD7">
              <w:rPr>
                <w:noProof/>
                <w:webHidden/>
              </w:rPr>
              <w:fldChar w:fldCharType="separate"/>
            </w:r>
            <w:r w:rsidR="00A1335C">
              <w:rPr>
                <w:noProof/>
                <w:webHidden/>
              </w:rPr>
              <w:t>7</w:t>
            </w:r>
            <w:r w:rsidR="00F55FD7">
              <w:rPr>
                <w:noProof/>
                <w:webHidden/>
              </w:rPr>
              <w:fldChar w:fldCharType="end"/>
            </w:r>
          </w:hyperlink>
        </w:p>
        <w:p w14:paraId="6B74F430" w14:textId="3457E3BF"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699" w:history="1">
            <w:r w:rsidR="00F55FD7" w:rsidRPr="0046321F">
              <w:rPr>
                <w:rStyle w:val="Hyperlink"/>
                <w:rFonts w:cs="Arial"/>
                <w:noProof/>
              </w:rPr>
              <w:t>Asset acquisition</w:t>
            </w:r>
            <w:r w:rsidR="00F55FD7">
              <w:rPr>
                <w:noProof/>
                <w:webHidden/>
              </w:rPr>
              <w:tab/>
            </w:r>
            <w:r w:rsidR="00F55FD7">
              <w:rPr>
                <w:noProof/>
                <w:webHidden/>
              </w:rPr>
              <w:fldChar w:fldCharType="begin"/>
            </w:r>
            <w:r w:rsidR="00F55FD7">
              <w:rPr>
                <w:noProof/>
                <w:webHidden/>
              </w:rPr>
              <w:instrText xml:space="preserve"> PAGEREF _Toc417380699 \h </w:instrText>
            </w:r>
            <w:r w:rsidR="00F55FD7">
              <w:rPr>
                <w:noProof/>
                <w:webHidden/>
              </w:rPr>
            </w:r>
            <w:r w:rsidR="00F55FD7">
              <w:rPr>
                <w:noProof/>
                <w:webHidden/>
              </w:rPr>
              <w:fldChar w:fldCharType="separate"/>
            </w:r>
            <w:r w:rsidR="00A1335C">
              <w:rPr>
                <w:noProof/>
                <w:webHidden/>
              </w:rPr>
              <w:t>7</w:t>
            </w:r>
            <w:r w:rsidR="00F55FD7">
              <w:rPr>
                <w:noProof/>
                <w:webHidden/>
              </w:rPr>
              <w:fldChar w:fldCharType="end"/>
            </w:r>
          </w:hyperlink>
        </w:p>
        <w:p w14:paraId="6B74F431" w14:textId="7AC8A653"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0" w:history="1">
            <w:r w:rsidR="00F55FD7" w:rsidRPr="0046321F">
              <w:rPr>
                <w:rStyle w:val="Hyperlink"/>
                <w:rFonts w:cs="Arial"/>
                <w:noProof/>
              </w:rPr>
              <w:t>Asset operation and maintenance</w:t>
            </w:r>
            <w:r w:rsidR="00F55FD7">
              <w:rPr>
                <w:noProof/>
                <w:webHidden/>
              </w:rPr>
              <w:tab/>
            </w:r>
            <w:r w:rsidR="00F55FD7">
              <w:rPr>
                <w:noProof/>
                <w:webHidden/>
              </w:rPr>
              <w:fldChar w:fldCharType="begin"/>
            </w:r>
            <w:r w:rsidR="00F55FD7">
              <w:rPr>
                <w:noProof/>
                <w:webHidden/>
              </w:rPr>
              <w:instrText xml:space="preserve"> PAGEREF _Toc417380700 \h </w:instrText>
            </w:r>
            <w:r w:rsidR="00F55FD7">
              <w:rPr>
                <w:noProof/>
                <w:webHidden/>
              </w:rPr>
            </w:r>
            <w:r w:rsidR="00F55FD7">
              <w:rPr>
                <w:noProof/>
                <w:webHidden/>
              </w:rPr>
              <w:fldChar w:fldCharType="separate"/>
            </w:r>
            <w:r w:rsidR="00A1335C">
              <w:rPr>
                <w:noProof/>
                <w:webHidden/>
              </w:rPr>
              <w:t>8</w:t>
            </w:r>
            <w:r w:rsidR="00F55FD7">
              <w:rPr>
                <w:noProof/>
                <w:webHidden/>
              </w:rPr>
              <w:fldChar w:fldCharType="end"/>
            </w:r>
          </w:hyperlink>
        </w:p>
        <w:p w14:paraId="6B74F432" w14:textId="1C335047"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1" w:history="1">
            <w:r w:rsidR="00F55FD7" w:rsidRPr="0046321F">
              <w:rPr>
                <w:rStyle w:val="Hyperlink"/>
                <w:rFonts w:cs="Arial"/>
                <w:noProof/>
              </w:rPr>
              <w:t>Asset disposal</w:t>
            </w:r>
            <w:r w:rsidR="00F55FD7">
              <w:rPr>
                <w:noProof/>
                <w:webHidden/>
              </w:rPr>
              <w:tab/>
            </w:r>
            <w:r w:rsidR="00F55FD7">
              <w:rPr>
                <w:noProof/>
                <w:webHidden/>
              </w:rPr>
              <w:fldChar w:fldCharType="begin"/>
            </w:r>
            <w:r w:rsidR="00F55FD7">
              <w:rPr>
                <w:noProof/>
                <w:webHidden/>
              </w:rPr>
              <w:instrText xml:space="preserve"> PAGEREF _Toc417380701 \h </w:instrText>
            </w:r>
            <w:r w:rsidR="00F55FD7">
              <w:rPr>
                <w:noProof/>
                <w:webHidden/>
              </w:rPr>
            </w:r>
            <w:r w:rsidR="00F55FD7">
              <w:rPr>
                <w:noProof/>
                <w:webHidden/>
              </w:rPr>
              <w:fldChar w:fldCharType="separate"/>
            </w:r>
            <w:r w:rsidR="00A1335C">
              <w:rPr>
                <w:noProof/>
                <w:webHidden/>
              </w:rPr>
              <w:t>13</w:t>
            </w:r>
            <w:r w:rsidR="00F55FD7">
              <w:rPr>
                <w:noProof/>
                <w:webHidden/>
              </w:rPr>
              <w:fldChar w:fldCharType="end"/>
            </w:r>
          </w:hyperlink>
        </w:p>
        <w:p w14:paraId="6B74F433" w14:textId="1FDB537B"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02" w:history="1">
            <w:r w:rsidR="00F55FD7" w:rsidRPr="0046321F">
              <w:rPr>
                <w:rStyle w:val="Hyperlink"/>
                <w:rFonts w:cs="Arial"/>
                <w:noProof/>
              </w:rPr>
              <w:t>Intangible assets and intellectual property</w:t>
            </w:r>
            <w:r w:rsidR="00F55FD7">
              <w:rPr>
                <w:noProof/>
                <w:webHidden/>
              </w:rPr>
              <w:tab/>
            </w:r>
            <w:r w:rsidR="00F55FD7">
              <w:rPr>
                <w:noProof/>
                <w:webHidden/>
              </w:rPr>
              <w:fldChar w:fldCharType="begin"/>
            </w:r>
            <w:r w:rsidR="00F55FD7">
              <w:rPr>
                <w:noProof/>
                <w:webHidden/>
              </w:rPr>
              <w:instrText xml:space="preserve"> PAGEREF _Toc417380702 \h </w:instrText>
            </w:r>
            <w:r w:rsidR="00F55FD7">
              <w:rPr>
                <w:noProof/>
                <w:webHidden/>
              </w:rPr>
            </w:r>
            <w:r w:rsidR="00F55FD7">
              <w:rPr>
                <w:noProof/>
                <w:webHidden/>
              </w:rPr>
              <w:fldChar w:fldCharType="separate"/>
            </w:r>
            <w:r w:rsidR="00A1335C">
              <w:rPr>
                <w:noProof/>
                <w:webHidden/>
              </w:rPr>
              <w:t>14</w:t>
            </w:r>
            <w:r w:rsidR="00F55FD7">
              <w:rPr>
                <w:noProof/>
                <w:webHidden/>
              </w:rPr>
              <w:fldChar w:fldCharType="end"/>
            </w:r>
          </w:hyperlink>
        </w:p>
        <w:p w14:paraId="6B74F434" w14:textId="755BC85A"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3" w:history="1">
            <w:r w:rsidR="00F55FD7" w:rsidRPr="0046321F">
              <w:rPr>
                <w:rStyle w:val="Hyperlink"/>
                <w:rFonts w:cs="Arial"/>
                <w:noProof/>
              </w:rPr>
              <w:t>Externally developed software</w:t>
            </w:r>
            <w:r w:rsidR="00F55FD7">
              <w:rPr>
                <w:noProof/>
                <w:webHidden/>
              </w:rPr>
              <w:tab/>
            </w:r>
            <w:r w:rsidR="00F55FD7">
              <w:rPr>
                <w:noProof/>
                <w:webHidden/>
              </w:rPr>
              <w:fldChar w:fldCharType="begin"/>
            </w:r>
            <w:r w:rsidR="00F55FD7">
              <w:rPr>
                <w:noProof/>
                <w:webHidden/>
              </w:rPr>
              <w:instrText xml:space="preserve"> PAGEREF _Toc417380703 \h </w:instrText>
            </w:r>
            <w:r w:rsidR="00F55FD7">
              <w:rPr>
                <w:noProof/>
                <w:webHidden/>
              </w:rPr>
            </w:r>
            <w:r w:rsidR="00F55FD7">
              <w:rPr>
                <w:noProof/>
                <w:webHidden/>
              </w:rPr>
              <w:fldChar w:fldCharType="separate"/>
            </w:r>
            <w:r w:rsidR="00A1335C">
              <w:rPr>
                <w:noProof/>
                <w:webHidden/>
              </w:rPr>
              <w:t>15</w:t>
            </w:r>
            <w:r w:rsidR="00F55FD7">
              <w:rPr>
                <w:noProof/>
                <w:webHidden/>
              </w:rPr>
              <w:fldChar w:fldCharType="end"/>
            </w:r>
          </w:hyperlink>
        </w:p>
        <w:p w14:paraId="6B74F435" w14:textId="7EC3C1C5"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4" w:history="1">
            <w:r w:rsidR="00F55FD7" w:rsidRPr="0046321F">
              <w:rPr>
                <w:rStyle w:val="Hyperlink"/>
                <w:rFonts w:cs="Arial"/>
                <w:noProof/>
              </w:rPr>
              <w:t>Internally developed software</w:t>
            </w:r>
            <w:r w:rsidR="00F55FD7">
              <w:rPr>
                <w:noProof/>
                <w:webHidden/>
              </w:rPr>
              <w:tab/>
            </w:r>
            <w:r w:rsidR="00F55FD7">
              <w:rPr>
                <w:noProof/>
                <w:webHidden/>
              </w:rPr>
              <w:fldChar w:fldCharType="begin"/>
            </w:r>
            <w:r w:rsidR="00F55FD7">
              <w:rPr>
                <w:noProof/>
                <w:webHidden/>
              </w:rPr>
              <w:instrText xml:space="preserve"> PAGEREF _Toc417380704 \h </w:instrText>
            </w:r>
            <w:r w:rsidR="00F55FD7">
              <w:rPr>
                <w:noProof/>
                <w:webHidden/>
              </w:rPr>
            </w:r>
            <w:r w:rsidR="00F55FD7">
              <w:rPr>
                <w:noProof/>
                <w:webHidden/>
              </w:rPr>
              <w:fldChar w:fldCharType="separate"/>
            </w:r>
            <w:r w:rsidR="00A1335C">
              <w:rPr>
                <w:noProof/>
                <w:webHidden/>
              </w:rPr>
              <w:t>15</w:t>
            </w:r>
            <w:r w:rsidR="00F55FD7">
              <w:rPr>
                <w:noProof/>
                <w:webHidden/>
              </w:rPr>
              <w:fldChar w:fldCharType="end"/>
            </w:r>
          </w:hyperlink>
        </w:p>
        <w:p w14:paraId="6B74F436" w14:textId="5273B4CD"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5" w:history="1">
            <w:r w:rsidR="00F55FD7" w:rsidRPr="0046321F">
              <w:rPr>
                <w:rStyle w:val="Hyperlink"/>
                <w:rFonts w:cs="Arial"/>
                <w:noProof/>
              </w:rPr>
              <w:t>Intellectual property</w:t>
            </w:r>
            <w:r w:rsidR="00F55FD7">
              <w:rPr>
                <w:noProof/>
                <w:webHidden/>
              </w:rPr>
              <w:tab/>
            </w:r>
            <w:r w:rsidR="00F55FD7">
              <w:rPr>
                <w:noProof/>
                <w:webHidden/>
              </w:rPr>
              <w:fldChar w:fldCharType="begin"/>
            </w:r>
            <w:r w:rsidR="00F55FD7">
              <w:rPr>
                <w:noProof/>
                <w:webHidden/>
              </w:rPr>
              <w:instrText xml:space="preserve"> PAGEREF _Toc417380705 \h </w:instrText>
            </w:r>
            <w:r w:rsidR="00F55FD7">
              <w:rPr>
                <w:noProof/>
                <w:webHidden/>
              </w:rPr>
            </w:r>
            <w:r w:rsidR="00F55FD7">
              <w:rPr>
                <w:noProof/>
                <w:webHidden/>
              </w:rPr>
              <w:fldChar w:fldCharType="separate"/>
            </w:r>
            <w:r w:rsidR="00A1335C">
              <w:rPr>
                <w:noProof/>
                <w:webHidden/>
              </w:rPr>
              <w:t>18</w:t>
            </w:r>
            <w:r w:rsidR="00F55FD7">
              <w:rPr>
                <w:noProof/>
                <w:webHidden/>
              </w:rPr>
              <w:fldChar w:fldCharType="end"/>
            </w:r>
          </w:hyperlink>
        </w:p>
        <w:p w14:paraId="6B74F437" w14:textId="696029AF"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06" w:history="1">
            <w:r w:rsidR="000D1791">
              <w:rPr>
                <w:rStyle w:val="Hyperlink"/>
                <w:rFonts w:cs="Arial"/>
                <w:noProof/>
              </w:rPr>
              <w:t>Work</w:t>
            </w:r>
            <w:r w:rsidR="003C3F6F">
              <w:rPr>
                <w:rStyle w:val="Hyperlink"/>
                <w:rFonts w:cs="Arial"/>
                <w:noProof/>
              </w:rPr>
              <w:t>s</w:t>
            </w:r>
            <w:r w:rsidR="000D1791">
              <w:rPr>
                <w:rStyle w:val="Hyperlink"/>
                <w:rFonts w:cs="Arial"/>
                <w:noProof/>
              </w:rPr>
              <w:t xml:space="preserve"> in Progress</w:t>
            </w:r>
            <w:r w:rsidR="00F55FD7" w:rsidRPr="0046321F">
              <w:rPr>
                <w:rStyle w:val="Hyperlink"/>
                <w:rFonts w:cs="Arial"/>
                <w:noProof/>
              </w:rPr>
              <w:t xml:space="preserve"> </w:t>
            </w:r>
            <w:r w:rsidR="000D1791">
              <w:rPr>
                <w:rStyle w:val="Hyperlink"/>
                <w:rFonts w:cs="Arial"/>
                <w:noProof/>
              </w:rPr>
              <w:t>(WIP</w:t>
            </w:r>
            <w:r w:rsidR="00F55FD7" w:rsidRPr="0046321F">
              <w:rPr>
                <w:rStyle w:val="Hyperlink"/>
                <w:rFonts w:cs="Arial"/>
                <w:noProof/>
              </w:rPr>
              <w:t>)</w:t>
            </w:r>
            <w:r w:rsidR="00F55FD7">
              <w:rPr>
                <w:noProof/>
                <w:webHidden/>
              </w:rPr>
              <w:tab/>
            </w:r>
            <w:r w:rsidR="00F55FD7">
              <w:rPr>
                <w:noProof/>
                <w:webHidden/>
              </w:rPr>
              <w:fldChar w:fldCharType="begin"/>
            </w:r>
            <w:r w:rsidR="00F55FD7">
              <w:rPr>
                <w:noProof/>
                <w:webHidden/>
              </w:rPr>
              <w:instrText xml:space="preserve"> PAGEREF _Toc417380706 \h </w:instrText>
            </w:r>
            <w:r w:rsidR="00F55FD7">
              <w:rPr>
                <w:noProof/>
                <w:webHidden/>
              </w:rPr>
            </w:r>
            <w:r w:rsidR="00F55FD7">
              <w:rPr>
                <w:noProof/>
                <w:webHidden/>
              </w:rPr>
              <w:fldChar w:fldCharType="separate"/>
            </w:r>
            <w:r w:rsidR="00A1335C">
              <w:rPr>
                <w:noProof/>
                <w:webHidden/>
              </w:rPr>
              <w:t>18</w:t>
            </w:r>
            <w:r w:rsidR="00F55FD7">
              <w:rPr>
                <w:noProof/>
                <w:webHidden/>
              </w:rPr>
              <w:fldChar w:fldCharType="end"/>
            </w:r>
          </w:hyperlink>
        </w:p>
        <w:p w14:paraId="6B74F438" w14:textId="1BF0721D"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07" w:history="1">
            <w:r w:rsidR="00F55FD7" w:rsidRPr="0046321F">
              <w:rPr>
                <w:rStyle w:val="Hyperlink"/>
                <w:rFonts w:cs="Arial"/>
                <w:noProof/>
              </w:rPr>
              <w:t>Leasehold improvements</w:t>
            </w:r>
            <w:r w:rsidR="00F55FD7">
              <w:rPr>
                <w:noProof/>
                <w:webHidden/>
              </w:rPr>
              <w:tab/>
            </w:r>
            <w:r w:rsidR="00F55FD7">
              <w:rPr>
                <w:noProof/>
                <w:webHidden/>
              </w:rPr>
              <w:fldChar w:fldCharType="begin"/>
            </w:r>
            <w:r w:rsidR="00F55FD7">
              <w:rPr>
                <w:noProof/>
                <w:webHidden/>
              </w:rPr>
              <w:instrText xml:space="preserve"> PAGEREF _Toc417380707 \h </w:instrText>
            </w:r>
            <w:r w:rsidR="00F55FD7">
              <w:rPr>
                <w:noProof/>
                <w:webHidden/>
              </w:rPr>
            </w:r>
            <w:r w:rsidR="00F55FD7">
              <w:rPr>
                <w:noProof/>
                <w:webHidden/>
              </w:rPr>
              <w:fldChar w:fldCharType="separate"/>
            </w:r>
            <w:r w:rsidR="00A1335C">
              <w:rPr>
                <w:noProof/>
                <w:webHidden/>
              </w:rPr>
              <w:t>19</w:t>
            </w:r>
            <w:r w:rsidR="00F55FD7">
              <w:rPr>
                <w:noProof/>
                <w:webHidden/>
              </w:rPr>
              <w:fldChar w:fldCharType="end"/>
            </w:r>
          </w:hyperlink>
        </w:p>
        <w:p w14:paraId="6B74F439" w14:textId="7E5290B6" w:rsidR="00F55FD7" w:rsidRDefault="003B4A8E">
          <w:pPr>
            <w:pStyle w:val="TOC3"/>
            <w:tabs>
              <w:tab w:val="right" w:leader="dot" w:pos="9016"/>
            </w:tabs>
            <w:rPr>
              <w:rFonts w:asciiTheme="minorHAnsi" w:eastAsiaTheme="minorEastAsia" w:hAnsiTheme="minorHAnsi" w:cstheme="minorBidi"/>
              <w:noProof/>
              <w:lang w:val="en-AU" w:eastAsia="en-AU"/>
            </w:rPr>
          </w:pPr>
          <w:hyperlink w:anchor="_Toc417380708" w:history="1">
            <w:r w:rsidR="00F55FD7" w:rsidRPr="0046321F">
              <w:rPr>
                <w:rStyle w:val="Hyperlink"/>
                <w:rFonts w:cs="Arial"/>
                <w:noProof/>
              </w:rPr>
              <w:t>Make-good</w:t>
            </w:r>
            <w:r w:rsidR="00F55FD7">
              <w:rPr>
                <w:noProof/>
                <w:webHidden/>
              </w:rPr>
              <w:tab/>
            </w:r>
            <w:r w:rsidR="00F55FD7">
              <w:rPr>
                <w:noProof/>
                <w:webHidden/>
              </w:rPr>
              <w:fldChar w:fldCharType="begin"/>
            </w:r>
            <w:r w:rsidR="00F55FD7">
              <w:rPr>
                <w:noProof/>
                <w:webHidden/>
              </w:rPr>
              <w:instrText xml:space="preserve"> PAGEREF _Toc417380708 \h </w:instrText>
            </w:r>
            <w:r w:rsidR="00F55FD7">
              <w:rPr>
                <w:noProof/>
                <w:webHidden/>
              </w:rPr>
            </w:r>
            <w:r w:rsidR="00F55FD7">
              <w:rPr>
                <w:noProof/>
                <w:webHidden/>
              </w:rPr>
              <w:fldChar w:fldCharType="separate"/>
            </w:r>
            <w:r w:rsidR="00A1335C">
              <w:rPr>
                <w:noProof/>
                <w:webHidden/>
              </w:rPr>
              <w:t>20</w:t>
            </w:r>
            <w:r w:rsidR="00F55FD7">
              <w:rPr>
                <w:noProof/>
                <w:webHidden/>
              </w:rPr>
              <w:fldChar w:fldCharType="end"/>
            </w:r>
          </w:hyperlink>
        </w:p>
        <w:p w14:paraId="6B74F43A" w14:textId="02E90014"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09" w:history="1">
            <w:r w:rsidR="00F55FD7" w:rsidRPr="0046321F">
              <w:rPr>
                <w:rStyle w:val="Hyperlink"/>
                <w:rFonts w:cs="Arial"/>
                <w:noProof/>
              </w:rPr>
              <w:t>Inventory</w:t>
            </w:r>
            <w:r w:rsidR="00F55FD7">
              <w:rPr>
                <w:noProof/>
                <w:webHidden/>
              </w:rPr>
              <w:tab/>
            </w:r>
            <w:r w:rsidR="00F55FD7">
              <w:rPr>
                <w:noProof/>
                <w:webHidden/>
              </w:rPr>
              <w:fldChar w:fldCharType="begin"/>
            </w:r>
            <w:r w:rsidR="00F55FD7">
              <w:rPr>
                <w:noProof/>
                <w:webHidden/>
              </w:rPr>
              <w:instrText xml:space="preserve"> PAGEREF _Toc417380709 \h </w:instrText>
            </w:r>
            <w:r w:rsidR="00F55FD7">
              <w:rPr>
                <w:noProof/>
                <w:webHidden/>
              </w:rPr>
            </w:r>
            <w:r w:rsidR="00F55FD7">
              <w:rPr>
                <w:noProof/>
                <w:webHidden/>
              </w:rPr>
              <w:fldChar w:fldCharType="separate"/>
            </w:r>
            <w:r w:rsidR="00A1335C">
              <w:rPr>
                <w:noProof/>
                <w:webHidden/>
              </w:rPr>
              <w:t>21</w:t>
            </w:r>
            <w:r w:rsidR="00F55FD7">
              <w:rPr>
                <w:noProof/>
                <w:webHidden/>
              </w:rPr>
              <w:fldChar w:fldCharType="end"/>
            </w:r>
          </w:hyperlink>
        </w:p>
        <w:p w14:paraId="6B74F43B" w14:textId="134548AC"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10" w:history="1">
            <w:r w:rsidR="00F55FD7" w:rsidRPr="0046321F">
              <w:rPr>
                <w:rStyle w:val="Hyperlink"/>
                <w:rFonts w:cs="Arial"/>
                <w:noProof/>
              </w:rPr>
              <w:t>Portable and attractive items</w:t>
            </w:r>
            <w:r w:rsidR="00F55FD7">
              <w:rPr>
                <w:noProof/>
                <w:webHidden/>
              </w:rPr>
              <w:tab/>
            </w:r>
            <w:r w:rsidR="00F55FD7">
              <w:rPr>
                <w:noProof/>
                <w:webHidden/>
              </w:rPr>
              <w:fldChar w:fldCharType="begin"/>
            </w:r>
            <w:r w:rsidR="00F55FD7">
              <w:rPr>
                <w:noProof/>
                <w:webHidden/>
              </w:rPr>
              <w:instrText xml:space="preserve"> PAGEREF _Toc417380710 \h </w:instrText>
            </w:r>
            <w:r w:rsidR="00F55FD7">
              <w:rPr>
                <w:noProof/>
                <w:webHidden/>
              </w:rPr>
            </w:r>
            <w:r w:rsidR="00F55FD7">
              <w:rPr>
                <w:noProof/>
                <w:webHidden/>
              </w:rPr>
              <w:fldChar w:fldCharType="separate"/>
            </w:r>
            <w:r w:rsidR="00A1335C">
              <w:rPr>
                <w:noProof/>
                <w:webHidden/>
              </w:rPr>
              <w:t>22</w:t>
            </w:r>
            <w:r w:rsidR="00F55FD7">
              <w:rPr>
                <w:noProof/>
                <w:webHidden/>
              </w:rPr>
              <w:fldChar w:fldCharType="end"/>
            </w:r>
          </w:hyperlink>
        </w:p>
        <w:p w14:paraId="6B74F43C" w14:textId="311EC477" w:rsidR="00F55FD7" w:rsidRDefault="003B4A8E">
          <w:pPr>
            <w:pStyle w:val="TOC1"/>
            <w:rPr>
              <w:rFonts w:asciiTheme="minorHAnsi" w:eastAsiaTheme="minorEastAsia" w:hAnsiTheme="minorHAnsi" w:cstheme="minorBidi"/>
              <w:b w:val="0"/>
              <w:lang w:val="en-AU" w:eastAsia="en-AU"/>
            </w:rPr>
          </w:pPr>
          <w:hyperlink w:anchor="_Toc417380711" w:history="1">
            <w:r w:rsidR="00F55FD7" w:rsidRPr="0046321F">
              <w:rPr>
                <w:rStyle w:val="Hyperlink"/>
                <w:rFonts w:cs="Arial"/>
                <w:lang w:val="en-AU"/>
              </w:rPr>
              <w:t>Accountabilities / responsibilities</w:t>
            </w:r>
            <w:r w:rsidR="00F55FD7">
              <w:rPr>
                <w:webHidden/>
              </w:rPr>
              <w:tab/>
            </w:r>
            <w:r w:rsidR="00F55FD7">
              <w:rPr>
                <w:webHidden/>
              </w:rPr>
              <w:fldChar w:fldCharType="begin"/>
            </w:r>
            <w:r w:rsidR="00F55FD7">
              <w:rPr>
                <w:webHidden/>
              </w:rPr>
              <w:instrText xml:space="preserve"> PAGEREF _Toc417380711 \h </w:instrText>
            </w:r>
            <w:r w:rsidR="00F55FD7">
              <w:rPr>
                <w:webHidden/>
              </w:rPr>
            </w:r>
            <w:r w:rsidR="00F55FD7">
              <w:rPr>
                <w:webHidden/>
              </w:rPr>
              <w:fldChar w:fldCharType="separate"/>
            </w:r>
            <w:r w:rsidR="00A1335C">
              <w:rPr>
                <w:webHidden/>
              </w:rPr>
              <w:t>23</w:t>
            </w:r>
            <w:r w:rsidR="00F55FD7">
              <w:rPr>
                <w:webHidden/>
              </w:rPr>
              <w:fldChar w:fldCharType="end"/>
            </w:r>
          </w:hyperlink>
        </w:p>
        <w:p w14:paraId="6B74F43D" w14:textId="07B77375" w:rsidR="00F55FD7" w:rsidRDefault="003B4A8E">
          <w:pPr>
            <w:pStyle w:val="TOC1"/>
            <w:rPr>
              <w:rFonts w:asciiTheme="minorHAnsi" w:eastAsiaTheme="minorEastAsia" w:hAnsiTheme="minorHAnsi" w:cstheme="minorBidi"/>
              <w:b w:val="0"/>
              <w:lang w:val="en-AU" w:eastAsia="en-AU"/>
            </w:rPr>
          </w:pPr>
          <w:hyperlink w:anchor="_Toc417380712" w:history="1">
            <w:r w:rsidR="00F55FD7" w:rsidRPr="0046321F">
              <w:rPr>
                <w:rStyle w:val="Hyperlink"/>
                <w:rFonts w:cs="Arial"/>
                <w:lang w:val="en-AU"/>
              </w:rPr>
              <w:t>Appendix 1 - Definitions and related material</w:t>
            </w:r>
            <w:r w:rsidR="00F55FD7">
              <w:rPr>
                <w:webHidden/>
              </w:rPr>
              <w:tab/>
            </w:r>
            <w:r w:rsidR="00F55FD7">
              <w:rPr>
                <w:webHidden/>
              </w:rPr>
              <w:fldChar w:fldCharType="begin"/>
            </w:r>
            <w:r w:rsidR="00F55FD7">
              <w:rPr>
                <w:webHidden/>
              </w:rPr>
              <w:instrText xml:space="preserve"> PAGEREF _Toc417380712 \h </w:instrText>
            </w:r>
            <w:r w:rsidR="00F55FD7">
              <w:rPr>
                <w:webHidden/>
              </w:rPr>
            </w:r>
            <w:r w:rsidR="00F55FD7">
              <w:rPr>
                <w:webHidden/>
              </w:rPr>
              <w:fldChar w:fldCharType="separate"/>
            </w:r>
            <w:r w:rsidR="00A1335C">
              <w:rPr>
                <w:webHidden/>
              </w:rPr>
              <w:t>25</w:t>
            </w:r>
            <w:r w:rsidR="00F55FD7">
              <w:rPr>
                <w:webHidden/>
              </w:rPr>
              <w:fldChar w:fldCharType="end"/>
            </w:r>
          </w:hyperlink>
        </w:p>
        <w:p w14:paraId="6B74F43E" w14:textId="3B3F871E"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13" w:history="1">
            <w:r w:rsidR="00F55FD7" w:rsidRPr="0046321F">
              <w:rPr>
                <w:rStyle w:val="Hyperlink"/>
                <w:rFonts w:cs="Arial"/>
                <w:noProof/>
              </w:rPr>
              <w:t>Definitions</w:t>
            </w:r>
            <w:r w:rsidR="00F55FD7">
              <w:rPr>
                <w:noProof/>
                <w:webHidden/>
              </w:rPr>
              <w:tab/>
            </w:r>
            <w:r w:rsidR="00F55FD7">
              <w:rPr>
                <w:noProof/>
                <w:webHidden/>
              </w:rPr>
              <w:fldChar w:fldCharType="begin"/>
            </w:r>
            <w:r w:rsidR="00F55FD7">
              <w:rPr>
                <w:noProof/>
                <w:webHidden/>
              </w:rPr>
              <w:instrText xml:space="preserve"> PAGEREF _Toc417380713 \h </w:instrText>
            </w:r>
            <w:r w:rsidR="00F55FD7">
              <w:rPr>
                <w:noProof/>
                <w:webHidden/>
              </w:rPr>
            </w:r>
            <w:r w:rsidR="00F55FD7">
              <w:rPr>
                <w:noProof/>
                <w:webHidden/>
              </w:rPr>
              <w:fldChar w:fldCharType="separate"/>
            </w:r>
            <w:r w:rsidR="00A1335C">
              <w:rPr>
                <w:noProof/>
                <w:webHidden/>
              </w:rPr>
              <w:t>25</w:t>
            </w:r>
            <w:r w:rsidR="00F55FD7">
              <w:rPr>
                <w:noProof/>
                <w:webHidden/>
              </w:rPr>
              <w:fldChar w:fldCharType="end"/>
            </w:r>
          </w:hyperlink>
        </w:p>
        <w:p w14:paraId="6B74F43F" w14:textId="28CA130F" w:rsidR="00F55FD7" w:rsidRDefault="003B4A8E">
          <w:pPr>
            <w:pStyle w:val="TOC2"/>
            <w:tabs>
              <w:tab w:val="right" w:leader="dot" w:pos="9016"/>
            </w:tabs>
            <w:rPr>
              <w:rFonts w:asciiTheme="minorHAnsi" w:eastAsiaTheme="minorEastAsia" w:hAnsiTheme="minorHAnsi" w:cstheme="minorBidi"/>
              <w:noProof/>
              <w:lang w:val="en-AU" w:eastAsia="en-AU"/>
            </w:rPr>
          </w:pPr>
          <w:hyperlink w:anchor="_Toc417380714" w:history="1">
            <w:r w:rsidR="00F55FD7" w:rsidRPr="0046321F">
              <w:rPr>
                <w:rStyle w:val="Hyperlink"/>
                <w:rFonts w:cs="Arial"/>
                <w:noProof/>
              </w:rPr>
              <w:t>Related legislation / standards/ policy</w:t>
            </w:r>
            <w:r w:rsidR="00F55FD7">
              <w:rPr>
                <w:noProof/>
                <w:webHidden/>
              </w:rPr>
              <w:tab/>
            </w:r>
            <w:r w:rsidR="00F55FD7">
              <w:rPr>
                <w:noProof/>
                <w:webHidden/>
              </w:rPr>
              <w:fldChar w:fldCharType="begin"/>
            </w:r>
            <w:r w:rsidR="00F55FD7">
              <w:rPr>
                <w:noProof/>
                <w:webHidden/>
              </w:rPr>
              <w:instrText xml:space="preserve"> PAGEREF _Toc417380714 \h </w:instrText>
            </w:r>
            <w:r w:rsidR="00F55FD7">
              <w:rPr>
                <w:noProof/>
                <w:webHidden/>
              </w:rPr>
            </w:r>
            <w:r w:rsidR="00F55FD7">
              <w:rPr>
                <w:noProof/>
                <w:webHidden/>
              </w:rPr>
              <w:fldChar w:fldCharType="separate"/>
            </w:r>
            <w:r w:rsidR="00A1335C">
              <w:rPr>
                <w:noProof/>
                <w:webHidden/>
              </w:rPr>
              <w:t>27</w:t>
            </w:r>
            <w:r w:rsidR="00F55FD7">
              <w:rPr>
                <w:noProof/>
                <w:webHidden/>
              </w:rPr>
              <w:fldChar w:fldCharType="end"/>
            </w:r>
          </w:hyperlink>
        </w:p>
        <w:p w14:paraId="6B74F440" w14:textId="0BE0E346" w:rsidR="00F55FD7" w:rsidRDefault="003B4A8E">
          <w:pPr>
            <w:pStyle w:val="TOC1"/>
            <w:rPr>
              <w:rFonts w:asciiTheme="minorHAnsi" w:eastAsiaTheme="minorEastAsia" w:hAnsiTheme="minorHAnsi" w:cstheme="minorBidi"/>
              <w:b w:val="0"/>
              <w:lang w:val="en-AU" w:eastAsia="en-AU"/>
            </w:rPr>
          </w:pPr>
          <w:hyperlink w:anchor="_Toc417380715" w:history="1">
            <w:r w:rsidR="00F55FD7" w:rsidRPr="0046321F">
              <w:rPr>
                <w:rStyle w:val="Hyperlink"/>
                <w:rFonts w:cs="Arial"/>
              </w:rPr>
              <w:t>References /related material</w:t>
            </w:r>
            <w:r w:rsidR="00F55FD7">
              <w:rPr>
                <w:webHidden/>
              </w:rPr>
              <w:tab/>
            </w:r>
            <w:r w:rsidR="00F55FD7">
              <w:rPr>
                <w:webHidden/>
              </w:rPr>
              <w:fldChar w:fldCharType="begin"/>
            </w:r>
            <w:r w:rsidR="00F55FD7">
              <w:rPr>
                <w:webHidden/>
              </w:rPr>
              <w:instrText xml:space="preserve"> PAGEREF _Toc417380715 \h </w:instrText>
            </w:r>
            <w:r w:rsidR="00F55FD7">
              <w:rPr>
                <w:webHidden/>
              </w:rPr>
            </w:r>
            <w:r w:rsidR="00F55FD7">
              <w:rPr>
                <w:webHidden/>
              </w:rPr>
              <w:fldChar w:fldCharType="separate"/>
            </w:r>
            <w:r w:rsidR="00A1335C">
              <w:rPr>
                <w:webHidden/>
              </w:rPr>
              <w:t>28</w:t>
            </w:r>
            <w:r w:rsidR="00F55FD7">
              <w:rPr>
                <w:webHidden/>
              </w:rPr>
              <w:fldChar w:fldCharType="end"/>
            </w:r>
          </w:hyperlink>
        </w:p>
        <w:p w14:paraId="6B74F441" w14:textId="77777777" w:rsidR="006E5811" w:rsidRPr="00F55FD7" w:rsidRDefault="006E5811">
          <w:pPr>
            <w:rPr>
              <w:rFonts w:cs="Arial"/>
            </w:rPr>
          </w:pPr>
          <w:r w:rsidRPr="00F41D76">
            <w:rPr>
              <w:rFonts w:cs="Arial"/>
              <w:b/>
              <w:bCs/>
              <w:noProof/>
            </w:rPr>
            <w:fldChar w:fldCharType="end"/>
          </w:r>
        </w:p>
      </w:sdtContent>
    </w:sdt>
    <w:p w14:paraId="6B74F442" w14:textId="77777777" w:rsidR="006E5811" w:rsidRPr="00F41D76" w:rsidRDefault="006E5811">
      <w:pPr>
        <w:spacing w:after="200" w:line="276" w:lineRule="auto"/>
        <w:rPr>
          <w:rFonts w:eastAsia="Times New Roman" w:cs="Arial"/>
          <w:b/>
        </w:rPr>
      </w:pPr>
      <w:r w:rsidRPr="00F41D76">
        <w:rPr>
          <w:rFonts w:cs="Arial"/>
        </w:rPr>
        <w:br w:type="page"/>
      </w:r>
    </w:p>
    <w:p w14:paraId="6B74F443" w14:textId="77777777" w:rsidR="00CD1C14" w:rsidRPr="00F41D76" w:rsidRDefault="00245CBF" w:rsidP="00245CBF">
      <w:pPr>
        <w:pStyle w:val="Heading1"/>
        <w:rPr>
          <w:rFonts w:cs="Arial"/>
        </w:rPr>
      </w:pPr>
      <w:bookmarkStart w:id="1" w:name="_Toc417380690"/>
      <w:r w:rsidRPr="00F41D76">
        <w:rPr>
          <w:rFonts w:cs="Arial"/>
        </w:rPr>
        <w:lastRenderedPageBreak/>
        <w:t>Purpose</w:t>
      </w:r>
      <w:bookmarkEnd w:id="1"/>
    </w:p>
    <w:p w14:paraId="6B74F444" w14:textId="60182735" w:rsidR="00CC108F" w:rsidRPr="00411F87" w:rsidRDefault="00CC108F" w:rsidP="00CC108F">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 xml:space="preserve">The purpose of this policy is to inform and influence decisions made in the acquisition and management of </w:t>
      </w:r>
      <w:hyperlink w:anchor="NonfinancialAsset" w:history="1">
        <w:r w:rsidRPr="00411F87">
          <w:rPr>
            <w:rStyle w:val="Hyperlink"/>
            <w:rFonts w:eastAsia="Times New Roman" w:cs="Arial"/>
            <w:i/>
            <w:sz w:val="21"/>
            <w:szCs w:val="21"/>
            <w:lang w:val="en-AU" w:eastAsia="en-AU"/>
          </w:rPr>
          <w:t>non-financial assets</w:t>
        </w:r>
      </w:hyperlink>
      <w:r w:rsidRPr="00411F87">
        <w:rPr>
          <w:rFonts w:eastAsia="Times New Roman" w:cs="Arial"/>
          <w:sz w:val="21"/>
          <w:szCs w:val="21"/>
          <w:lang w:val="en-AU" w:eastAsia="en-AU"/>
        </w:rPr>
        <w:t xml:space="preserve"> and </w:t>
      </w:r>
      <w:hyperlink w:anchor="Inventories" w:history="1">
        <w:r w:rsidRPr="00411F87">
          <w:rPr>
            <w:rStyle w:val="Hyperlink"/>
            <w:rFonts w:eastAsia="Times New Roman" w:cs="Arial"/>
            <w:i/>
            <w:sz w:val="21"/>
            <w:szCs w:val="21"/>
            <w:lang w:val="en-AU" w:eastAsia="en-AU"/>
          </w:rPr>
          <w:t>inventory</w:t>
        </w:r>
      </w:hyperlink>
      <w:r w:rsidRPr="00411F87">
        <w:rPr>
          <w:rFonts w:eastAsia="Times New Roman" w:cs="Arial"/>
          <w:sz w:val="21"/>
          <w:szCs w:val="21"/>
          <w:lang w:val="en-AU" w:eastAsia="en-AU"/>
        </w:rPr>
        <w:t xml:space="preserve"> within the agency, so strategic and operational objectives may be supported</w:t>
      </w:r>
      <w:r w:rsidR="00ED20D5" w:rsidRPr="00411F87">
        <w:rPr>
          <w:rFonts w:eastAsia="Times New Roman" w:cs="Arial"/>
          <w:sz w:val="21"/>
          <w:szCs w:val="21"/>
          <w:lang w:val="en-AU" w:eastAsia="en-AU"/>
        </w:rPr>
        <w:t>.</w:t>
      </w:r>
      <w:r w:rsidRPr="00411F87">
        <w:rPr>
          <w:rFonts w:eastAsia="Times New Roman" w:cs="Arial"/>
          <w:sz w:val="21"/>
          <w:szCs w:val="21"/>
          <w:lang w:val="en-AU" w:eastAsia="en-AU"/>
        </w:rPr>
        <w:t xml:space="preserve"> </w:t>
      </w:r>
    </w:p>
    <w:p w14:paraId="6B74F445" w14:textId="456BA571" w:rsidR="007E5DD4" w:rsidRPr="00411F87" w:rsidRDefault="00CC108F" w:rsidP="00CC108F">
      <w:pPr>
        <w:pStyle w:val="ListParagraph"/>
        <w:numPr>
          <w:ilvl w:val="0"/>
          <w:numId w:val="6"/>
        </w:numPr>
        <w:spacing w:after="80"/>
        <w:contextualSpacing w:val="0"/>
        <w:rPr>
          <w:rStyle w:val="PlaceholderText"/>
          <w:rFonts w:cs="Arial"/>
          <w:color w:val="auto"/>
          <w:sz w:val="21"/>
          <w:szCs w:val="21"/>
          <w:lang w:val="en-AU"/>
        </w:rPr>
      </w:pPr>
      <w:r w:rsidRPr="00411F87">
        <w:rPr>
          <w:rFonts w:eastAsia="Times New Roman" w:cs="Arial"/>
          <w:sz w:val="21"/>
          <w:szCs w:val="21"/>
          <w:lang w:val="en-AU" w:eastAsia="en-AU"/>
        </w:rPr>
        <w:t>This policy also</w:t>
      </w:r>
      <w:r w:rsidR="00D75C23" w:rsidRPr="00411F87">
        <w:rPr>
          <w:rFonts w:eastAsia="Times New Roman" w:cs="Arial"/>
          <w:sz w:val="21"/>
          <w:szCs w:val="21"/>
          <w:lang w:val="en-AU" w:eastAsia="en-AU"/>
        </w:rPr>
        <w:t xml:space="preserve"> compliments the Accountable Authority Instructions by</w:t>
      </w:r>
      <w:r w:rsidRPr="00411F87">
        <w:rPr>
          <w:rFonts w:eastAsia="Times New Roman" w:cs="Arial"/>
          <w:sz w:val="21"/>
          <w:szCs w:val="21"/>
          <w:lang w:val="en-AU" w:eastAsia="en-AU"/>
        </w:rPr>
        <w:t xml:space="preserve"> provid</w:t>
      </w:r>
      <w:r w:rsidR="00D75C23" w:rsidRPr="00411F87">
        <w:rPr>
          <w:rFonts w:eastAsia="Times New Roman" w:cs="Arial"/>
          <w:sz w:val="21"/>
          <w:szCs w:val="21"/>
          <w:lang w:val="en-AU" w:eastAsia="en-AU"/>
        </w:rPr>
        <w:t>ing</w:t>
      </w:r>
      <w:r w:rsidRPr="00411F87">
        <w:rPr>
          <w:rFonts w:eastAsia="Times New Roman" w:cs="Arial"/>
          <w:sz w:val="21"/>
          <w:szCs w:val="21"/>
          <w:lang w:val="en-AU" w:eastAsia="en-AU"/>
        </w:rPr>
        <w:t xml:space="preserve"> key definitions and </w:t>
      </w:r>
      <w:r w:rsidR="006E5811" w:rsidRPr="00411F87">
        <w:rPr>
          <w:rFonts w:eastAsia="Times New Roman" w:cs="Arial"/>
          <w:sz w:val="21"/>
          <w:szCs w:val="21"/>
          <w:lang w:val="en-AU" w:eastAsia="en-AU"/>
        </w:rPr>
        <w:t xml:space="preserve">direction </w:t>
      </w:r>
      <w:r w:rsidRPr="00411F87">
        <w:rPr>
          <w:rFonts w:eastAsia="Times New Roman" w:cs="Arial"/>
          <w:sz w:val="21"/>
          <w:szCs w:val="21"/>
          <w:lang w:val="en-AU" w:eastAsia="en-AU"/>
        </w:rPr>
        <w:t xml:space="preserve">for </w:t>
      </w:r>
      <w:hyperlink w:anchor="Asset" w:history="1">
        <w:r w:rsidRPr="00411F87">
          <w:rPr>
            <w:rStyle w:val="Hyperlink"/>
            <w:rFonts w:eastAsia="Times New Roman" w:cs="Arial"/>
            <w:i/>
            <w:sz w:val="21"/>
            <w:szCs w:val="21"/>
            <w:lang w:val="en-AU" w:eastAsia="en-AU"/>
          </w:rPr>
          <w:t>asset</w:t>
        </w:r>
      </w:hyperlink>
      <w:r w:rsidRPr="00411F87">
        <w:rPr>
          <w:rFonts w:eastAsia="Times New Roman" w:cs="Arial"/>
          <w:i/>
          <w:sz w:val="21"/>
          <w:szCs w:val="21"/>
          <w:lang w:val="en-AU" w:eastAsia="en-AU"/>
        </w:rPr>
        <w:t xml:space="preserve"> </w:t>
      </w:r>
      <w:r w:rsidRPr="00411F87">
        <w:rPr>
          <w:rFonts w:eastAsia="Times New Roman" w:cs="Arial"/>
          <w:sz w:val="21"/>
          <w:szCs w:val="21"/>
          <w:lang w:val="en-AU" w:eastAsia="en-AU"/>
        </w:rPr>
        <w:t xml:space="preserve">recognition and accounting, and </w:t>
      </w:r>
      <w:r w:rsidR="00D75C23" w:rsidRPr="00411F87">
        <w:rPr>
          <w:rFonts w:eastAsia="Times New Roman" w:cs="Arial"/>
          <w:sz w:val="21"/>
          <w:szCs w:val="21"/>
          <w:lang w:val="en-AU" w:eastAsia="en-AU"/>
        </w:rPr>
        <w:t>includ</w:t>
      </w:r>
      <w:r w:rsidR="00ED20D5" w:rsidRPr="00411F87">
        <w:rPr>
          <w:rFonts w:eastAsia="Times New Roman" w:cs="Arial"/>
          <w:sz w:val="21"/>
          <w:szCs w:val="21"/>
          <w:lang w:val="en-AU" w:eastAsia="en-AU"/>
        </w:rPr>
        <w:t>es</w:t>
      </w:r>
      <w:r w:rsidRPr="00411F87">
        <w:rPr>
          <w:rFonts w:eastAsia="Times New Roman" w:cs="Arial"/>
          <w:sz w:val="21"/>
          <w:szCs w:val="21"/>
          <w:lang w:val="en-AU" w:eastAsia="en-AU"/>
        </w:rPr>
        <w:t xml:space="preserve"> specific guidance on </w:t>
      </w:r>
      <w:r w:rsidR="006E5811" w:rsidRPr="00411F87">
        <w:rPr>
          <w:rFonts w:eastAsia="Times New Roman" w:cs="Arial"/>
          <w:sz w:val="21"/>
          <w:szCs w:val="21"/>
          <w:lang w:val="en-AU" w:eastAsia="en-AU"/>
        </w:rPr>
        <w:t xml:space="preserve">the asset lifecycle and </w:t>
      </w:r>
      <w:r w:rsidRPr="00411F87">
        <w:rPr>
          <w:rFonts w:eastAsia="Times New Roman" w:cs="Arial"/>
          <w:sz w:val="21"/>
          <w:szCs w:val="21"/>
          <w:lang w:val="en-AU" w:eastAsia="en-AU"/>
        </w:rPr>
        <w:t>a number of complex asset issues impacting the agency.</w:t>
      </w:r>
    </w:p>
    <w:p w14:paraId="6B74F446" w14:textId="77777777" w:rsidR="007E5DD4" w:rsidRPr="00AC3A52" w:rsidRDefault="007E5DD4" w:rsidP="007E5DD4">
      <w:pPr>
        <w:pStyle w:val="Heading1"/>
        <w:rPr>
          <w:rFonts w:cs="Arial"/>
        </w:rPr>
      </w:pPr>
      <w:bookmarkStart w:id="2" w:name="_Toc417380691"/>
      <w:r w:rsidRPr="00AC3A52">
        <w:rPr>
          <w:rFonts w:cs="Arial"/>
        </w:rPr>
        <w:t>Context</w:t>
      </w:r>
      <w:bookmarkEnd w:id="2"/>
    </w:p>
    <w:p w14:paraId="6B74F447" w14:textId="43380EC9" w:rsidR="00193FB5" w:rsidRPr="00411F87" w:rsidRDefault="00CC108F" w:rsidP="00193FB5">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A key underlying principle of ‘accrual accounting’ is the matching of expenditure to the period in which the associated economic benefit is derived (i.e.</w:t>
      </w:r>
      <w:r w:rsidR="00ED20D5" w:rsidRPr="00411F87">
        <w:rPr>
          <w:rFonts w:eastAsia="Times New Roman" w:cs="Arial"/>
          <w:sz w:val="21"/>
          <w:szCs w:val="21"/>
          <w:lang w:val="en-AU" w:eastAsia="en-AU"/>
        </w:rPr>
        <w:t>,</w:t>
      </w:r>
      <w:r w:rsidRPr="00411F87">
        <w:rPr>
          <w:rFonts w:eastAsia="Times New Roman" w:cs="Arial"/>
          <w:sz w:val="21"/>
          <w:szCs w:val="21"/>
          <w:lang w:val="en-AU" w:eastAsia="en-AU"/>
        </w:rPr>
        <w:t xml:space="preserve"> the 'matching principle'). </w:t>
      </w:r>
      <w:r w:rsidR="00193FB5" w:rsidRPr="00411F87">
        <w:rPr>
          <w:rFonts w:eastAsia="Times New Roman" w:cs="Arial"/>
          <w:sz w:val="21"/>
          <w:szCs w:val="21"/>
          <w:lang w:val="en-AU" w:eastAsia="en-AU"/>
        </w:rPr>
        <w:t>When the economic benefit derived extends beyond the current financial year to future years and can be reliably measured, e</w:t>
      </w:r>
      <w:r w:rsidRPr="00411F87">
        <w:rPr>
          <w:rFonts w:eastAsia="Times New Roman" w:cs="Arial"/>
          <w:sz w:val="21"/>
          <w:szCs w:val="21"/>
          <w:lang w:val="en-AU" w:eastAsia="en-AU"/>
        </w:rPr>
        <w:t xml:space="preserve">xpenditure is </w:t>
      </w:r>
      <w:r w:rsidR="00193FB5" w:rsidRPr="00411F87">
        <w:rPr>
          <w:rFonts w:eastAsia="Times New Roman" w:cs="Arial"/>
          <w:sz w:val="21"/>
          <w:szCs w:val="21"/>
          <w:lang w:val="en-AU" w:eastAsia="en-AU"/>
        </w:rPr>
        <w:t>‘</w:t>
      </w:r>
      <w:hyperlink w:anchor="Capitalised" w:history="1">
        <w:r w:rsidRPr="00411F87">
          <w:rPr>
            <w:rStyle w:val="Hyperlink"/>
            <w:rFonts w:eastAsia="Times New Roman" w:cs="Arial"/>
            <w:i/>
            <w:sz w:val="21"/>
            <w:szCs w:val="21"/>
            <w:lang w:val="en-AU" w:eastAsia="en-AU"/>
          </w:rPr>
          <w:t>capitalised</w:t>
        </w:r>
      </w:hyperlink>
      <w:r w:rsidR="00193FB5" w:rsidRPr="00411F87">
        <w:rPr>
          <w:rFonts w:eastAsia="Times New Roman" w:cs="Arial"/>
          <w:sz w:val="21"/>
          <w:szCs w:val="21"/>
          <w:lang w:val="en-AU" w:eastAsia="en-AU"/>
        </w:rPr>
        <w:t>’</w:t>
      </w:r>
      <w:r w:rsidRPr="00411F87">
        <w:rPr>
          <w:rFonts w:eastAsia="Times New Roman" w:cs="Arial"/>
          <w:sz w:val="21"/>
          <w:szCs w:val="21"/>
          <w:lang w:val="en-AU" w:eastAsia="en-AU"/>
        </w:rPr>
        <w:t xml:space="preserve"> Capitalised expenditure is recognised as a non-financial asset in </w:t>
      </w:r>
      <w:r w:rsidR="00193FB5" w:rsidRPr="00411F87">
        <w:rPr>
          <w:rFonts w:eastAsia="Times New Roman" w:cs="Arial"/>
          <w:sz w:val="21"/>
          <w:szCs w:val="21"/>
          <w:lang w:val="en-AU" w:eastAsia="en-AU"/>
        </w:rPr>
        <w:t xml:space="preserve">the agency’s </w:t>
      </w:r>
      <w:r w:rsidR="00ED20D5" w:rsidRPr="00411F87">
        <w:rPr>
          <w:rFonts w:eastAsia="Times New Roman" w:cs="Arial"/>
          <w:sz w:val="21"/>
          <w:szCs w:val="21"/>
          <w:lang w:val="en-AU" w:eastAsia="en-AU"/>
        </w:rPr>
        <w:t>‘</w:t>
      </w:r>
      <w:r w:rsidRPr="00411F87">
        <w:rPr>
          <w:rFonts w:eastAsia="Times New Roman" w:cs="Arial"/>
          <w:sz w:val="21"/>
          <w:szCs w:val="21"/>
          <w:lang w:val="en-AU" w:eastAsia="en-AU"/>
        </w:rPr>
        <w:t>balance sheet</w:t>
      </w:r>
      <w:r w:rsidR="00ED20D5" w:rsidRPr="00411F87">
        <w:rPr>
          <w:rFonts w:eastAsia="Times New Roman" w:cs="Arial"/>
          <w:sz w:val="21"/>
          <w:szCs w:val="21"/>
          <w:lang w:val="en-AU" w:eastAsia="en-AU"/>
        </w:rPr>
        <w:t>’</w:t>
      </w:r>
      <w:r w:rsidR="00193FB5" w:rsidRPr="00411F87">
        <w:rPr>
          <w:rFonts w:eastAsia="Times New Roman" w:cs="Arial"/>
          <w:sz w:val="21"/>
          <w:szCs w:val="21"/>
          <w:lang w:val="en-AU" w:eastAsia="en-AU"/>
        </w:rPr>
        <w:t xml:space="preserve"> (</w:t>
      </w:r>
      <w:r w:rsidR="00ED20D5" w:rsidRPr="00411F87">
        <w:rPr>
          <w:rFonts w:eastAsia="Times New Roman" w:cs="Arial"/>
          <w:sz w:val="21"/>
          <w:szCs w:val="21"/>
          <w:lang w:val="en-AU" w:eastAsia="en-AU"/>
        </w:rPr>
        <w:t xml:space="preserve">i.e., </w:t>
      </w:r>
      <w:r w:rsidR="00193FB5" w:rsidRPr="00411F87">
        <w:rPr>
          <w:rFonts w:eastAsia="Times New Roman" w:cs="Arial"/>
          <w:sz w:val="21"/>
          <w:szCs w:val="21"/>
          <w:lang w:val="en-AU" w:eastAsia="en-AU"/>
        </w:rPr>
        <w:t xml:space="preserve">the summary of assets and </w:t>
      </w:r>
      <w:hyperlink w:anchor="Liability" w:history="1">
        <w:r w:rsidR="00193FB5" w:rsidRPr="00411F87">
          <w:rPr>
            <w:rStyle w:val="Hyperlink"/>
            <w:rFonts w:eastAsia="Times New Roman" w:cs="Arial"/>
            <w:i/>
            <w:sz w:val="21"/>
            <w:szCs w:val="21"/>
            <w:lang w:val="en-AU" w:eastAsia="en-AU"/>
          </w:rPr>
          <w:t>liabilities</w:t>
        </w:r>
      </w:hyperlink>
      <w:r w:rsidR="00193FB5" w:rsidRPr="00411F87">
        <w:rPr>
          <w:rFonts w:eastAsia="Times New Roman" w:cs="Arial"/>
          <w:sz w:val="21"/>
          <w:szCs w:val="21"/>
          <w:lang w:val="en-AU" w:eastAsia="en-AU"/>
        </w:rPr>
        <w:t>)</w:t>
      </w:r>
      <w:r w:rsidRPr="00411F87">
        <w:rPr>
          <w:rFonts w:eastAsia="Times New Roman" w:cs="Arial"/>
          <w:sz w:val="21"/>
          <w:szCs w:val="21"/>
          <w:lang w:val="en-AU" w:eastAsia="en-AU"/>
        </w:rPr>
        <w:t>.</w:t>
      </w:r>
    </w:p>
    <w:p w14:paraId="6B74F448" w14:textId="2E59B063" w:rsidR="00CC108F" w:rsidRPr="00411F87" w:rsidRDefault="00193FB5" w:rsidP="00193FB5">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To account for asset value loss over time and use (</w:t>
      </w:r>
      <w:hyperlink w:anchor="DepreciationAmortisation" w:history="1">
        <w:r w:rsidRPr="00411F87">
          <w:rPr>
            <w:rStyle w:val="Hyperlink"/>
            <w:rFonts w:eastAsia="Times New Roman" w:cs="Arial"/>
            <w:i/>
            <w:sz w:val="21"/>
            <w:szCs w:val="21"/>
            <w:lang w:val="en-AU" w:eastAsia="en-AU"/>
          </w:rPr>
          <w:t>depreciation</w:t>
        </w:r>
      </w:hyperlink>
      <w:r w:rsidRPr="00411F87">
        <w:rPr>
          <w:rFonts w:eastAsia="Times New Roman" w:cs="Arial"/>
          <w:sz w:val="21"/>
          <w:szCs w:val="21"/>
          <w:lang w:val="en-AU" w:eastAsia="en-AU"/>
        </w:rPr>
        <w:t xml:space="preserve">), the cost of a non-financial asset must be spread </w:t>
      </w:r>
      <w:r w:rsidR="00CC108F" w:rsidRPr="00411F87">
        <w:rPr>
          <w:rFonts w:eastAsia="Times New Roman" w:cs="Arial"/>
          <w:sz w:val="21"/>
          <w:szCs w:val="21"/>
          <w:lang w:val="en-AU" w:eastAsia="en-AU"/>
        </w:rPr>
        <w:t xml:space="preserve">over the period of its </w:t>
      </w:r>
      <w:hyperlink w:anchor="UsefulLife" w:history="1">
        <w:r w:rsidR="00CC108F" w:rsidRPr="00411F87">
          <w:rPr>
            <w:rStyle w:val="Hyperlink"/>
            <w:rFonts w:eastAsia="Times New Roman" w:cs="Arial"/>
            <w:i/>
            <w:sz w:val="21"/>
            <w:szCs w:val="21"/>
            <w:lang w:val="en-AU" w:eastAsia="en-AU"/>
          </w:rPr>
          <w:t>useful life</w:t>
        </w:r>
      </w:hyperlink>
      <w:r w:rsidRPr="00411F87">
        <w:rPr>
          <w:rFonts w:eastAsia="Times New Roman" w:cs="Arial"/>
          <w:sz w:val="21"/>
          <w:szCs w:val="21"/>
          <w:lang w:val="en-AU" w:eastAsia="en-AU"/>
        </w:rPr>
        <w:t>,</w:t>
      </w:r>
      <w:r w:rsidR="00CC108F" w:rsidRPr="00411F87">
        <w:rPr>
          <w:rFonts w:eastAsia="Times New Roman" w:cs="Arial"/>
          <w:sz w:val="21"/>
          <w:szCs w:val="21"/>
          <w:lang w:val="en-AU" w:eastAsia="en-AU"/>
        </w:rPr>
        <w:t xml:space="preserve"> which corresponds to the period</w:t>
      </w:r>
      <w:r w:rsidR="00ED20D5" w:rsidRPr="00411F87">
        <w:rPr>
          <w:rFonts w:eastAsia="Times New Roman" w:cs="Arial"/>
          <w:sz w:val="21"/>
          <w:szCs w:val="21"/>
          <w:lang w:val="en-AU" w:eastAsia="en-AU"/>
        </w:rPr>
        <w:t xml:space="preserve"> in which</w:t>
      </w:r>
      <w:r w:rsidR="00CC108F" w:rsidRPr="00411F87">
        <w:rPr>
          <w:rFonts w:eastAsia="Times New Roman" w:cs="Arial"/>
          <w:sz w:val="21"/>
          <w:szCs w:val="21"/>
          <w:lang w:val="en-AU" w:eastAsia="en-AU"/>
        </w:rPr>
        <w:t xml:space="preserve"> the economic benefit is derived.</w:t>
      </w:r>
    </w:p>
    <w:p w14:paraId="6B74F449" w14:textId="3B65FD69" w:rsidR="00CC108F" w:rsidRPr="00411F87" w:rsidRDefault="00193FB5" w:rsidP="00193FB5">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 xml:space="preserve">Excluding inventories, the agency </w:t>
      </w:r>
      <w:r w:rsidR="00CC108F" w:rsidRPr="00411F87">
        <w:rPr>
          <w:rFonts w:eastAsia="Times New Roman" w:cs="Arial"/>
          <w:sz w:val="21"/>
          <w:szCs w:val="21"/>
          <w:lang w:val="en-AU" w:eastAsia="en-AU"/>
        </w:rPr>
        <w:t>recognises two broad categories of non-financial assets</w:t>
      </w:r>
      <w:r w:rsidRPr="00411F87">
        <w:rPr>
          <w:rFonts w:eastAsia="Times New Roman" w:cs="Arial"/>
          <w:sz w:val="21"/>
          <w:szCs w:val="21"/>
          <w:lang w:val="en-AU" w:eastAsia="en-AU"/>
        </w:rPr>
        <w:t xml:space="preserve">; </w:t>
      </w:r>
      <w:hyperlink w:anchor="TangibleAsset" w:history="1">
        <w:r w:rsidRPr="00411F87">
          <w:rPr>
            <w:rStyle w:val="Hyperlink"/>
            <w:rFonts w:eastAsia="Times New Roman" w:cs="Arial"/>
            <w:i/>
            <w:sz w:val="21"/>
            <w:szCs w:val="21"/>
            <w:lang w:val="en-AU" w:eastAsia="en-AU"/>
          </w:rPr>
          <w:t>t</w:t>
        </w:r>
        <w:r w:rsidR="00CC108F" w:rsidRPr="00411F87">
          <w:rPr>
            <w:rStyle w:val="Hyperlink"/>
            <w:rFonts w:eastAsia="Times New Roman" w:cs="Arial"/>
            <w:i/>
            <w:sz w:val="21"/>
            <w:szCs w:val="21"/>
            <w:lang w:val="en-AU" w:eastAsia="en-AU"/>
          </w:rPr>
          <w:t>angible assets</w:t>
        </w:r>
      </w:hyperlink>
      <w:r w:rsidR="00CC108F" w:rsidRPr="00411F87">
        <w:rPr>
          <w:rFonts w:eastAsia="Times New Roman" w:cs="Arial"/>
          <w:sz w:val="21"/>
          <w:szCs w:val="21"/>
          <w:lang w:val="en-AU" w:eastAsia="en-AU"/>
        </w:rPr>
        <w:t>; and</w:t>
      </w:r>
      <w:r w:rsidRPr="00411F87">
        <w:rPr>
          <w:rFonts w:eastAsia="Times New Roman" w:cs="Arial"/>
          <w:sz w:val="21"/>
          <w:szCs w:val="21"/>
          <w:lang w:val="en-AU" w:eastAsia="en-AU"/>
        </w:rPr>
        <w:t xml:space="preserve"> </w:t>
      </w:r>
      <w:hyperlink w:anchor="IntangibleAsset" w:history="1">
        <w:r w:rsidRPr="00411F87">
          <w:rPr>
            <w:rStyle w:val="Hyperlink"/>
            <w:rFonts w:eastAsia="Times New Roman" w:cs="Arial"/>
            <w:i/>
            <w:sz w:val="21"/>
            <w:szCs w:val="21"/>
            <w:lang w:val="en-AU" w:eastAsia="en-AU"/>
          </w:rPr>
          <w:t>i</w:t>
        </w:r>
        <w:r w:rsidR="00CC108F" w:rsidRPr="00411F87">
          <w:rPr>
            <w:rStyle w:val="Hyperlink"/>
            <w:rFonts w:eastAsia="Times New Roman" w:cs="Arial"/>
            <w:i/>
            <w:sz w:val="21"/>
            <w:szCs w:val="21"/>
            <w:lang w:val="en-AU" w:eastAsia="en-AU"/>
          </w:rPr>
          <w:t>ntangible assets</w:t>
        </w:r>
      </w:hyperlink>
      <w:r w:rsidR="00CC108F" w:rsidRPr="00411F87">
        <w:rPr>
          <w:rFonts w:eastAsia="Times New Roman" w:cs="Arial"/>
          <w:sz w:val="21"/>
          <w:szCs w:val="21"/>
          <w:lang w:val="en-AU" w:eastAsia="en-AU"/>
        </w:rPr>
        <w:t>.</w:t>
      </w:r>
      <w:r w:rsidRPr="00411F87">
        <w:rPr>
          <w:rFonts w:eastAsia="Times New Roman" w:cs="Arial"/>
          <w:sz w:val="21"/>
          <w:szCs w:val="21"/>
          <w:lang w:val="en-AU" w:eastAsia="en-AU"/>
        </w:rPr>
        <w:t xml:space="preserve"> </w:t>
      </w:r>
      <w:r w:rsidR="00CC108F" w:rsidRPr="00411F87">
        <w:rPr>
          <w:rFonts w:eastAsia="Times New Roman" w:cs="Arial"/>
          <w:sz w:val="21"/>
          <w:szCs w:val="21"/>
          <w:lang w:val="en-AU" w:eastAsia="en-AU"/>
        </w:rPr>
        <w:t xml:space="preserve">These categories </w:t>
      </w:r>
      <w:r w:rsidRPr="00411F87">
        <w:rPr>
          <w:rFonts w:eastAsia="Times New Roman" w:cs="Arial"/>
          <w:sz w:val="21"/>
          <w:szCs w:val="21"/>
          <w:lang w:val="en-AU" w:eastAsia="en-AU"/>
        </w:rPr>
        <w:t xml:space="preserve">are further broken down into </w:t>
      </w:r>
      <w:r w:rsidR="00CC108F" w:rsidRPr="00411F87">
        <w:rPr>
          <w:rFonts w:eastAsia="Times New Roman" w:cs="Arial"/>
          <w:sz w:val="21"/>
          <w:szCs w:val="21"/>
          <w:lang w:val="en-AU" w:eastAsia="en-AU"/>
        </w:rPr>
        <w:t xml:space="preserve">asset </w:t>
      </w:r>
      <w:r w:rsidRPr="00411F87">
        <w:rPr>
          <w:rFonts w:eastAsia="Times New Roman" w:cs="Arial"/>
          <w:sz w:val="21"/>
          <w:szCs w:val="21"/>
          <w:lang w:val="en-AU" w:eastAsia="en-AU"/>
        </w:rPr>
        <w:t xml:space="preserve">types and </w:t>
      </w:r>
      <w:r w:rsidR="00CC108F" w:rsidRPr="00411F87">
        <w:rPr>
          <w:rFonts w:eastAsia="Times New Roman" w:cs="Arial"/>
          <w:sz w:val="21"/>
          <w:szCs w:val="21"/>
          <w:lang w:val="en-AU" w:eastAsia="en-AU"/>
        </w:rPr>
        <w:t xml:space="preserve">classes </w:t>
      </w:r>
      <w:r w:rsidRPr="00411F87">
        <w:rPr>
          <w:rFonts w:eastAsia="Times New Roman" w:cs="Arial"/>
          <w:sz w:val="21"/>
          <w:szCs w:val="21"/>
          <w:lang w:val="en-AU" w:eastAsia="en-AU"/>
        </w:rPr>
        <w:t xml:space="preserve">in order </w:t>
      </w:r>
      <w:r w:rsidR="00CC108F" w:rsidRPr="00411F87">
        <w:rPr>
          <w:rFonts w:eastAsia="Times New Roman" w:cs="Arial"/>
          <w:sz w:val="21"/>
          <w:szCs w:val="21"/>
          <w:lang w:val="en-AU" w:eastAsia="en-AU"/>
        </w:rPr>
        <w:t>to recognise the</w:t>
      </w:r>
      <w:r w:rsidRPr="00411F87">
        <w:rPr>
          <w:rFonts w:eastAsia="Times New Roman" w:cs="Arial"/>
          <w:sz w:val="21"/>
          <w:szCs w:val="21"/>
          <w:lang w:val="en-AU" w:eastAsia="en-AU"/>
        </w:rPr>
        <w:t>m</w:t>
      </w:r>
      <w:r w:rsidR="00CC108F" w:rsidRPr="00411F87">
        <w:rPr>
          <w:rFonts w:eastAsia="Times New Roman" w:cs="Arial"/>
          <w:sz w:val="21"/>
          <w:szCs w:val="21"/>
          <w:lang w:val="en-AU" w:eastAsia="en-AU"/>
        </w:rPr>
        <w:t xml:space="preserve"> </w:t>
      </w:r>
      <w:r w:rsidRPr="00411F87">
        <w:rPr>
          <w:rFonts w:eastAsia="Times New Roman" w:cs="Arial"/>
          <w:sz w:val="21"/>
          <w:szCs w:val="21"/>
          <w:lang w:val="en-AU" w:eastAsia="en-AU"/>
        </w:rPr>
        <w:t>with</w:t>
      </w:r>
      <w:r w:rsidR="00CC108F" w:rsidRPr="00411F87">
        <w:rPr>
          <w:rFonts w:eastAsia="Times New Roman" w:cs="Arial"/>
          <w:sz w:val="21"/>
          <w:szCs w:val="21"/>
          <w:lang w:val="en-AU" w:eastAsia="en-AU"/>
        </w:rPr>
        <w:t xml:space="preserve">in </w:t>
      </w:r>
      <w:r w:rsidRPr="00411F87">
        <w:rPr>
          <w:rFonts w:eastAsia="Times New Roman" w:cs="Arial"/>
          <w:sz w:val="21"/>
          <w:szCs w:val="21"/>
          <w:lang w:val="en-AU" w:eastAsia="en-AU"/>
        </w:rPr>
        <w:t xml:space="preserve">the agency’s </w:t>
      </w:r>
      <w:r w:rsidR="00CC108F" w:rsidRPr="00411F87">
        <w:rPr>
          <w:rFonts w:eastAsia="Times New Roman" w:cs="Arial"/>
          <w:sz w:val="21"/>
          <w:szCs w:val="21"/>
          <w:lang w:val="en-AU" w:eastAsia="en-AU"/>
        </w:rPr>
        <w:t xml:space="preserve">finance </w:t>
      </w:r>
      <w:r w:rsidRPr="00411F87">
        <w:rPr>
          <w:rFonts w:eastAsia="Times New Roman" w:cs="Arial"/>
          <w:sz w:val="21"/>
          <w:szCs w:val="21"/>
          <w:lang w:val="en-AU" w:eastAsia="en-AU"/>
        </w:rPr>
        <w:t xml:space="preserve">management information </w:t>
      </w:r>
      <w:r w:rsidR="00CC108F" w:rsidRPr="00411F87">
        <w:rPr>
          <w:rFonts w:eastAsia="Times New Roman" w:cs="Arial"/>
          <w:sz w:val="21"/>
          <w:szCs w:val="21"/>
          <w:lang w:val="en-AU" w:eastAsia="en-AU"/>
        </w:rPr>
        <w:t xml:space="preserve">system (FMIS) and </w:t>
      </w:r>
      <w:r w:rsidRPr="00411F87">
        <w:rPr>
          <w:rFonts w:eastAsia="Times New Roman" w:cs="Arial"/>
          <w:sz w:val="21"/>
          <w:szCs w:val="21"/>
          <w:lang w:val="en-AU" w:eastAsia="en-AU"/>
        </w:rPr>
        <w:t xml:space="preserve">enable them to be </w:t>
      </w:r>
      <w:r w:rsidR="00CC108F" w:rsidRPr="00411F87">
        <w:rPr>
          <w:rFonts w:eastAsia="Times New Roman" w:cs="Arial"/>
          <w:sz w:val="21"/>
          <w:szCs w:val="21"/>
          <w:lang w:val="en-AU" w:eastAsia="en-AU"/>
        </w:rPr>
        <w:t xml:space="preserve">consolidated in the financial statements </w:t>
      </w:r>
      <w:r w:rsidRPr="00411F87">
        <w:rPr>
          <w:rFonts w:eastAsia="Times New Roman" w:cs="Arial"/>
          <w:sz w:val="21"/>
          <w:szCs w:val="21"/>
          <w:lang w:val="en-AU" w:eastAsia="en-AU"/>
        </w:rPr>
        <w:t>each year</w:t>
      </w:r>
      <w:r w:rsidR="00CC108F" w:rsidRPr="00411F87">
        <w:rPr>
          <w:rFonts w:eastAsia="Times New Roman" w:cs="Arial"/>
          <w:sz w:val="21"/>
          <w:szCs w:val="21"/>
          <w:lang w:val="en-AU" w:eastAsia="en-AU"/>
        </w:rPr>
        <w:t>.</w:t>
      </w:r>
      <w:r w:rsidRPr="00411F87">
        <w:rPr>
          <w:rFonts w:eastAsia="Times New Roman" w:cs="Arial"/>
          <w:sz w:val="21"/>
          <w:szCs w:val="21"/>
          <w:lang w:val="en-AU" w:eastAsia="en-AU"/>
        </w:rPr>
        <w:t xml:space="preserve"> </w:t>
      </w:r>
      <w:r w:rsidRPr="00411F87">
        <w:rPr>
          <w:rFonts w:eastAsia="Times New Roman" w:cs="Arial"/>
          <w:sz w:val="21"/>
          <w:szCs w:val="21"/>
          <w:lang w:val="en-AU" w:eastAsia="en-AU"/>
        </w:rPr>
        <w:fldChar w:fldCharType="begin"/>
      </w:r>
      <w:r w:rsidRPr="00411F87">
        <w:rPr>
          <w:rFonts w:eastAsia="Times New Roman" w:cs="Arial"/>
          <w:sz w:val="21"/>
          <w:szCs w:val="21"/>
          <w:lang w:val="en-AU" w:eastAsia="en-AU"/>
        </w:rPr>
        <w:instrText xml:space="preserve"> REF _Ref408918694 \h </w:instrText>
      </w:r>
      <w:r w:rsidR="00F55FD7" w:rsidRPr="00411F87">
        <w:rPr>
          <w:rFonts w:eastAsia="Times New Roman" w:cs="Arial"/>
          <w:sz w:val="21"/>
          <w:szCs w:val="21"/>
          <w:lang w:val="en-AU" w:eastAsia="en-AU"/>
        </w:rPr>
        <w:instrText xml:space="preserve"> \* MERGEFORMAT </w:instrText>
      </w:r>
      <w:r w:rsidRPr="00411F87">
        <w:rPr>
          <w:rFonts w:eastAsia="Times New Roman" w:cs="Arial"/>
          <w:sz w:val="21"/>
          <w:szCs w:val="21"/>
          <w:lang w:val="en-AU" w:eastAsia="en-AU"/>
        </w:rPr>
      </w:r>
      <w:r w:rsidRPr="00411F87">
        <w:rPr>
          <w:rFonts w:eastAsia="Times New Roman" w:cs="Arial"/>
          <w:sz w:val="21"/>
          <w:szCs w:val="21"/>
          <w:lang w:val="en-AU" w:eastAsia="en-AU"/>
        </w:rPr>
        <w:fldChar w:fldCharType="separate"/>
      </w:r>
      <w:r w:rsidR="00A1335C" w:rsidRPr="00A1335C">
        <w:rPr>
          <w:rFonts w:cs="Arial"/>
          <w:sz w:val="21"/>
          <w:szCs w:val="21"/>
        </w:rPr>
        <w:t xml:space="preserve">Table </w:t>
      </w:r>
      <w:r w:rsidR="00A1335C" w:rsidRPr="00A1335C">
        <w:rPr>
          <w:rFonts w:cs="Arial"/>
          <w:noProof/>
          <w:sz w:val="21"/>
          <w:szCs w:val="21"/>
        </w:rPr>
        <w:t>1</w:t>
      </w:r>
      <w:r w:rsidRPr="00411F87">
        <w:rPr>
          <w:rFonts w:eastAsia="Times New Roman" w:cs="Arial"/>
          <w:sz w:val="21"/>
          <w:szCs w:val="21"/>
          <w:lang w:val="en-AU" w:eastAsia="en-AU"/>
        </w:rPr>
        <w:fldChar w:fldCharType="end"/>
      </w:r>
      <w:r w:rsidR="00113093" w:rsidRPr="00411F87">
        <w:rPr>
          <w:rFonts w:eastAsia="Times New Roman" w:cs="Arial"/>
          <w:sz w:val="21"/>
          <w:szCs w:val="21"/>
          <w:lang w:val="en-AU" w:eastAsia="en-AU"/>
        </w:rPr>
        <w:t xml:space="preserve"> identifies the category, type and class of non-financial assets within the agency.</w:t>
      </w:r>
    </w:p>
    <w:p w14:paraId="6B74F44A" w14:textId="12242D10" w:rsidR="00CC108F" w:rsidRPr="00EC5577" w:rsidRDefault="00CC108F" w:rsidP="00CC108F">
      <w:pPr>
        <w:pStyle w:val="Caption"/>
        <w:keepNext/>
        <w:spacing w:before="120" w:after="0"/>
        <w:rPr>
          <w:rFonts w:cs="Arial"/>
        </w:rPr>
      </w:pPr>
      <w:bookmarkStart w:id="3" w:name="_Ref408918694"/>
      <w:r w:rsidRPr="00F41D76">
        <w:rPr>
          <w:rFonts w:cs="Arial"/>
        </w:rPr>
        <w:t xml:space="preserve">Table </w:t>
      </w:r>
      <w:r w:rsidR="00EC5075" w:rsidRPr="00F41D76">
        <w:rPr>
          <w:rFonts w:cs="Arial"/>
        </w:rPr>
        <w:fldChar w:fldCharType="begin"/>
      </w:r>
      <w:r w:rsidR="00EC5075" w:rsidRPr="00AC3A52">
        <w:rPr>
          <w:rFonts w:cs="Arial"/>
        </w:rPr>
        <w:instrText xml:space="preserve"> SEQ Table \* ARABIC </w:instrText>
      </w:r>
      <w:r w:rsidR="00EC5075" w:rsidRPr="00F41D76">
        <w:rPr>
          <w:rFonts w:cs="Arial"/>
        </w:rPr>
        <w:fldChar w:fldCharType="separate"/>
      </w:r>
      <w:r w:rsidR="00A1335C">
        <w:rPr>
          <w:rFonts w:cs="Arial"/>
          <w:noProof/>
        </w:rPr>
        <w:t>1</w:t>
      </w:r>
      <w:r w:rsidR="00EC5075" w:rsidRPr="00F41D76">
        <w:rPr>
          <w:rFonts w:cs="Arial"/>
        </w:rPr>
        <w:fldChar w:fldCharType="end"/>
      </w:r>
      <w:bookmarkEnd w:id="3"/>
      <w:r w:rsidRPr="00F41D76">
        <w:rPr>
          <w:rFonts w:cs="Arial"/>
          <w:b w:val="0"/>
        </w:rPr>
        <w:t xml:space="preserve">: Classes of non-financial asset </w:t>
      </w:r>
      <w:r w:rsidRPr="00F41D76">
        <w:rPr>
          <w:rFonts w:cs="Arial"/>
          <w:b w:val="0"/>
          <w:lang w:val="en-AU"/>
        </w:rPr>
        <w:t>utilised</w:t>
      </w:r>
      <w:r w:rsidRPr="00F41D76">
        <w:rPr>
          <w:rFonts w:cs="Arial"/>
          <w:b w:val="0"/>
        </w:rPr>
        <w:t xml:space="preserve"> within the agency</w:t>
      </w:r>
    </w:p>
    <w:tbl>
      <w:tblPr>
        <w:tblStyle w:val="TableGrid"/>
        <w:tblW w:w="0" w:type="auto"/>
        <w:tblInd w:w="108"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Caption w:val="Table 1"/>
        <w:tblDescription w:val="A table identifying classes of non-financial assets used within the agency."/>
      </w:tblPr>
      <w:tblGrid>
        <w:gridCol w:w="2988"/>
        <w:gridCol w:w="2831"/>
        <w:gridCol w:w="3053"/>
      </w:tblGrid>
      <w:tr w:rsidR="00CC108F" w:rsidRPr="00411F87" w14:paraId="6B74F44E" w14:textId="77777777" w:rsidTr="004967B1">
        <w:trPr>
          <w:trHeight w:val="308"/>
          <w:tblHeader/>
        </w:trPr>
        <w:tc>
          <w:tcPr>
            <w:tcW w:w="2988" w:type="dxa"/>
            <w:shd w:val="clear" w:color="auto" w:fill="BDD6EE" w:themeFill="accent1" w:themeFillTint="66"/>
            <w:vAlign w:val="center"/>
          </w:tcPr>
          <w:p w14:paraId="6B74F44B" w14:textId="77777777" w:rsidR="00CC108F" w:rsidRPr="00411F87" w:rsidRDefault="00CC108F" w:rsidP="00CC108F">
            <w:pPr>
              <w:pStyle w:val="ListParagraph"/>
              <w:spacing w:after="0"/>
              <w:ind w:left="0"/>
              <w:contextualSpacing w:val="0"/>
              <w:jc w:val="center"/>
              <w:rPr>
                <w:rFonts w:cs="Arial"/>
                <w:b/>
                <w:sz w:val="21"/>
                <w:szCs w:val="21"/>
                <w:lang w:val="en-AU"/>
              </w:rPr>
            </w:pPr>
            <w:r w:rsidRPr="00411F87">
              <w:rPr>
                <w:rFonts w:cs="Arial"/>
                <w:b/>
                <w:sz w:val="21"/>
                <w:szCs w:val="21"/>
                <w:lang w:val="en-AU"/>
              </w:rPr>
              <w:t>Non-financial asset category</w:t>
            </w:r>
          </w:p>
        </w:tc>
        <w:tc>
          <w:tcPr>
            <w:tcW w:w="2831" w:type="dxa"/>
            <w:shd w:val="clear" w:color="auto" w:fill="BDD6EE" w:themeFill="accent1" w:themeFillTint="66"/>
            <w:vAlign w:val="center"/>
          </w:tcPr>
          <w:p w14:paraId="6B74F44C" w14:textId="77777777" w:rsidR="00CC108F" w:rsidRPr="00411F87" w:rsidRDefault="00510422" w:rsidP="00CC108F">
            <w:pPr>
              <w:pStyle w:val="ListParagraph"/>
              <w:spacing w:after="0"/>
              <w:ind w:left="0"/>
              <w:contextualSpacing w:val="0"/>
              <w:jc w:val="center"/>
              <w:rPr>
                <w:rFonts w:cs="Arial"/>
                <w:b/>
                <w:sz w:val="21"/>
                <w:szCs w:val="21"/>
                <w:lang w:val="en-AU"/>
              </w:rPr>
            </w:pPr>
            <w:r w:rsidRPr="00411F87">
              <w:rPr>
                <w:rFonts w:cs="Arial"/>
                <w:b/>
                <w:sz w:val="21"/>
                <w:szCs w:val="21"/>
                <w:lang w:val="en-AU"/>
              </w:rPr>
              <w:t>Asset</w:t>
            </w:r>
            <w:r w:rsidR="00CC108F" w:rsidRPr="00411F87">
              <w:rPr>
                <w:rFonts w:cs="Arial"/>
                <w:b/>
                <w:sz w:val="21"/>
                <w:szCs w:val="21"/>
                <w:lang w:val="en-AU"/>
              </w:rPr>
              <w:t xml:space="preserve"> type</w:t>
            </w:r>
          </w:p>
        </w:tc>
        <w:tc>
          <w:tcPr>
            <w:tcW w:w="3053" w:type="dxa"/>
            <w:shd w:val="clear" w:color="auto" w:fill="BDD6EE" w:themeFill="accent1" w:themeFillTint="66"/>
            <w:vAlign w:val="center"/>
          </w:tcPr>
          <w:p w14:paraId="6B74F44D" w14:textId="77777777" w:rsidR="00CC108F" w:rsidRPr="00411F87" w:rsidRDefault="00CC108F" w:rsidP="00CC108F">
            <w:pPr>
              <w:pStyle w:val="ListParagraph"/>
              <w:spacing w:after="0"/>
              <w:ind w:left="0"/>
              <w:contextualSpacing w:val="0"/>
              <w:jc w:val="center"/>
              <w:rPr>
                <w:rFonts w:cs="Arial"/>
                <w:b/>
                <w:sz w:val="21"/>
                <w:szCs w:val="21"/>
                <w:lang w:val="en-AU"/>
              </w:rPr>
            </w:pPr>
            <w:r w:rsidRPr="00411F87">
              <w:rPr>
                <w:rFonts w:cs="Arial"/>
                <w:b/>
                <w:sz w:val="21"/>
                <w:szCs w:val="21"/>
                <w:lang w:val="en-AU"/>
              </w:rPr>
              <w:t>Asset class</w:t>
            </w:r>
          </w:p>
        </w:tc>
      </w:tr>
      <w:tr w:rsidR="00CC108F" w:rsidRPr="00411F87" w14:paraId="6B74F452" w14:textId="77777777" w:rsidTr="004967B1">
        <w:tc>
          <w:tcPr>
            <w:tcW w:w="2988" w:type="dxa"/>
            <w:vMerge w:val="restart"/>
          </w:tcPr>
          <w:p w14:paraId="6B74F44F"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Tangible (physical) Asset</w:t>
            </w:r>
          </w:p>
        </w:tc>
        <w:tc>
          <w:tcPr>
            <w:tcW w:w="2831" w:type="dxa"/>
          </w:tcPr>
          <w:p w14:paraId="6B74F450"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Land</w:t>
            </w:r>
          </w:p>
        </w:tc>
        <w:tc>
          <w:tcPr>
            <w:tcW w:w="3053" w:type="dxa"/>
          </w:tcPr>
          <w:p w14:paraId="6B74F451"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Land</w:t>
            </w:r>
          </w:p>
        </w:tc>
      </w:tr>
      <w:tr w:rsidR="00CC108F" w:rsidRPr="00411F87" w14:paraId="6B74F456" w14:textId="77777777" w:rsidTr="004967B1">
        <w:tc>
          <w:tcPr>
            <w:tcW w:w="2988" w:type="dxa"/>
            <w:vMerge/>
          </w:tcPr>
          <w:p w14:paraId="6B74F453" w14:textId="77777777" w:rsidR="00CC108F" w:rsidRPr="00411F87" w:rsidRDefault="00CC108F" w:rsidP="00CC108F">
            <w:pPr>
              <w:pStyle w:val="ListParagraph"/>
              <w:spacing w:after="80"/>
              <w:ind w:left="0"/>
              <w:contextualSpacing w:val="0"/>
              <w:rPr>
                <w:rFonts w:cs="Arial"/>
                <w:sz w:val="21"/>
                <w:szCs w:val="21"/>
                <w:lang w:val="en-AU"/>
              </w:rPr>
            </w:pPr>
          </w:p>
        </w:tc>
        <w:tc>
          <w:tcPr>
            <w:tcW w:w="2831" w:type="dxa"/>
          </w:tcPr>
          <w:p w14:paraId="6B74F454"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Buildings</w:t>
            </w:r>
          </w:p>
        </w:tc>
        <w:tc>
          <w:tcPr>
            <w:tcW w:w="3053" w:type="dxa"/>
          </w:tcPr>
          <w:p w14:paraId="6B74F455" w14:textId="77777777" w:rsidR="00C96533"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Buildings</w:t>
            </w:r>
          </w:p>
        </w:tc>
      </w:tr>
      <w:tr w:rsidR="00510422" w:rsidRPr="00411F87" w14:paraId="6B74F45A" w14:textId="77777777" w:rsidTr="004967B1">
        <w:tc>
          <w:tcPr>
            <w:tcW w:w="2988" w:type="dxa"/>
            <w:vMerge/>
          </w:tcPr>
          <w:p w14:paraId="6B74F457" w14:textId="77777777" w:rsidR="00510422" w:rsidRPr="00411F87" w:rsidRDefault="00510422" w:rsidP="00CC108F">
            <w:pPr>
              <w:pStyle w:val="ListParagraph"/>
              <w:spacing w:after="80"/>
              <w:ind w:left="0"/>
              <w:contextualSpacing w:val="0"/>
              <w:rPr>
                <w:rFonts w:cs="Arial"/>
                <w:sz w:val="21"/>
                <w:szCs w:val="21"/>
                <w:lang w:val="en-AU"/>
              </w:rPr>
            </w:pPr>
          </w:p>
        </w:tc>
        <w:tc>
          <w:tcPr>
            <w:tcW w:w="2831" w:type="dxa"/>
          </w:tcPr>
          <w:p w14:paraId="6B74F458" w14:textId="06A80097" w:rsidR="00510422" w:rsidRPr="00411F87" w:rsidRDefault="00510422" w:rsidP="005F1956">
            <w:pPr>
              <w:pStyle w:val="ListParagraph"/>
              <w:spacing w:after="80"/>
              <w:ind w:left="0"/>
              <w:contextualSpacing w:val="0"/>
              <w:rPr>
                <w:rFonts w:cs="Arial"/>
                <w:sz w:val="21"/>
                <w:szCs w:val="21"/>
                <w:lang w:val="en-AU"/>
              </w:rPr>
            </w:pPr>
            <w:r w:rsidRPr="00411F87">
              <w:rPr>
                <w:rFonts w:cs="Arial"/>
                <w:sz w:val="21"/>
                <w:szCs w:val="21"/>
                <w:lang w:val="en-AU"/>
              </w:rPr>
              <w:t xml:space="preserve">Heritage </w:t>
            </w:r>
            <w:r w:rsidR="005F1956" w:rsidRPr="00411F87">
              <w:rPr>
                <w:rFonts w:cs="Arial"/>
                <w:sz w:val="21"/>
                <w:szCs w:val="21"/>
                <w:lang w:val="en-AU"/>
              </w:rPr>
              <w:t>and c</w:t>
            </w:r>
            <w:r w:rsidRPr="00411F87">
              <w:rPr>
                <w:rFonts w:cs="Arial"/>
                <w:sz w:val="21"/>
                <w:szCs w:val="21"/>
                <w:lang w:val="en-AU"/>
              </w:rPr>
              <w:t>ultural</w:t>
            </w:r>
          </w:p>
        </w:tc>
        <w:tc>
          <w:tcPr>
            <w:tcW w:w="3053" w:type="dxa"/>
          </w:tcPr>
          <w:p w14:paraId="6B74F459" w14:textId="25DCFAC7" w:rsidR="00510422" w:rsidRPr="00411F87" w:rsidRDefault="00510422" w:rsidP="005F1956">
            <w:pPr>
              <w:pStyle w:val="ListParagraph"/>
              <w:spacing w:after="80"/>
              <w:ind w:left="0"/>
              <w:contextualSpacing w:val="0"/>
              <w:rPr>
                <w:rFonts w:cs="Arial"/>
                <w:sz w:val="21"/>
                <w:szCs w:val="21"/>
                <w:lang w:val="en-AU"/>
              </w:rPr>
            </w:pPr>
            <w:r w:rsidRPr="00411F87">
              <w:rPr>
                <w:rFonts w:cs="Arial"/>
                <w:sz w:val="21"/>
                <w:szCs w:val="21"/>
                <w:lang w:val="en-AU"/>
              </w:rPr>
              <w:t xml:space="preserve">Heritage </w:t>
            </w:r>
            <w:r w:rsidR="005F1956" w:rsidRPr="00411F87">
              <w:rPr>
                <w:rFonts w:cs="Arial"/>
                <w:sz w:val="21"/>
                <w:szCs w:val="21"/>
                <w:lang w:val="en-AU"/>
              </w:rPr>
              <w:t>and</w:t>
            </w:r>
            <w:r w:rsidRPr="00411F87">
              <w:rPr>
                <w:rFonts w:cs="Arial"/>
                <w:sz w:val="21"/>
                <w:szCs w:val="21"/>
                <w:lang w:val="en-AU"/>
              </w:rPr>
              <w:t xml:space="preserve"> </w:t>
            </w:r>
            <w:r w:rsidR="005F1956" w:rsidRPr="00411F87">
              <w:rPr>
                <w:rFonts w:cs="Arial"/>
                <w:sz w:val="21"/>
                <w:szCs w:val="21"/>
                <w:lang w:val="en-AU"/>
              </w:rPr>
              <w:t>c</w:t>
            </w:r>
            <w:r w:rsidRPr="00411F87">
              <w:rPr>
                <w:rFonts w:cs="Arial"/>
                <w:sz w:val="21"/>
                <w:szCs w:val="21"/>
                <w:lang w:val="en-AU"/>
              </w:rPr>
              <w:t>ultural</w:t>
            </w:r>
          </w:p>
        </w:tc>
      </w:tr>
      <w:tr w:rsidR="00CC108F" w:rsidRPr="00411F87" w14:paraId="6B74F45E" w14:textId="77777777" w:rsidTr="004967B1">
        <w:tc>
          <w:tcPr>
            <w:tcW w:w="2988" w:type="dxa"/>
            <w:vMerge/>
          </w:tcPr>
          <w:p w14:paraId="6B74F45B" w14:textId="77777777" w:rsidR="00CC108F" w:rsidRPr="00411F87" w:rsidRDefault="00CC108F" w:rsidP="00CC108F">
            <w:pPr>
              <w:pStyle w:val="ListParagraph"/>
              <w:spacing w:after="80"/>
              <w:ind w:left="0"/>
              <w:contextualSpacing w:val="0"/>
              <w:rPr>
                <w:rFonts w:cs="Arial"/>
                <w:sz w:val="21"/>
                <w:szCs w:val="21"/>
                <w:lang w:val="en-AU"/>
              </w:rPr>
            </w:pPr>
          </w:p>
        </w:tc>
        <w:tc>
          <w:tcPr>
            <w:tcW w:w="2831" w:type="dxa"/>
          </w:tcPr>
          <w:p w14:paraId="6B74F45C"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Leasehold improvements</w:t>
            </w:r>
          </w:p>
        </w:tc>
        <w:tc>
          <w:tcPr>
            <w:tcW w:w="3053" w:type="dxa"/>
          </w:tcPr>
          <w:p w14:paraId="6B74F45D"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Leasehold improvements</w:t>
            </w:r>
          </w:p>
        </w:tc>
      </w:tr>
      <w:tr w:rsidR="00CC108F" w:rsidRPr="00411F87" w14:paraId="6B74F469" w14:textId="77777777" w:rsidTr="004967B1">
        <w:tc>
          <w:tcPr>
            <w:tcW w:w="2988" w:type="dxa"/>
            <w:vMerge/>
          </w:tcPr>
          <w:p w14:paraId="6B74F45F" w14:textId="77777777" w:rsidR="00CC108F" w:rsidRPr="00411F87" w:rsidRDefault="00CC108F" w:rsidP="00CC108F">
            <w:pPr>
              <w:pStyle w:val="ListParagraph"/>
              <w:spacing w:after="80"/>
              <w:ind w:left="0"/>
              <w:contextualSpacing w:val="0"/>
              <w:rPr>
                <w:rFonts w:cs="Arial"/>
                <w:sz w:val="21"/>
                <w:szCs w:val="21"/>
                <w:lang w:val="en-AU"/>
              </w:rPr>
            </w:pPr>
          </w:p>
        </w:tc>
        <w:tc>
          <w:tcPr>
            <w:tcW w:w="2831" w:type="dxa"/>
          </w:tcPr>
          <w:p w14:paraId="6B74F460" w14:textId="5F97AD41" w:rsidR="00CC108F" w:rsidRPr="00411F87" w:rsidRDefault="00CC108F" w:rsidP="005F1956">
            <w:pPr>
              <w:pStyle w:val="ListParagraph"/>
              <w:spacing w:after="80"/>
              <w:ind w:left="0"/>
              <w:contextualSpacing w:val="0"/>
              <w:rPr>
                <w:rFonts w:cs="Arial"/>
                <w:sz w:val="21"/>
                <w:szCs w:val="21"/>
                <w:lang w:val="en-AU"/>
              </w:rPr>
            </w:pPr>
            <w:r w:rsidRPr="00411F87">
              <w:rPr>
                <w:rFonts w:cs="Arial"/>
                <w:sz w:val="21"/>
                <w:szCs w:val="21"/>
                <w:lang w:val="en-AU"/>
              </w:rPr>
              <w:t xml:space="preserve">Plant </w:t>
            </w:r>
            <w:r w:rsidR="005F1956" w:rsidRPr="00411F87">
              <w:rPr>
                <w:rFonts w:cs="Arial"/>
                <w:sz w:val="21"/>
                <w:szCs w:val="21"/>
                <w:lang w:val="en-AU"/>
              </w:rPr>
              <w:t>and</w:t>
            </w:r>
            <w:r w:rsidRPr="00411F87">
              <w:rPr>
                <w:rFonts w:cs="Arial"/>
                <w:sz w:val="21"/>
                <w:szCs w:val="21"/>
                <w:lang w:val="en-AU"/>
              </w:rPr>
              <w:t xml:space="preserve"> equipment</w:t>
            </w:r>
          </w:p>
        </w:tc>
        <w:tc>
          <w:tcPr>
            <w:tcW w:w="3053" w:type="dxa"/>
          </w:tcPr>
          <w:p w14:paraId="6B74F461" w14:textId="1AFD84E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 xml:space="preserve">Audio </w:t>
            </w:r>
            <w:r w:rsidR="005F1956" w:rsidRPr="00411F87">
              <w:rPr>
                <w:rFonts w:cs="Arial"/>
                <w:sz w:val="21"/>
                <w:szCs w:val="21"/>
                <w:lang w:val="en-AU"/>
              </w:rPr>
              <w:t>and</w:t>
            </w:r>
            <w:r w:rsidRPr="00411F87">
              <w:rPr>
                <w:rFonts w:cs="Arial"/>
                <w:sz w:val="21"/>
                <w:szCs w:val="21"/>
                <w:lang w:val="en-AU"/>
              </w:rPr>
              <w:t xml:space="preserve"> visual</w:t>
            </w:r>
          </w:p>
          <w:p w14:paraId="6B74F462" w14:textId="7777777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Computer hardware</w:t>
            </w:r>
          </w:p>
          <w:p w14:paraId="6B74F463" w14:textId="7777777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Reef HQ exhibits</w:t>
            </w:r>
          </w:p>
          <w:p w14:paraId="6B74F464" w14:textId="7860050D"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 xml:space="preserve">Furniture </w:t>
            </w:r>
            <w:r w:rsidR="005F1956" w:rsidRPr="00411F87">
              <w:rPr>
                <w:rFonts w:cs="Arial"/>
                <w:sz w:val="21"/>
                <w:szCs w:val="21"/>
                <w:lang w:val="en-AU"/>
              </w:rPr>
              <w:t>and</w:t>
            </w:r>
            <w:r w:rsidRPr="00411F87">
              <w:rPr>
                <w:rFonts w:cs="Arial"/>
                <w:sz w:val="21"/>
                <w:szCs w:val="21"/>
                <w:lang w:val="en-AU"/>
              </w:rPr>
              <w:t xml:space="preserve"> fittings</w:t>
            </w:r>
          </w:p>
          <w:p w14:paraId="6B74F465" w14:textId="3D4653B0"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 xml:space="preserve">Marine </w:t>
            </w:r>
            <w:r w:rsidR="005F1956" w:rsidRPr="00411F87">
              <w:rPr>
                <w:rFonts w:cs="Arial"/>
                <w:sz w:val="21"/>
                <w:szCs w:val="21"/>
                <w:lang w:val="en-AU"/>
              </w:rPr>
              <w:t xml:space="preserve">and </w:t>
            </w:r>
            <w:r w:rsidRPr="00411F87">
              <w:rPr>
                <w:rFonts w:cs="Arial"/>
                <w:sz w:val="21"/>
                <w:szCs w:val="21"/>
                <w:lang w:val="en-AU"/>
              </w:rPr>
              <w:t>diving equipment</w:t>
            </w:r>
          </w:p>
          <w:p w14:paraId="6B74F466" w14:textId="7777777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Office machines</w:t>
            </w:r>
          </w:p>
          <w:p w14:paraId="6B74F467" w14:textId="7777777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Scientific</w:t>
            </w:r>
          </w:p>
          <w:p w14:paraId="6B74F468" w14:textId="77777777" w:rsidR="00CC108F" w:rsidRPr="00411F87" w:rsidRDefault="00CC108F" w:rsidP="005F1956">
            <w:pPr>
              <w:pStyle w:val="ListParagraph"/>
              <w:spacing w:after="80"/>
              <w:ind w:left="0" w:right="-108"/>
              <w:contextualSpacing w:val="0"/>
              <w:rPr>
                <w:rFonts w:cs="Arial"/>
                <w:sz w:val="21"/>
                <w:szCs w:val="21"/>
                <w:lang w:val="en-AU"/>
              </w:rPr>
            </w:pPr>
            <w:r w:rsidRPr="00411F87">
              <w:rPr>
                <w:rFonts w:cs="Arial"/>
                <w:sz w:val="21"/>
                <w:szCs w:val="21"/>
                <w:lang w:val="en-AU"/>
              </w:rPr>
              <w:t>Vehicles</w:t>
            </w:r>
          </w:p>
        </w:tc>
      </w:tr>
      <w:tr w:rsidR="00CC108F" w:rsidRPr="00411F87" w14:paraId="6B74F46E" w14:textId="77777777" w:rsidTr="004967B1">
        <w:tc>
          <w:tcPr>
            <w:tcW w:w="2988" w:type="dxa"/>
          </w:tcPr>
          <w:p w14:paraId="6B74F46A"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Intangible Asset</w:t>
            </w:r>
          </w:p>
        </w:tc>
        <w:tc>
          <w:tcPr>
            <w:tcW w:w="2831" w:type="dxa"/>
          </w:tcPr>
          <w:p w14:paraId="6B74F46B"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Intangibles</w:t>
            </w:r>
          </w:p>
        </w:tc>
        <w:tc>
          <w:tcPr>
            <w:tcW w:w="3053" w:type="dxa"/>
          </w:tcPr>
          <w:p w14:paraId="6B74F46C" w14:textId="29EA606A" w:rsidR="00510422" w:rsidRPr="00411F87" w:rsidRDefault="003B4A8E" w:rsidP="00CC108F">
            <w:pPr>
              <w:pStyle w:val="ListParagraph"/>
              <w:spacing w:after="80"/>
              <w:ind w:left="0"/>
              <w:contextualSpacing w:val="0"/>
              <w:rPr>
                <w:rFonts w:cs="Arial"/>
                <w:i/>
                <w:sz w:val="21"/>
                <w:szCs w:val="21"/>
                <w:lang w:val="en-AU"/>
              </w:rPr>
            </w:pPr>
            <w:hyperlink w:anchor="InternallyDevelopedSoftware" w:history="1">
              <w:r w:rsidR="00510422" w:rsidRPr="00411F87">
                <w:rPr>
                  <w:rStyle w:val="Hyperlink"/>
                  <w:rFonts w:cs="Arial"/>
                  <w:i/>
                  <w:sz w:val="21"/>
                  <w:szCs w:val="21"/>
                  <w:lang w:val="en-AU"/>
                </w:rPr>
                <w:t>Internally developed software</w:t>
              </w:r>
            </w:hyperlink>
          </w:p>
          <w:p w14:paraId="0BC2AF8F" w14:textId="77777777" w:rsidR="00CC108F" w:rsidRPr="00411F87" w:rsidRDefault="00CC108F" w:rsidP="00CC108F">
            <w:pPr>
              <w:pStyle w:val="ListParagraph"/>
              <w:spacing w:after="80"/>
              <w:ind w:left="0"/>
              <w:contextualSpacing w:val="0"/>
              <w:rPr>
                <w:rFonts w:cs="Arial"/>
                <w:sz w:val="21"/>
                <w:szCs w:val="21"/>
                <w:lang w:val="en-AU"/>
              </w:rPr>
            </w:pPr>
            <w:r w:rsidRPr="00411F87">
              <w:rPr>
                <w:rFonts w:cs="Arial"/>
                <w:sz w:val="21"/>
                <w:szCs w:val="21"/>
                <w:lang w:val="en-AU"/>
              </w:rPr>
              <w:t>Software</w:t>
            </w:r>
            <w:r w:rsidR="00510422" w:rsidRPr="00411F87">
              <w:rPr>
                <w:rFonts w:cs="Arial"/>
                <w:sz w:val="21"/>
                <w:szCs w:val="21"/>
                <w:lang w:val="en-AU"/>
              </w:rPr>
              <w:t xml:space="preserve"> purchased</w:t>
            </w:r>
          </w:p>
          <w:p w14:paraId="46D5AC8F" w14:textId="77777777" w:rsidR="00790F03" w:rsidRPr="00411F87" w:rsidRDefault="00790F03" w:rsidP="00CC108F">
            <w:pPr>
              <w:pStyle w:val="ListParagraph"/>
              <w:spacing w:after="80"/>
              <w:ind w:left="0"/>
              <w:contextualSpacing w:val="0"/>
              <w:rPr>
                <w:rFonts w:cs="Arial"/>
                <w:sz w:val="21"/>
                <w:szCs w:val="21"/>
                <w:lang w:val="en-AU"/>
              </w:rPr>
            </w:pPr>
            <w:r w:rsidRPr="00411F87">
              <w:rPr>
                <w:rFonts w:cs="Arial"/>
                <w:sz w:val="21"/>
                <w:szCs w:val="21"/>
                <w:lang w:val="en-AU"/>
              </w:rPr>
              <w:t>Patents</w:t>
            </w:r>
          </w:p>
          <w:p w14:paraId="54166F48" w14:textId="77777777" w:rsidR="00790F03" w:rsidRPr="00411F87" w:rsidRDefault="00790F03" w:rsidP="00CC108F">
            <w:pPr>
              <w:pStyle w:val="ListParagraph"/>
              <w:spacing w:after="80"/>
              <w:ind w:left="0"/>
              <w:contextualSpacing w:val="0"/>
              <w:rPr>
                <w:rFonts w:cs="Arial"/>
                <w:sz w:val="21"/>
                <w:szCs w:val="21"/>
                <w:lang w:val="en-AU"/>
              </w:rPr>
            </w:pPr>
            <w:r w:rsidRPr="00411F87">
              <w:rPr>
                <w:rFonts w:cs="Arial"/>
                <w:sz w:val="21"/>
                <w:szCs w:val="21"/>
                <w:lang w:val="en-AU"/>
              </w:rPr>
              <w:t>Trademarks</w:t>
            </w:r>
          </w:p>
          <w:p w14:paraId="6B74F46D" w14:textId="7BB803A8" w:rsidR="0040070B" w:rsidRPr="00411F87" w:rsidRDefault="0040070B" w:rsidP="00CC108F">
            <w:pPr>
              <w:pStyle w:val="ListParagraph"/>
              <w:spacing w:after="80"/>
              <w:ind w:left="0"/>
              <w:contextualSpacing w:val="0"/>
              <w:rPr>
                <w:rFonts w:cs="Arial"/>
                <w:sz w:val="21"/>
                <w:szCs w:val="21"/>
                <w:lang w:val="en-AU"/>
              </w:rPr>
            </w:pPr>
            <w:r w:rsidRPr="00411F87">
              <w:rPr>
                <w:rFonts w:cs="Arial"/>
                <w:sz w:val="21"/>
                <w:szCs w:val="21"/>
                <w:lang w:val="en-AU"/>
              </w:rPr>
              <w:t>Copyrights</w:t>
            </w:r>
          </w:p>
        </w:tc>
      </w:tr>
    </w:tbl>
    <w:p w14:paraId="6B74F470" w14:textId="1F222F45" w:rsidR="00CC108F" w:rsidRPr="00411F87" w:rsidRDefault="00CC108F" w:rsidP="00411F87">
      <w:pPr>
        <w:pStyle w:val="ListParagraph"/>
        <w:numPr>
          <w:ilvl w:val="0"/>
          <w:numId w:val="6"/>
        </w:numPr>
        <w:spacing w:before="120"/>
        <w:contextualSpacing w:val="0"/>
        <w:rPr>
          <w:rFonts w:cs="Arial"/>
          <w:sz w:val="21"/>
          <w:szCs w:val="21"/>
          <w:lang w:val="en-AU"/>
        </w:rPr>
      </w:pPr>
      <w:r w:rsidRPr="00411F87">
        <w:rPr>
          <w:rFonts w:eastAsia="Times New Roman" w:cs="Arial"/>
          <w:sz w:val="21"/>
          <w:szCs w:val="21"/>
          <w:lang w:val="en-AU" w:eastAsia="en-AU"/>
        </w:rPr>
        <w:lastRenderedPageBreak/>
        <w:t>In order to meet the day-to-day operational needs of the agency, the non-financial asset infrastructure is required to be flexible in nature</w:t>
      </w:r>
      <w:r w:rsidR="00ED20D5" w:rsidRPr="00411F87">
        <w:rPr>
          <w:rFonts w:eastAsia="Times New Roman" w:cs="Arial"/>
          <w:sz w:val="21"/>
          <w:szCs w:val="21"/>
          <w:lang w:val="en-AU" w:eastAsia="en-AU"/>
        </w:rPr>
        <w:t>;</w:t>
      </w:r>
      <w:r w:rsidRPr="00411F87">
        <w:rPr>
          <w:rFonts w:eastAsia="Times New Roman" w:cs="Arial"/>
          <w:sz w:val="21"/>
          <w:szCs w:val="21"/>
          <w:lang w:val="en-AU" w:eastAsia="en-AU"/>
        </w:rPr>
        <w:t xml:space="preserve"> capable of expanding, contracting and/or being renewed.</w:t>
      </w:r>
    </w:p>
    <w:p w14:paraId="6B74F471" w14:textId="77777777" w:rsidR="00CC108F" w:rsidRPr="00411F87" w:rsidRDefault="00CC108F" w:rsidP="00CC108F">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The core principles applied to the financial and operational requirements of the agency’s non-financial asset infrastructure are derived primarily from the following legislation and standards:</w:t>
      </w:r>
    </w:p>
    <w:p w14:paraId="6B74F472" w14:textId="77777777" w:rsidR="00CC108F" w:rsidRPr="00411F87" w:rsidRDefault="00CC108F" w:rsidP="00CC108F">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 xml:space="preserve">The </w:t>
      </w:r>
      <w:r w:rsidRPr="00411F87">
        <w:rPr>
          <w:rFonts w:eastAsia="Times New Roman" w:cs="Arial"/>
          <w:i/>
          <w:sz w:val="21"/>
          <w:szCs w:val="21"/>
          <w:lang w:val="en-AU" w:eastAsia="en-AU"/>
        </w:rPr>
        <w:t>Public Governance, Performance and Accountability Act 2013</w:t>
      </w:r>
      <w:r w:rsidRPr="00411F87">
        <w:rPr>
          <w:rFonts w:eastAsia="Times New Roman" w:cs="Arial"/>
          <w:sz w:val="21"/>
          <w:szCs w:val="21"/>
          <w:lang w:val="en-AU" w:eastAsia="en-AU"/>
        </w:rPr>
        <w:t xml:space="preserve"> (the ‘PGPA Act’), and the </w:t>
      </w:r>
      <w:r w:rsidRPr="00411F87">
        <w:rPr>
          <w:rFonts w:eastAsia="Times New Roman" w:cs="Arial"/>
          <w:i/>
          <w:sz w:val="21"/>
          <w:szCs w:val="21"/>
          <w:lang w:val="en-AU" w:eastAsia="en-AU"/>
        </w:rPr>
        <w:t>Public Governance, Performance and Accountability Rule 2014</w:t>
      </w:r>
      <w:r w:rsidRPr="00411F87">
        <w:rPr>
          <w:rFonts w:eastAsia="Times New Roman" w:cs="Arial"/>
          <w:sz w:val="21"/>
          <w:szCs w:val="21"/>
          <w:lang w:val="en-AU" w:eastAsia="en-AU"/>
        </w:rPr>
        <w:t xml:space="preserve"> (the ‘PGPA Rule’); </w:t>
      </w:r>
    </w:p>
    <w:p w14:paraId="6B74F473" w14:textId="77777777" w:rsidR="00CC108F" w:rsidRPr="00411F87" w:rsidRDefault="00CC108F" w:rsidP="00CC108F">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 xml:space="preserve">Commonwealth Resource Management Guidelines (RMGs);  </w:t>
      </w:r>
    </w:p>
    <w:p w14:paraId="6B74F474" w14:textId="77777777" w:rsidR="00CC108F" w:rsidRPr="00411F87" w:rsidRDefault="00CC108F" w:rsidP="00CC108F">
      <w:pPr>
        <w:pStyle w:val="ListParagraph"/>
        <w:numPr>
          <w:ilvl w:val="1"/>
          <w:numId w:val="6"/>
        </w:numPr>
        <w:autoSpaceDE w:val="0"/>
        <w:autoSpaceDN w:val="0"/>
        <w:adjustRightInd w:val="0"/>
        <w:spacing w:after="80"/>
        <w:contextualSpacing w:val="0"/>
        <w:rPr>
          <w:rFonts w:cs="Arial"/>
          <w:sz w:val="21"/>
          <w:szCs w:val="21"/>
          <w:lang w:val="en-AU"/>
        </w:rPr>
      </w:pPr>
      <w:r w:rsidRPr="00411F87">
        <w:rPr>
          <w:rFonts w:eastAsia="Times New Roman" w:cs="Arial"/>
          <w:sz w:val="21"/>
          <w:szCs w:val="21"/>
          <w:lang w:val="en-AU" w:eastAsia="en-AU"/>
        </w:rPr>
        <w:t>Standards of the Australian Accounting Standards Board (AASB); and</w:t>
      </w:r>
    </w:p>
    <w:p w14:paraId="6B74F475" w14:textId="77777777" w:rsidR="00CC108F" w:rsidRPr="00411F87" w:rsidRDefault="00CC108F" w:rsidP="00CC108F">
      <w:pPr>
        <w:pStyle w:val="ListParagraph"/>
        <w:numPr>
          <w:ilvl w:val="1"/>
          <w:numId w:val="6"/>
        </w:numPr>
        <w:autoSpaceDE w:val="0"/>
        <w:autoSpaceDN w:val="0"/>
        <w:adjustRightInd w:val="0"/>
        <w:spacing w:after="80"/>
        <w:contextualSpacing w:val="0"/>
        <w:rPr>
          <w:rFonts w:cs="Arial"/>
          <w:sz w:val="21"/>
          <w:szCs w:val="21"/>
          <w:lang w:val="en-AU"/>
        </w:rPr>
      </w:pPr>
      <w:r w:rsidRPr="00411F87">
        <w:rPr>
          <w:rFonts w:cs="Arial"/>
          <w:color w:val="000000"/>
          <w:sz w:val="21"/>
          <w:szCs w:val="21"/>
          <w:lang w:val="en-AU"/>
        </w:rPr>
        <w:t>The Department of Finance’s Accounting Guidance Note No 2010/1.</w:t>
      </w:r>
    </w:p>
    <w:p w14:paraId="6B74F476" w14:textId="7E6429E8" w:rsidR="00193FB5" w:rsidRPr="00411F87" w:rsidRDefault="00193FB5" w:rsidP="00193FB5">
      <w:pPr>
        <w:pStyle w:val="ListParagraph"/>
        <w:numPr>
          <w:ilvl w:val="0"/>
          <w:numId w:val="6"/>
        </w:numPr>
        <w:spacing w:after="80"/>
        <w:contextualSpacing w:val="0"/>
        <w:rPr>
          <w:rFonts w:cs="Arial"/>
          <w:sz w:val="21"/>
          <w:szCs w:val="21"/>
          <w:lang w:val="en-AU"/>
        </w:rPr>
      </w:pPr>
      <w:r w:rsidRPr="00411F87">
        <w:rPr>
          <w:rFonts w:eastAsia="Times New Roman" w:cs="Arial"/>
          <w:sz w:val="21"/>
          <w:szCs w:val="21"/>
          <w:lang w:val="en-AU" w:eastAsia="en-AU"/>
        </w:rPr>
        <w:t xml:space="preserve">This policy applies </w:t>
      </w:r>
      <w:r w:rsidR="00113093" w:rsidRPr="00411F87">
        <w:rPr>
          <w:rFonts w:eastAsia="Times New Roman" w:cs="Arial"/>
          <w:sz w:val="21"/>
          <w:szCs w:val="21"/>
          <w:lang w:val="en-AU" w:eastAsia="en-AU"/>
        </w:rPr>
        <w:t xml:space="preserve">only </w:t>
      </w:r>
      <w:r w:rsidRPr="00411F87">
        <w:rPr>
          <w:rFonts w:eastAsia="Times New Roman" w:cs="Arial"/>
          <w:sz w:val="21"/>
          <w:szCs w:val="21"/>
          <w:lang w:val="en-AU" w:eastAsia="en-AU"/>
        </w:rPr>
        <w:t xml:space="preserve">to the capitalisation of expenditure relating to </w:t>
      </w:r>
      <w:r w:rsidR="00113093" w:rsidRPr="00411F87">
        <w:rPr>
          <w:rFonts w:eastAsia="Times New Roman" w:cs="Arial"/>
          <w:sz w:val="21"/>
          <w:szCs w:val="21"/>
          <w:lang w:val="en-AU" w:eastAsia="en-AU"/>
        </w:rPr>
        <w:t xml:space="preserve">the agency’s </w:t>
      </w:r>
      <w:r w:rsidRPr="00411F87">
        <w:rPr>
          <w:rFonts w:eastAsia="Times New Roman" w:cs="Arial"/>
          <w:sz w:val="21"/>
          <w:szCs w:val="21"/>
          <w:lang w:val="en-AU" w:eastAsia="en-AU"/>
        </w:rPr>
        <w:t>non-financial assets (</w:t>
      </w:r>
      <w:r w:rsidR="00113093" w:rsidRPr="00411F87">
        <w:rPr>
          <w:rFonts w:eastAsia="Times New Roman" w:cs="Arial"/>
          <w:sz w:val="21"/>
          <w:szCs w:val="21"/>
          <w:lang w:val="en-AU" w:eastAsia="en-AU"/>
        </w:rPr>
        <w:t xml:space="preserve">as </w:t>
      </w:r>
      <w:r w:rsidRPr="00411F87">
        <w:rPr>
          <w:rFonts w:eastAsia="Times New Roman" w:cs="Arial"/>
          <w:sz w:val="21"/>
          <w:szCs w:val="21"/>
          <w:lang w:val="en-AU" w:eastAsia="en-AU"/>
        </w:rPr>
        <w:t xml:space="preserve">listed </w:t>
      </w:r>
      <w:r w:rsidR="00113093" w:rsidRPr="00411F87">
        <w:rPr>
          <w:rFonts w:eastAsia="Times New Roman" w:cs="Arial"/>
          <w:sz w:val="21"/>
          <w:szCs w:val="21"/>
          <w:lang w:val="en-AU" w:eastAsia="en-AU"/>
        </w:rPr>
        <w:t xml:space="preserve">within </w:t>
      </w:r>
      <w:r w:rsidR="00113093" w:rsidRPr="00411F87">
        <w:rPr>
          <w:rFonts w:eastAsia="Times New Roman" w:cs="Arial"/>
          <w:sz w:val="21"/>
          <w:szCs w:val="21"/>
          <w:lang w:val="en-AU" w:eastAsia="en-AU"/>
        </w:rPr>
        <w:fldChar w:fldCharType="begin"/>
      </w:r>
      <w:r w:rsidR="00113093" w:rsidRPr="00411F87">
        <w:rPr>
          <w:rFonts w:eastAsia="Times New Roman" w:cs="Arial"/>
          <w:sz w:val="21"/>
          <w:szCs w:val="21"/>
          <w:lang w:val="en-AU" w:eastAsia="en-AU"/>
        </w:rPr>
        <w:instrText xml:space="preserve"> REF _Ref408918694 \h </w:instrText>
      </w:r>
      <w:r w:rsidR="00F55FD7" w:rsidRPr="00411F87">
        <w:rPr>
          <w:rFonts w:eastAsia="Times New Roman" w:cs="Arial"/>
          <w:sz w:val="21"/>
          <w:szCs w:val="21"/>
          <w:lang w:val="en-AU" w:eastAsia="en-AU"/>
        </w:rPr>
        <w:instrText xml:space="preserve"> \* MERGEFORMAT </w:instrText>
      </w:r>
      <w:r w:rsidR="00113093" w:rsidRPr="00411F87">
        <w:rPr>
          <w:rFonts w:eastAsia="Times New Roman" w:cs="Arial"/>
          <w:sz w:val="21"/>
          <w:szCs w:val="21"/>
          <w:lang w:val="en-AU" w:eastAsia="en-AU"/>
        </w:rPr>
      </w:r>
      <w:r w:rsidR="00113093" w:rsidRPr="00411F87">
        <w:rPr>
          <w:rFonts w:eastAsia="Times New Roman" w:cs="Arial"/>
          <w:sz w:val="21"/>
          <w:szCs w:val="21"/>
          <w:lang w:val="en-AU" w:eastAsia="en-AU"/>
        </w:rPr>
        <w:fldChar w:fldCharType="separate"/>
      </w:r>
      <w:r w:rsidR="00A1335C" w:rsidRPr="00A1335C">
        <w:rPr>
          <w:rFonts w:cs="Arial"/>
          <w:sz w:val="21"/>
          <w:szCs w:val="21"/>
        </w:rPr>
        <w:t xml:space="preserve">Table </w:t>
      </w:r>
      <w:r w:rsidR="00A1335C" w:rsidRPr="00A1335C">
        <w:rPr>
          <w:rFonts w:cs="Arial"/>
          <w:noProof/>
          <w:sz w:val="21"/>
          <w:szCs w:val="21"/>
        </w:rPr>
        <w:t>1</w:t>
      </w:r>
      <w:r w:rsidR="00113093" w:rsidRPr="00411F87">
        <w:rPr>
          <w:rFonts w:eastAsia="Times New Roman" w:cs="Arial"/>
          <w:sz w:val="21"/>
          <w:szCs w:val="21"/>
          <w:lang w:val="en-AU" w:eastAsia="en-AU"/>
        </w:rPr>
        <w:fldChar w:fldCharType="end"/>
      </w:r>
      <w:r w:rsidRPr="00411F87">
        <w:rPr>
          <w:rFonts w:eastAsia="Times New Roman" w:cs="Arial"/>
          <w:sz w:val="21"/>
          <w:szCs w:val="21"/>
          <w:lang w:val="en-AU" w:eastAsia="en-AU"/>
        </w:rPr>
        <w:t xml:space="preserve">) and stocks of inventory. </w:t>
      </w:r>
      <w:r w:rsidR="00113093" w:rsidRPr="00411F87">
        <w:rPr>
          <w:rFonts w:eastAsia="Times New Roman" w:cs="Arial"/>
          <w:sz w:val="21"/>
          <w:szCs w:val="21"/>
          <w:lang w:val="en-AU" w:eastAsia="en-AU"/>
        </w:rPr>
        <w:t>The management of ‘f</w:t>
      </w:r>
      <w:r w:rsidRPr="00411F87">
        <w:rPr>
          <w:rFonts w:eastAsia="Times New Roman" w:cs="Arial"/>
          <w:sz w:val="21"/>
          <w:szCs w:val="21"/>
          <w:lang w:val="en-AU" w:eastAsia="en-AU"/>
        </w:rPr>
        <w:t>inancial assets</w:t>
      </w:r>
      <w:r w:rsidR="00113093" w:rsidRPr="00411F87">
        <w:rPr>
          <w:rFonts w:eastAsia="Times New Roman" w:cs="Arial"/>
          <w:sz w:val="21"/>
          <w:szCs w:val="21"/>
          <w:lang w:val="en-AU" w:eastAsia="en-AU"/>
        </w:rPr>
        <w:t>’</w:t>
      </w:r>
      <w:r w:rsidRPr="00411F87">
        <w:rPr>
          <w:rFonts w:eastAsia="Times New Roman" w:cs="Arial"/>
          <w:sz w:val="21"/>
          <w:szCs w:val="21"/>
          <w:lang w:val="en-AU" w:eastAsia="en-AU"/>
        </w:rPr>
        <w:t xml:space="preserve"> </w:t>
      </w:r>
      <w:r w:rsidR="00113093" w:rsidRPr="00411F87">
        <w:rPr>
          <w:rFonts w:eastAsia="Times New Roman" w:cs="Arial"/>
          <w:sz w:val="21"/>
          <w:szCs w:val="21"/>
          <w:lang w:val="en-AU" w:eastAsia="en-AU"/>
        </w:rPr>
        <w:t>(</w:t>
      </w:r>
      <w:r w:rsidRPr="00411F87">
        <w:rPr>
          <w:rFonts w:eastAsia="Times New Roman" w:cs="Arial"/>
          <w:sz w:val="21"/>
          <w:szCs w:val="21"/>
          <w:lang w:val="en-AU" w:eastAsia="en-AU"/>
        </w:rPr>
        <w:t>cash, or cash equivalent such as accounts receivable</w:t>
      </w:r>
      <w:r w:rsidR="00113093" w:rsidRPr="00411F87">
        <w:rPr>
          <w:rFonts w:eastAsia="Times New Roman" w:cs="Arial"/>
          <w:sz w:val="21"/>
          <w:szCs w:val="21"/>
          <w:lang w:val="en-AU" w:eastAsia="en-AU"/>
        </w:rPr>
        <w:t>)</w:t>
      </w:r>
      <w:r w:rsidRPr="00411F87">
        <w:rPr>
          <w:rFonts w:eastAsia="Times New Roman" w:cs="Arial"/>
          <w:sz w:val="21"/>
          <w:szCs w:val="21"/>
          <w:lang w:val="en-AU" w:eastAsia="en-AU"/>
        </w:rPr>
        <w:t xml:space="preserve">, and are not </w:t>
      </w:r>
      <w:r w:rsidR="00113093" w:rsidRPr="00411F87">
        <w:rPr>
          <w:rFonts w:eastAsia="Times New Roman" w:cs="Arial"/>
          <w:sz w:val="21"/>
          <w:szCs w:val="21"/>
          <w:lang w:val="en-AU" w:eastAsia="en-AU"/>
        </w:rPr>
        <w:t>within the scope of</w:t>
      </w:r>
      <w:r w:rsidRPr="00411F87">
        <w:rPr>
          <w:rFonts w:eastAsia="Times New Roman" w:cs="Arial"/>
          <w:sz w:val="21"/>
          <w:szCs w:val="21"/>
          <w:lang w:val="en-AU" w:eastAsia="en-AU"/>
        </w:rPr>
        <w:t xml:space="preserve"> this </w:t>
      </w:r>
      <w:r w:rsidR="00113093" w:rsidRPr="00411F87">
        <w:rPr>
          <w:rFonts w:eastAsia="Times New Roman" w:cs="Arial"/>
          <w:sz w:val="21"/>
          <w:szCs w:val="21"/>
          <w:lang w:val="en-AU" w:eastAsia="en-AU"/>
        </w:rPr>
        <w:t>policy</w:t>
      </w:r>
      <w:r w:rsidRPr="00411F87">
        <w:rPr>
          <w:rFonts w:eastAsia="Times New Roman" w:cs="Arial"/>
          <w:sz w:val="21"/>
          <w:szCs w:val="21"/>
          <w:lang w:val="en-AU" w:eastAsia="en-AU"/>
        </w:rPr>
        <w:t>.</w:t>
      </w:r>
    </w:p>
    <w:p w14:paraId="6B74F477" w14:textId="77777777" w:rsidR="00914434" w:rsidRPr="00AC3A52" w:rsidRDefault="00914434" w:rsidP="00914434">
      <w:pPr>
        <w:pStyle w:val="Heading1"/>
        <w:rPr>
          <w:rFonts w:cs="Arial"/>
        </w:rPr>
      </w:pPr>
      <w:bookmarkStart w:id="4" w:name="_Toc417380692"/>
      <w:r w:rsidRPr="00AC3A52">
        <w:rPr>
          <w:rFonts w:cs="Arial"/>
        </w:rPr>
        <w:t xml:space="preserve">Policy </w:t>
      </w:r>
      <w:r w:rsidR="005166D5" w:rsidRPr="00AC3A52">
        <w:rPr>
          <w:rFonts w:cs="Arial"/>
        </w:rPr>
        <w:t>s</w:t>
      </w:r>
      <w:r w:rsidRPr="00AC3A52">
        <w:rPr>
          <w:rFonts w:cs="Arial"/>
        </w:rPr>
        <w:t>tatements</w:t>
      </w:r>
      <w:bookmarkEnd w:id="4"/>
    </w:p>
    <w:p w14:paraId="6B74F478" w14:textId="77777777" w:rsidR="004B7200" w:rsidRPr="00AC3A52" w:rsidRDefault="004B7200" w:rsidP="00ED4539">
      <w:pPr>
        <w:pStyle w:val="Heading2"/>
        <w:rPr>
          <w:rFonts w:cs="Arial"/>
        </w:rPr>
      </w:pPr>
      <w:bookmarkStart w:id="5" w:name="_Toc417380693"/>
      <w:r w:rsidRPr="00AC3A52">
        <w:rPr>
          <w:rFonts w:cs="Arial"/>
        </w:rPr>
        <w:t xml:space="preserve">Asset </w:t>
      </w:r>
      <w:r w:rsidR="00033C80" w:rsidRPr="00AC3A52">
        <w:rPr>
          <w:rFonts w:cs="Arial"/>
        </w:rPr>
        <w:t xml:space="preserve">recognition and </w:t>
      </w:r>
      <w:r w:rsidR="00F669BE" w:rsidRPr="00AC3A52">
        <w:rPr>
          <w:rFonts w:cs="Arial"/>
        </w:rPr>
        <w:t>capitalisation</w:t>
      </w:r>
      <w:bookmarkEnd w:id="5"/>
    </w:p>
    <w:p w14:paraId="6B74F479" w14:textId="77777777" w:rsidR="004B7200" w:rsidRPr="00411F87" w:rsidRDefault="004B7200" w:rsidP="00FE49CE">
      <w:pPr>
        <w:pStyle w:val="ListParagraph"/>
        <w:numPr>
          <w:ilvl w:val="0"/>
          <w:numId w:val="6"/>
        </w:numPr>
        <w:spacing w:after="0"/>
        <w:contextualSpacing w:val="0"/>
        <w:rPr>
          <w:rFonts w:cs="Arial"/>
          <w:sz w:val="21"/>
          <w:szCs w:val="21"/>
          <w:lang w:val="en-AU"/>
        </w:rPr>
      </w:pPr>
      <w:r w:rsidRPr="00411F87">
        <w:rPr>
          <w:rFonts w:eastAsia="Times New Roman" w:cs="Arial"/>
          <w:sz w:val="21"/>
          <w:szCs w:val="21"/>
          <w:lang w:val="en-AU" w:eastAsia="en-AU"/>
        </w:rPr>
        <w:t>Expenditure for an asset item</w:t>
      </w:r>
      <w:r w:rsidR="00EA6A9C" w:rsidRPr="00411F87">
        <w:rPr>
          <w:rFonts w:eastAsia="Times New Roman" w:cs="Arial"/>
          <w:sz w:val="21"/>
          <w:szCs w:val="21"/>
          <w:lang w:val="en-AU" w:eastAsia="en-AU"/>
        </w:rPr>
        <w:t xml:space="preserve"> in the agency’s control</w:t>
      </w:r>
      <w:r w:rsidRPr="00411F87">
        <w:rPr>
          <w:rFonts w:eastAsia="Times New Roman" w:cs="Arial"/>
          <w:sz w:val="21"/>
          <w:szCs w:val="21"/>
          <w:lang w:val="en-AU" w:eastAsia="en-AU"/>
        </w:rPr>
        <w:t xml:space="preserve"> should be capitalised when:</w:t>
      </w:r>
    </w:p>
    <w:p w14:paraId="6B74F47A"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It is probable that future (i.e. beyond the current financial year) economic benefits associated with the item will flow to the agency; and</w:t>
      </w:r>
    </w:p>
    <w:p w14:paraId="6B74F47B" w14:textId="1C1169B5"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 xml:space="preserve">The cost of the item can be </w:t>
      </w:r>
      <w:hyperlink w:anchor="ReliableMeasurement" w:history="1">
        <w:r w:rsidRPr="00411F87">
          <w:rPr>
            <w:rStyle w:val="Hyperlink"/>
            <w:rFonts w:eastAsia="Times New Roman" w:cs="Arial"/>
            <w:i/>
            <w:sz w:val="21"/>
            <w:szCs w:val="21"/>
            <w:lang w:val="en-AU" w:eastAsia="en-AU"/>
          </w:rPr>
          <w:t>measured reliably</w:t>
        </w:r>
      </w:hyperlink>
      <w:r w:rsidRPr="00411F87">
        <w:rPr>
          <w:rFonts w:eastAsia="Times New Roman" w:cs="Arial"/>
          <w:sz w:val="21"/>
          <w:szCs w:val="21"/>
          <w:lang w:val="en-AU" w:eastAsia="en-AU"/>
        </w:rPr>
        <w:t>, and this amount is equal to, or greater than</w:t>
      </w:r>
      <w:r w:rsidR="00197547" w:rsidRPr="00411F87">
        <w:rPr>
          <w:rFonts w:eastAsia="Times New Roman" w:cs="Arial"/>
          <w:sz w:val="21"/>
          <w:szCs w:val="21"/>
          <w:lang w:val="en-AU" w:eastAsia="en-AU"/>
        </w:rPr>
        <w:t xml:space="preserve"> the agency’s asset threshold of</w:t>
      </w:r>
      <w:r w:rsidRPr="00411F87">
        <w:rPr>
          <w:rFonts w:eastAsia="Times New Roman" w:cs="Arial"/>
          <w:sz w:val="21"/>
          <w:szCs w:val="21"/>
          <w:lang w:val="en-AU" w:eastAsia="en-AU"/>
        </w:rPr>
        <w:t xml:space="preserve"> AUD </w:t>
      </w:r>
      <w:r w:rsidR="003B0F43" w:rsidRPr="00411F87">
        <w:rPr>
          <w:rFonts w:eastAsia="Times New Roman" w:cs="Arial"/>
          <w:sz w:val="21"/>
          <w:szCs w:val="21"/>
          <w:lang w:val="en-AU" w:eastAsia="en-AU"/>
        </w:rPr>
        <w:t>$</w:t>
      </w:r>
      <w:r w:rsidRPr="00411F87">
        <w:rPr>
          <w:rFonts w:eastAsia="Times New Roman" w:cs="Arial"/>
          <w:sz w:val="21"/>
          <w:szCs w:val="21"/>
          <w:lang w:val="en-AU" w:eastAsia="en-AU"/>
        </w:rPr>
        <w:t xml:space="preserve">5,000 </w:t>
      </w:r>
      <w:r w:rsidR="00197547" w:rsidRPr="00411F87">
        <w:rPr>
          <w:rFonts w:eastAsia="Times New Roman" w:cs="Arial"/>
          <w:sz w:val="21"/>
          <w:szCs w:val="21"/>
          <w:lang w:val="en-AU" w:eastAsia="en-AU"/>
        </w:rPr>
        <w:t>(</w:t>
      </w:r>
      <w:r w:rsidRPr="00411F87">
        <w:rPr>
          <w:rFonts w:eastAsia="Times New Roman" w:cs="Arial"/>
          <w:sz w:val="21"/>
          <w:szCs w:val="21"/>
          <w:lang w:val="en-AU" w:eastAsia="en-AU"/>
        </w:rPr>
        <w:t>excluding GST</w:t>
      </w:r>
      <w:r w:rsidR="00197547" w:rsidRPr="00411F87">
        <w:rPr>
          <w:rFonts w:eastAsia="Times New Roman" w:cs="Arial"/>
          <w:sz w:val="21"/>
          <w:szCs w:val="21"/>
          <w:lang w:val="en-AU" w:eastAsia="en-AU"/>
        </w:rPr>
        <w:t>)</w:t>
      </w:r>
      <w:r w:rsidRPr="00411F87">
        <w:rPr>
          <w:rFonts w:eastAsia="Times New Roman" w:cs="Arial"/>
          <w:sz w:val="21"/>
          <w:szCs w:val="21"/>
          <w:lang w:val="en-AU" w:eastAsia="en-AU"/>
        </w:rPr>
        <w:t>.</w:t>
      </w:r>
    </w:p>
    <w:p w14:paraId="6B74F47C" w14:textId="77777777" w:rsidR="004E73D9" w:rsidRPr="00411F87" w:rsidRDefault="004E73D9" w:rsidP="004E73D9">
      <w:pPr>
        <w:pStyle w:val="ListParagraph"/>
        <w:numPr>
          <w:ilvl w:val="0"/>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An asset should be initially recognised and capitalised at its total purchase/construction cost</w:t>
      </w:r>
      <w:r w:rsidR="00B5129F" w:rsidRPr="00411F87">
        <w:rPr>
          <w:rFonts w:eastAsia="Times New Roman" w:cs="Arial"/>
          <w:sz w:val="21"/>
          <w:szCs w:val="21"/>
          <w:lang w:val="en-AU" w:eastAsia="en-AU"/>
        </w:rPr>
        <w:t xml:space="preserve"> or value</w:t>
      </w:r>
      <w:r w:rsidRPr="00411F87">
        <w:rPr>
          <w:rFonts w:eastAsia="Times New Roman" w:cs="Arial"/>
          <w:sz w:val="21"/>
          <w:szCs w:val="21"/>
          <w:lang w:val="en-AU" w:eastAsia="en-AU"/>
        </w:rPr>
        <w:t>.</w:t>
      </w:r>
    </w:p>
    <w:p w14:paraId="6B74F47D" w14:textId="5379E3E8" w:rsidR="004B7200" w:rsidRPr="00411F87" w:rsidRDefault="004B7200" w:rsidP="00FE49CE">
      <w:pPr>
        <w:pStyle w:val="ListParagraph"/>
        <w:numPr>
          <w:ilvl w:val="0"/>
          <w:numId w:val="6"/>
        </w:numPr>
        <w:spacing w:after="0"/>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The initial cost of an asset should include the following </w:t>
      </w:r>
      <w:r w:rsidR="00FE49CE" w:rsidRPr="00411F87">
        <w:rPr>
          <w:rFonts w:eastAsia="Times New Roman" w:cs="Arial"/>
          <w:sz w:val="21"/>
          <w:szCs w:val="21"/>
          <w:lang w:val="en-AU" w:eastAsia="en-AU"/>
        </w:rPr>
        <w:t>element</w:t>
      </w:r>
      <w:r w:rsidRPr="00411F87">
        <w:rPr>
          <w:rFonts w:eastAsia="Times New Roman" w:cs="Arial"/>
          <w:sz w:val="21"/>
          <w:szCs w:val="21"/>
          <w:lang w:val="en-AU" w:eastAsia="en-AU"/>
        </w:rPr>
        <w:t>s</w:t>
      </w:r>
      <w:r w:rsidR="0010167D" w:rsidRPr="00411F87">
        <w:rPr>
          <w:rFonts w:eastAsia="Times New Roman" w:cs="Arial"/>
          <w:sz w:val="21"/>
          <w:szCs w:val="21"/>
          <w:lang w:val="en-AU" w:eastAsia="en-AU"/>
        </w:rPr>
        <w:fldChar w:fldCharType="begin"/>
      </w:r>
      <w:r w:rsidR="0010167D" w:rsidRPr="00411F87">
        <w:rPr>
          <w:rFonts w:eastAsia="Times New Roman" w:cs="Arial"/>
          <w:sz w:val="21"/>
          <w:szCs w:val="21"/>
          <w:lang w:val="en-AU" w:eastAsia="en-AU"/>
        </w:rPr>
        <w:instrText xml:space="preserve"> NOTEREF _Ref408907514 \f \h </w:instrText>
      </w:r>
      <w:r w:rsidR="00F55FD7" w:rsidRPr="00411F87">
        <w:rPr>
          <w:rFonts w:eastAsia="Times New Roman" w:cs="Arial"/>
          <w:sz w:val="21"/>
          <w:szCs w:val="21"/>
          <w:lang w:val="en-AU" w:eastAsia="en-AU"/>
        </w:rPr>
        <w:instrText xml:space="preserve"> \* MERGEFORMAT </w:instrText>
      </w:r>
      <w:r w:rsidR="0010167D" w:rsidRPr="00411F87">
        <w:rPr>
          <w:rFonts w:eastAsia="Times New Roman" w:cs="Arial"/>
          <w:sz w:val="21"/>
          <w:szCs w:val="21"/>
          <w:lang w:val="en-AU" w:eastAsia="en-AU"/>
        </w:rPr>
      </w:r>
      <w:r w:rsidR="0010167D" w:rsidRPr="00411F87">
        <w:rPr>
          <w:rFonts w:eastAsia="Times New Roman" w:cs="Arial"/>
          <w:sz w:val="21"/>
          <w:szCs w:val="21"/>
          <w:lang w:val="en-AU" w:eastAsia="en-AU"/>
        </w:rPr>
        <w:fldChar w:fldCharType="separate"/>
      </w:r>
      <w:r w:rsidR="00A1335C" w:rsidRPr="00A1335C">
        <w:rPr>
          <w:rStyle w:val="EndnoteReference"/>
          <w:rFonts w:cs="Arial"/>
          <w:sz w:val="21"/>
          <w:szCs w:val="21"/>
        </w:rPr>
        <w:t>16</w:t>
      </w:r>
      <w:r w:rsidR="0010167D" w:rsidRPr="00411F87">
        <w:rPr>
          <w:rFonts w:eastAsia="Times New Roman" w:cs="Arial"/>
          <w:sz w:val="21"/>
          <w:szCs w:val="21"/>
          <w:lang w:val="en-AU" w:eastAsia="en-AU"/>
        </w:rPr>
        <w:fldChar w:fldCharType="end"/>
      </w:r>
      <w:r w:rsidRPr="00411F87">
        <w:rPr>
          <w:rFonts w:eastAsia="Times New Roman" w:cs="Arial"/>
          <w:sz w:val="21"/>
          <w:szCs w:val="21"/>
          <w:lang w:val="en-AU" w:eastAsia="en-AU"/>
        </w:rPr>
        <w:t>:</w:t>
      </w:r>
    </w:p>
    <w:p w14:paraId="6B74F47E"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Purchase price, including import duties and non-refundable purchase taxes, after deducting trade discounts and rebates;</w:t>
      </w:r>
    </w:p>
    <w:p w14:paraId="6B74F47F"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Any directly attributable costs associated with bringing the asset to the location and condition necessary for it to be capable of operating in the manner intended by management; and</w:t>
      </w:r>
    </w:p>
    <w:p w14:paraId="6B74F480" w14:textId="2E79ED7A" w:rsidR="004B7200" w:rsidRPr="00411F87" w:rsidRDefault="004B7200" w:rsidP="00411F87">
      <w:pPr>
        <w:pStyle w:val="ListParagraph"/>
        <w:numPr>
          <w:ilvl w:val="1"/>
          <w:numId w:val="6"/>
        </w:numPr>
        <w:contextualSpacing w:val="0"/>
        <w:rPr>
          <w:rFonts w:cs="Arial"/>
          <w:sz w:val="21"/>
          <w:szCs w:val="21"/>
          <w:lang w:val="en-AU"/>
        </w:rPr>
      </w:pPr>
      <w:r w:rsidRPr="00411F87">
        <w:rPr>
          <w:rFonts w:eastAsia="Times New Roman" w:cs="Arial"/>
          <w:sz w:val="21"/>
          <w:szCs w:val="21"/>
          <w:lang w:val="en-AU" w:eastAsia="en-AU"/>
        </w:rPr>
        <w:t xml:space="preserve">Initial estimate of costs of decommissioning, dismantling and removing the item and restoring the site on which it is located, where </w:t>
      </w:r>
      <w:r w:rsidR="00FE49CE" w:rsidRPr="00411F87">
        <w:rPr>
          <w:rFonts w:eastAsia="Times New Roman" w:cs="Arial"/>
          <w:sz w:val="21"/>
          <w:szCs w:val="21"/>
          <w:lang w:val="en-AU" w:eastAsia="en-AU"/>
        </w:rPr>
        <w:t xml:space="preserve">the agency </w:t>
      </w:r>
      <w:r w:rsidRPr="00411F87">
        <w:rPr>
          <w:rFonts w:eastAsia="Times New Roman" w:cs="Arial"/>
          <w:sz w:val="21"/>
          <w:szCs w:val="21"/>
          <w:lang w:val="en-AU" w:eastAsia="en-AU"/>
        </w:rPr>
        <w:t xml:space="preserve">is under an </w:t>
      </w:r>
      <w:hyperlink w:anchor="ObligationConstructive" w:history="1">
        <w:r w:rsidRPr="00411F87">
          <w:rPr>
            <w:rStyle w:val="Hyperlink"/>
            <w:rFonts w:eastAsia="Times New Roman" w:cs="Arial"/>
            <w:i/>
            <w:sz w:val="21"/>
            <w:szCs w:val="21"/>
            <w:lang w:val="en-AU" w:eastAsia="en-AU"/>
          </w:rPr>
          <w:t>obligation</w:t>
        </w:r>
      </w:hyperlink>
      <w:r w:rsidRPr="00411F87">
        <w:rPr>
          <w:rFonts w:eastAsia="Times New Roman" w:cs="Arial"/>
          <w:sz w:val="21"/>
          <w:szCs w:val="21"/>
          <w:lang w:val="en-AU" w:eastAsia="en-AU"/>
        </w:rPr>
        <w:t xml:space="preserve"> to do so and the amount can be reliably measured (i.e. </w:t>
      </w:r>
      <w:r w:rsidR="00C503D3" w:rsidRPr="00411F87">
        <w:rPr>
          <w:rFonts w:eastAsia="Times New Roman" w:cs="Arial"/>
          <w:sz w:val="21"/>
          <w:szCs w:val="21"/>
          <w:lang w:val="en-AU" w:eastAsia="en-AU"/>
        </w:rPr>
        <w:t>to ‘</w:t>
      </w:r>
      <w:r w:rsidRPr="00411F87">
        <w:rPr>
          <w:rFonts w:eastAsia="Times New Roman" w:cs="Arial"/>
          <w:sz w:val="21"/>
          <w:szCs w:val="21"/>
          <w:lang w:val="en-AU" w:eastAsia="en-AU"/>
        </w:rPr>
        <w:t>make-good</w:t>
      </w:r>
      <w:r w:rsidR="00C503D3" w:rsidRPr="00411F87">
        <w:rPr>
          <w:rFonts w:eastAsia="Times New Roman" w:cs="Arial"/>
          <w:sz w:val="21"/>
          <w:szCs w:val="21"/>
          <w:lang w:val="en-AU" w:eastAsia="en-AU"/>
        </w:rPr>
        <w:t>’</w:t>
      </w:r>
      <w:r w:rsidRPr="00411F87">
        <w:rPr>
          <w:rFonts w:eastAsia="Times New Roman" w:cs="Arial"/>
          <w:sz w:val="21"/>
          <w:szCs w:val="21"/>
          <w:lang w:val="en-AU" w:eastAsia="en-AU"/>
        </w:rPr>
        <w:t>).</w:t>
      </w:r>
    </w:p>
    <w:p w14:paraId="6B74F481" w14:textId="77777777" w:rsidR="004B7200" w:rsidRPr="00411F87" w:rsidRDefault="00CF2C84" w:rsidP="00FE49CE">
      <w:pPr>
        <w:pStyle w:val="ListParagraph"/>
        <w:numPr>
          <w:ilvl w:val="0"/>
          <w:numId w:val="6"/>
        </w:numPr>
        <w:spacing w:after="0"/>
        <w:contextualSpacing w:val="0"/>
        <w:rPr>
          <w:rFonts w:eastAsia="Times New Roman" w:cs="Arial"/>
          <w:sz w:val="21"/>
          <w:szCs w:val="21"/>
          <w:lang w:val="en-AU" w:eastAsia="en-AU"/>
        </w:rPr>
      </w:pPr>
      <w:r w:rsidRPr="00411F87">
        <w:rPr>
          <w:rFonts w:eastAsia="Times New Roman" w:cs="Arial"/>
          <w:sz w:val="21"/>
          <w:szCs w:val="21"/>
          <w:lang w:val="en-AU" w:eastAsia="en-AU"/>
        </w:rPr>
        <w:t>Examples of the types of c</w:t>
      </w:r>
      <w:r w:rsidR="004B7200" w:rsidRPr="00411F87">
        <w:rPr>
          <w:rFonts w:eastAsia="Times New Roman" w:cs="Arial"/>
          <w:sz w:val="21"/>
          <w:szCs w:val="21"/>
          <w:lang w:val="en-AU" w:eastAsia="en-AU"/>
        </w:rPr>
        <w:t xml:space="preserve">osts </w:t>
      </w:r>
      <w:r w:rsidRPr="00411F87">
        <w:rPr>
          <w:rFonts w:eastAsia="Times New Roman" w:cs="Arial"/>
          <w:sz w:val="21"/>
          <w:szCs w:val="21"/>
          <w:lang w:val="en-AU" w:eastAsia="en-AU"/>
        </w:rPr>
        <w:t xml:space="preserve">that should be </w:t>
      </w:r>
      <w:r w:rsidR="004B7200" w:rsidRPr="00411F87">
        <w:rPr>
          <w:rFonts w:eastAsia="Times New Roman" w:cs="Arial"/>
          <w:sz w:val="21"/>
          <w:szCs w:val="21"/>
          <w:lang w:val="en-AU" w:eastAsia="en-AU"/>
        </w:rPr>
        <w:t>include</w:t>
      </w:r>
      <w:r w:rsidRPr="00411F87">
        <w:rPr>
          <w:rFonts w:eastAsia="Times New Roman" w:cs="Arial"/>
          <w:sz w:val="21"/>
          <w:szCs w:val="21"/>
          <w:lang w:val="en-AU" w:eastAsia="en-AU"/>
        </w:rPr>
        <w:t>d</w:t>
      </w:r>
      <w:r w:rsidR="004B7200" w:rsidRPr="00411F87">
        <w:rPr>
          <w:rFonts w:eastAsia="Times New Roman" w:cs="Arial"/>
          <w:sz w:val="21"/>
          <w:szCs w:val="21"/>
          <w:lang w:val="en-AU" w:eastAsia="en-AU"/>
        </w:rPr>
        <w:t xml:space="preserve"> in asset price:</w:t>
      </w:r>
    </w:p>
    <w:p w14:paraId="6B74F482"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Labour costs, such as salaries and on-costs for employees and contractors arising from the construction or acquisition of the asset</w:t>
      </w:r>
    </w:p>
    <w:p w14:paraId="6B74F483"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Costs of site preparation</w:t>
      </w:r>
    </w:p>
    <w:p w14:paraId="6B74F484"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Initial delivery and handling costs</w:t>
      </w:r>
    </w:p>
    <w:p w14:paraId="6B74F485"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Directly attributable tendering/procurement costs</w:t>
      </w:r>
    </w:p>
    <w:p w14:paraId="6B74F486"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Installation and assembly costs</w:t>
      </w:r>
    </w:p>
    <w:p w14:paraId="6B74F487"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Costs of security supervision of contractors installing, assembling, constructing, etc. assets within GBRMPA's designated secure areas/zones</w:t>
      </w:r>
    </w:p>
    <w:p w14:paraId="6B74F488"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Costs of security inspections of new capital works projects prior to commissioning/operation</w:t>
      </w:r>
    </w:p>
    <w:p w14:paraId="6B74F489"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Costs of acceptance testing</w:t>
      </w:r>
    </w:p>
    <w:p w14:paraId="6B74F48A" w14:textId="6210EC00"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Professional fees</w:t>
      </w:r>
      <w:r w:rsidR="00411F87">
        <w:rPr>
          <w:rFonts w:eastAsia="Times New Roman" w:cs="Arial"/>
          <w:sz w:val="21"/>
          <w:szCs w:val="21"/>
          <w:lang w:val="en-AU" w:eastAsia="en-AU"/>
        </w:rPr>
        <w:t>.</w:t>
      </w:r>
    </w:p>
    <w:p w14:paraId="6B74F48B" w14:textId="77777777" w:rsidR="004B7200" w:rsidRPr="00411F87" w:rsidRDefault="00CF2C84" w:rsidP="00FE49CE">
      <w:pPr>
        <w:pStyle w:val="ListParagraph"/>
        <w:numPr>
          <w:ilvl w:val="0"/>
          <w:numId w:val="6"/>
        </w:numPr>
        <w:spacing w:after="0"/>
        <w:contextualSpacing w:val="0"/>
        <w:rPr>
          <w:rFonts w:eastAsia="Times New Roman" w:cs="Arial"/>
          <w:sz w:val="21"/>
          <w:szCs w:val="21"/>
          <w:lang w:val="en-AU" w:eastAsia="en-AU"/>
        </w:rPr>
      </w:pPr>
      <w:r w:rsidRPr="00411F87">
        <w:rPr>
          <w:rFonts w:eastAsia="Times New Roman" w:cs="Arial"/>
          <w:sz w:val="21"/>
          <w:szCs w:val="21"/>
          <w:lang w:val="en-AU" w:eastAsia="en-AU"/>
        </w:rPr>
        <w:lastRenderedPageBreak/>
        <w:t>Examples of the types of c</w:t>
      </w:r>
      <w:r w:rsidR="004B7200" w:rsidRPr="00411F87">
        <w:rPr>
          <w:rFonts w:eastAsia="Times New Roman" w:cs="Arial"/>
          <w:sz w:val="21"/>
          <w:szCs w:val="21"/>
          <w:lang w:val="en-AU" w:eastAsia="en-AU"/>
        </w:rPr>
        <w:t xml:space="preserve">osts </w:t>
      </w:r>
      <w:r w:rsidRPr="00411F87">
        <w:rPr>
          <w:rFonts w:eastAsia="Times New Roman" w:cs="Arial"/>
          <w:sz w:val="21"/>
          <w:szCs w:val="21"/>
          <w:lang w:val="en-AU" w:eastAsia="en-AU"/>
        </w:rPr>
        <w:t xml:space="preserve">that should </w:t>
      </w:r>
      <w:r w:rsidR="004B7200" w:rsidRPr="00411F87">
        <w:rPr>
          <w:rFonts w:eastAsia="Times New Roman" w:cs="Arial"/>
          <w:b/>
          <w:sz w:val="21"/>
          <w:szCs w:val="21"/>
          <w:lang w:val="en-AU" w:eastAsia="en-AU"/>
        </w:rPr>
        <w:t>not</w:t>
      </w:r>
      <w:r w:rsidR="004B7200" w:rsidRPr="00411F87">
        <w:rPr>
          <w:rFonts w:eastAsia="Times New Roman" w:cs="Arial"/>
          <w:sz w:val="21"/>
          <w:szCs w:val="21"/>
          <w:lang w:val="en-AU" w:eastAsia="en-AU"/>
        </w:rPr>
        <w:t xml:space="preserve"> be included in asset price:</w:t>
      </w:r>
    </w:p>
    <w:p w14:paraId="6B74F48C"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Research costs</w:t>
      </w:r>
    </w:p>
    <w:p w14:paraId="6B74F48D"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General overhead, training and other administrative costs</w:t>
      </w:r>
    </w:p>
    <w:p w14:paraId="6B74F48E" w14:textId="77777777" w:rsidR="004B7200" w:rsidRPr="00411F87" w:rsidRDefault="004B7200" w:rsidP="004B7200">
      <w:pPr>
        <w:pStyle w:val="ListParagraph"/>
        <w:numPr>
          <w:ilvl w:val="1"/>
          <w:numId w:val="6"/>
        </w:numPr>
        <w:spacing w:after="80"/>
        <w:contextualSpacing w:val="0"/>
        <w:rPr>
          <w:rFonts w:cs="Arial"/>
          <w:sz w:val="21"/>
          <w:szCs w:val="21"/>
          <w:lang w:val="en-AU"/>
        </w:rPr>
      </w:pPr>
      <w:r w:rsidRPr="00411F87">
        <w:rPr>
          <w:rFonts w:eastAsia="Times New Roman" w:cs="Arial"/>
          <w:sz w:val="21"/>
          <w:szCs w:val="21"/>
          <w:lang w:val="en-AU" w:eastAsia="en-AU"/>
        </w:rPr>
        <w:t>Costs of promoting a new service (including costs of advertising and promotional activities)</w:t>
      </w:r>
      <w:r w:rsidR="00CF2C84" w:rsidRPr="00411F87">
        <w:rPr>
          <w:rFonts w:eastAsia="Times New Roman" w:cs="Arial"/>
          <w:sz w:val="21"/>
          <w:szCs w:val="21"/>
          <w:lang w:val="en-AU" w:eastAsia="en-AU"/>
        </w:rPr>
        <w:t>.</w:t>
      </w:r>
    </w:p>
    <w:p w14:paraId="6B74F48F" w14:textId="72E32747" w:rsidR="004B7200" w:rsidRPr="00411F87" w:rsidRDefault="004B7200" w:rsidP="004B3E6A">
      <w:pPr>
        <w:pStyle w:val="ListParagraph"/>
        <w:numPr>
          <w:ilvl w:val="0"/>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Where an asset is acquired at no or at a nominal cost, the cost to be recognised is deemed to be the item’s </w:t>
      </w:r>
      <w:hyperlink w:anchor="FairValue" w:history="1">
        <w:r w:rsidRPr="00411F87">
          <w:rPr>
            <w:rStyle w:val="Hyperlink"/>
            <w:rFonts w:eastAsia="Times New Roman" w:cs="Arial"/>
            <w:i/>
            <w:sz w:val="21"/>
            <w:szCs w:val="21"/>
            <w:lang w:val="en-AU" w:eastAsia="en-AU"/>
          </w:rPr>
          <w:t>fair value</w:t>
        </w:r>
      </w:hyperlink>
      <w:r w:rsidRPr="00411F87">
        <w:rPr>
          <w:rFonts w:eastAsia="Times New Roman" w:cs="Arial"/>
          <w:sz w:val="21"/>
          <w:szCs w:val="21"/>
          <w:lang w:val="en-AU" w:eastAsia="en-AU"/>
        </w:rPr>
        <w:t xml:space="preserve"> as at the date of acquisition by </w:t>
      </w:r>
      <w:r w:rsidR="004E73D9" w:rsidRPr="00411F87">
        <w:rPr>
          <w:rFonts w:eastAsia="Times New Roman" w:cs="Arial"/>
          <w:sz w:val="21"/>
          <w:szCs w:val="21"/>
          <w:lang w:val="en-AU" w:eastAsia="en-AU"/>
        </w:rPr>
        <w:t xml:space="preserve">the agency, </w:t>
      </w:r>
      <w:r w:rsidRPr="00411F87">
        <w:rPr>
          <w:rFonts w:eastAsia="Times New Roman" w:cs="Arial"/>
          <w:sz w:val="21"/>
          <w:szCs w:val="21"/>
          <w:lang w:val="en-AU" w:eastAsia="en-AU"/>
        </w:rPr>
        <w:t>and is accounted for as a r</w:t>
      </w:r>
      <w:r w:rsidR="004E73D9" w:rsidRPr="00411F87">
        <w:rPr>
          <w:rFonts w:eastAsia="Times New Roman" w:cs="Arial"/>
          <w:sz w:val="21"/>
          <w:szCs w:val="21"/>
          <w:lang w:val="en-AU" w:eastAsia="en-AU"/>
        </w:rPr>
        <w:t>esource received free of charge</w:t>
      </w:r>
      <w:r w:rsidRPr="00411F87">
        <w:rPr>
          <w:rFonts w:eastAsia="Times New Roman" w:cs="Arial"/>
          <w:sz w:val="21"/>
          <w:szCs w:val="21"/>
          <w:lang w:val="en-AU" w:eastAsia="en-AU"/>
        </w:rPr>
        <w:t xml:space="preserve">. </w:t>
      </w:r>
      <w:r w:rsidR="004E73D9" w:rsidRPr="00411F87">
        <w:rPr>
          <w:rFonts w:eastAsia="Times New Roman" w:cs="Arial"/>
          <w:sz w:val="21"/>
          <w:szCs w:val="21"/>
          <w:lang w:val="en-AU" w:eastAsia="en-AU"/>
        </w:rPr>
        <w:t xml:space="preserve">When an asset is acquired </w:t>
      </w:r>
      <w:r w:rsidRPr="00411F87">
        <w:rPr>
          <w:rFonts w:eastAsia="Times New Roman" w:cs="Arial"/>
          <w:sz w:val="21"/>
          <w:szCs w:val="21"/>
          <w:lang w:val="en-AU" w:eastAsia="en-AU"/>
        </w:rPr>
        <w:t>free of charge</w:t>
      </w:r>
      <w:r w:rsidR="004E73D9" w:rsidRPr="00411F87">
        <w:rPr>
          <w:rFonts w:eastAsia="Times New Roman" w:cs="Arial"/>
          <w:sz w:val="21"/>
          <w:szCs w:val="21"/>
          <w:lang w:val="en-AU" w:eastAsia="en-AU"/>
        </w:rPr>
        <w:t>,</w:t>
      </w:r>
      <w:r w:rsidRPr="00411F87">
        <w:rPr>
          <w:rFonts w:eastAsia="Times New Roman" w:cs="Arial"/>
          <w:sz w:val="21"/>
          <w:szCs w:val="21"/>
          <w:lang w:val="en-AU" w:eastAsia="en-AU"/>
        </w:rPr>
        <w:t xml:space="preserve"> </w:t>
      </w:r>
      <w:r w:rsidR="004E73D9" w:rsidRPr="00411F87">
        <w:rPr>
          <w:rFonts w:eastAsia="Times New Roman" w:cs="Arial"/>
          <w:sz w:val="21"/>
          <w:szCs w:val="21"/>
          <w:lang w:val="en-AU" w:eastAsia="en-AU"/>
        </w:rPr>
        <w:t xml:space="preserve">the </w:t>
      </w:r>
      <w:r w:rsidRPr="00411F87">
        <w:rPr>
          <w:rFonts w:eastAsia="Times New Roman" w:cs="Arial"/>
          <w:sz w:val="21"/>
          <w:szCs w:val="21"/>
          <w:lang w:val="en-AU" w:eastAsia="en-AU"/>
        </w:rPr>
        <w:t xml:space="preserve">Finance </w:t>
      </w:r>
      <w:r w:rsidR="008C328C" w:rsidRPr="00411F87">
        <w:rPr>
          <w:rFonts w:eastAsia="Times New Roman" w:cs="Arial"/>
          <w:sz w:val="21"/>
          <w:szCs w:val="21"/>
          <w:lang w:val="en-AU" w:eastAsia="en-AU"/>
        </w:rPr>
        <w:t xml:space="preserve">section </w:t>
      </w:r>
      <w:r w:rsidR="004E73D9" w:rsidRPr="00411F87">
        <w:rPr>
          <w:rFonts w:eastAsia="Times New Roman" w:cs="Arial"/>
          <w:sz w:val="21"/>
          <w:szCs w:val="21"/>
          <w:lang w:val="en-AU" w:eastAsia="en-AU"/>
        </w:rPr>
        <w:t xml:space="preserve">should be consulted </w:t>
      </w:r>
      <w:r w:rsidRPr="00411F87">
        <w:rPr>
          <w:rFonts w:eastAsia="Times New Roman" w:cs="Arial"/>
          <w:sz w:val="21"/>
          <w:szCs w:val="21"/>
          <w:lang w:val="en-AU" w:eastAsia="en-AU"/>
        </w:rPr>
        <w:t xml:space="preserve">for advice on the recognition of such assets </w:t>
      </w:r>
      <w:r w:rsidR="004E73D9" w:rsidRPr="00411F87">
        <w:rPr>
          <w:rFonts w:eastAsia="Times New Roman" w:cs="Arial"/>
          <w:sz w:val="21"/>
          <w:szCs w:val="21"/>
          <w:lang w:val="en-AU" w:eastAsia="en-AU"/>
        </w:rPr>
        <w:t>with</w:t>
      </w:r>
      <w:r w:rsidRPr="00411F87">
        <w:rPr>
          <w:rFonts w:eastAsia="Times New Roman" w:cs="Arial"/>
          <w:sz w:val="21"/>
          <w:szCs w:val="21"/>
          <w:lang w:val="en-AU" w:eastAsia="en-AU"/>
        </w:rPr>
        <w:t>in the FMIS.</w:t>
      </w:r>
    </w:p>
    <w:p w14:paraId="6B74F490" w14:textId="77777777" w:rsidR="004B7200" w:rsidRPr="00411F87" w:rsidRDefault="004B7200" w:rsidP="004E73D9">
      <w:pPr>
        <w:pStyle w:val="ListParagraph"/>
        <w:numPr>
          <w:ilvl w:val="0"/>
          <w:numId w:val="6"/>
        </w:numPr>
        <w:contextualSpacing w:val="0"/>
        <w:rPr>
          <w:rFonts w:cs="Arial"/>
          <w:sz w:val="21"/>
          <w:szCs w:val="21"/>
          <w:lang w:val="en-AU"/>
        </w:rPr>
      </w:pPr>
      <w:r w:rsidRPr="00411F87">
        <w:rPr>
          <w:rFonts w:eastAsia="Times New Roman" w:cs="Arial"/>
          <w:sz w:val="21"/>
          <w:szCs w:val="21"/>
          <w:lang w:val="en-AU" w:eastAsia="en-AU"/>
        </w:rPr>
        <w:t xml:space="preserve">Assets should be capitalised in the FMIS </w:t>
      </w:r>
      <w:r w:rsidR="00B63A16" w:rsidRPr="00411F87">
        <w:rPr>
          <w:rFonts w:eastAsia="Times New Roman" w:cs="Arial"/>
          <w:sz w:val="21"/>
          <w:szCs w:val="21"/>
          <w:lang w:val="en-AU" w:eastAsia="en-AU"/>
        </w:rPr>
        <w:t>a</w:t>
      </w:r>
      <w:r w:rsidRPr="00411F87">
        <w:rPr>
          <w:rFonts w:eastAsia="Times New Roman" w:cs="Arial"/>
          <w:sz w:val="21"/>
          <w:szCs w:val="21"/>
          <w:lang w:val="en-AU" w:eastAsia="en-AU"/>
        </w:rPr>
        <w:t xml:space="preserve">sset </w:t>
      </w:r>
      <w:r w:rsidR="00B63A16" w:rsidRPr="00411F87">
        <w:rPr>
          <w:rFonts w:eastAsia="Times New Roman" w:cs="Arial"/>
          <w:sz w:val="21"/>
          <w:szCs w:val="21"/>
          <w:lang w:val="en-AU" w:eastAsia="en-AU"/>
        </w:rPr>
        <w:t>r</w:t>
      </w:r>
      <w:r w:rsidRPr="00411F87">
        <w:rPr>
          <w:rFonts w:eastAsia="Times New Roman" w:cs="Arial"/>
          <w:sz w:val="21"/>
          <w:szCs w:val="21"/>
          <w:lang w:val="en-AU" w:eastAsia="en-AU"/>
        </w:rPr>
        <w:t xml:space="preserve">egister as at the date of a correctly rendered invoice. </w:t>
      </w:r>
      <w:r w:rsidR="00A40A3D" w:rsidRPr="00411F87">
        <w:rPr>
          <w:rFonts w:eastAsia="Times New Roman" w:cs="Arial"/>
          <w:sz w:val="21"/>
          <w:szCs w:val="21"/>
          <w:lang w:val="en-AU" w:eastAsia="en-AU"/>
        </w:rPr>
        <w:t xml:space="preserve">Work areas </w:t>
      </w:r>
      <w:r w:rsidRPr="00411F87">
        <w:rPr>
          <w:rFonts w:eastAsia="Times New Roman" w:cs="Arial"/>
          <w:sz w:val="21"/>
          <w:szCs w:val="21"/>
          <w:lang w:val="en-AU" w:eastAsia="en-AU"/>
        </w:rPr>
        <w:t>are prompted to enter the invoice date for asset</w:t>
      </w:r>
      <w:r w:rsidRPr="00411F87">
        <w:rPr>
          <w:rFonts w:cs="Arial"/>
          <w:sz w:val="21"/>
          <w:szCs w:val="21"/>
          <w:lang w:val="en-AU"/>
        </w:rPr>
        <w:t xml:space="preserve"> acquisitions as part of the FMIS Accounts Payable process. Capitalisation flags the availability of an asset to perform its intended function and the commencement of the asset’s useful life to </w:t>
      </w:r>
      <w:r w:rsidR="00A40A3D" w:rsidRPr="00411F87">
        <w:rPr>
          <w:rFonts w:cs="Arial"/>
          <w:sz w:val="21"/>
          <w:szCs w:val="21"/>
          <w:lang w:val="en-AU"/>
        </w:rPr>
        <w:t>the agency</w:t>
      </w:r>
      <w:r w:rsidRPr="00411F87">
        <w:rPr>
          <w:rFonts w:cs="Arial"/>
          <w:sz w:val="21"/>
          <w:szCs w:val="21"/>
          <w:lang w:val="en-AU"/>
        </w:rPr>
        <w:t>.</w:t>
      </w:r>
    </w:p>
    <w:p w14:paraId="6B74F491" w14:textId="77777777" w:rsidR="004B7200" w:rsidRPr="00411F87" w:rsidRDefault="004B7200" w:rsidP="004E73D9">
      <w:pPr>
        <w:pStyle w:val="NormalWeb"/>
        <w:numPr>
          <w:ilvl w:val="0"/>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Where a down payment or deposit is made on a new asset (e.g. a vehicle), the work area will need to estimate the expected future date of arrival/availability for capitalisation commencement purposes.</w:t>
      </w:r>
    </w:p>
    <w:p w14:paraId="6B74F492" w14:textId="0ED5351C" w:rsidR="004B7200" w:rsidRPr="00411F87" w:rsidRDefault="004B7200" w:rsidP="004E73D9">
      <w:pPr>
        <w:pStyle w:val="ListParagraph"/>
        <w:numPr>
          <w:ilvl w:val="0"/>
          <w:numId w:val="6"/>
        </w:numPr>
        <w:contextualSpacing w:val="0"/>
        <w:rPr>
          <w:rFonts w:cs="Arial"/>
          <w:sz w:val="21"/>
          <w:szCs w:val="21"/>
          <w:lang w:val="en-AU"/>
        </w:rPr>
      </w:pPr>
      <w:r w:rsidRPr="00411F87">
        <w:rPr>
          <w:rFonts w:cs="Arial"/>
          <w:sz w:val="21"/>
          <w:szCs w:val="21"/>
          <w:lang w:val="en-AU"/>
        </w:rPr>
        <w:t xml:space="preserve">The costs of an asset or those costs associated with the development of self-constructed assets (i.e. </w:t>
      </w:r>
      <w:r w:rsidR="000C2CCF" w:rsidRPr="00411F87">
        <w:rPr>
          <w:rFonts w:cs="Arial"/>
          <w:sz w:val="21"/>
          <w:szCs w:val="21"/>
          <w:lang w:val="en-AU"/>
        </w:rPr>
        <w:t>‘</w:t>
      </w:r>
      <w:r w:rsidR="00465EC4" w:rsidRPr="00411F87">
        <w:rPr>
          <w:rFonts w:cs="Arial"/>
          <w:sz w:val="21"/>
          <w:szCs w:val="21"/>
          <w:lang w:val="en-AU"/>
        </w:rPr>
        <w:fldChar w:fldCharType="begin"/>
      </w:r>
      <w:r w:rsidR="00465EC4" w:rsidRPr="00411F87">
        <w:rPr>
          <w:rFonts w:cs="Arial"/>
          <w:sz w:val="21"/>
          <w:szCs w:val="21"/>
          <w:lang w:val="en-AU"/>
        </w:rPr>
        <w:instrText xml:space="preserve"> REF _Ref436119287 \h </w:instrText>
      </w:r>
      <w:r w:rsidR="00411F87">
        <w:rPr>
          <w:rFonts w:cs="Arial"/>
          <w:sz w:val="21"/>
          <w:szCs w:val="21"/>
          <w:lang w:val="en-AU"/>
        </w:rPr>
        <w:instrText xml:space="preserve"> \* MERGEFORMAT </w:instrText>
      </w:r>
      <w:r w:rsidR="00465EC4" w:rsidRPr="00411F87">
        <w:rPr>
          <w:rFonts w:cs="Arial"/>
          <w:sz w:val="21"/>
          <w:szCs w:val="21"/>
          <w:lang w:val="en-AU"/>
        </w:rPr>
      </w:r>
      <w:r w:rsidR="00465EC4" w:rsidRPr="00411F87">
        <w:rPr>
          <w:rFonts w:cs="Arial"/>
          <w:sz w:val="21"/>
          <w:szCs w:val="21"/>
          <w:lang w:val="en-AU"/>
        </w:rPr>
        <w:fldChar w:fldCharType="separate"/>
      </w:r>
      <w:r w:rsidR="00A1335C" w:rsidRPr="00A1335C">
        <w:rPr>
          <w:rFonts w:cs="Arial"/>
          <w:sz w:val="21"/>
          <w:szCs w:val="21"/>
        </w:rPr>
        <w:t>Works in Progress (WIP)</w:t>
      </w:r>
      <w:r w:rsidR="00465EC4" w:rsidRPr="00411F87">
        <w:rPr>
          <w:rFonts w:cs="Arial"/>
          <w:sz w:val="21"/>
          <w:szCs w:val="21"/>
          <w:lang w:val="en-AU"/>
        </w:rPr>
        <w:fldChar w:fldCharType="end"/>
      </w:r>
      <w:r w:rsidR="000C2CCF" w:rsidRPr="00411F87">
        <w:rPr>
          <w:rFonts w:cs="Arial"/>
          <w:sz w:val="21"/>
          <w:szCs w:val="21"/>
          <w:lang w:val="en-AU"/>
        </w:rPr>
        <w:t>’</w:t>
      </w:r>
      <w:r w:rsidRPr="00411F87">
        <w:rPr>
          <w:rFonts w:cs="Arial"/>
          <w:sz w:val="21"/>
          <w:szCs w:val="21"/>
          <w:lang w:val="en-AU"/>
        </w:rPr>
        <w:t>) should be capitalised at the date when the asset (or sub-asset) is capable of being used in the manner intended by management.</w:t>
      </w:r>
    </w:p>
    <w:p w14:paraId="6B74F493" w14:textId="77777777" w:rsidR="00B95756" w:rsidRPr="00411F87" w:rsidRDefault="00B95756" w:rsidP="00465EC4">
      <w:pPr>
        <w:pStyle w:val="ListParagraph"/>
        <w:numPr>
          <w:ilvl w:val="0"/>
          <w:numId w:val="6"/>
        </w:numPr>
        <w:spacing w:after="0"/>
        <w:contextualSpacing w:val="0"/>
        <w:rPr>
          <w:rFonts w:cs="Arial"/>
          <w:sz w:val="21"/>
          <w:szCs w:val="21"/>
          <w:lang w:val="en-AU"/>
        </w:rPr>
      </w:pPr>
      <w:r w:rsidRPr="00411F87">
        <w:rPr>
          <w:rFonts w:cs="Arial"/>
          <w:sz w:val="21"/>
          <w:szCs w:val="21"/>
          <w:lang w:val="en-AU"/>
        </w:rPr>
        <w:t xml:space="preserve">An asset will </w:t>
      </w:r>
      <w:r w:rsidR="00004286" w:rsidRPr="00411F87">
        <w:rPr>
          <w:rFonts w:cs="Arial"/>
          <w:sz w:val="21"/>
          <w:szCs w:val="21"/>
          <w:lang w:val="en-AU"/>
        </w:rPr>
        <w:t>increase in value</w:t>
      </w:r>
      <w:r w:rsidRPr="00411F87">
        <w:rPr>
          <w:rFonts w:cs="Arial"/>
          <w:sz w:val="21"/>
          <w:szCs w:val="21"/>
          <w:lang w:val="en-AU"/>
        </w:rPr>
        <w:t xml:space="preserve"> and future economic benefit whereby:</w:t>
      </w:r>
    </w:p>
    <w:p w14:paraId="6B74F494" w14:textId="79BE0C6F" w:rsidR="00B95756" w:rsidRPr="00411F87" w:rsidRDefault="00B95756" w:rsidP="00465EC4">
      <w:pPr>
        <w:pStyle w:val="ListParagraph"/>
        <w:numPr>
          <w:ilvl w:val="1"/>
          <w:numId w:val="6"/>
        </w:numPr>
        <w:spacing w:after="80"/>
        <w:contextualSpacing w:val="0"/>
        <w:rPr>
          <w:rFonts w:cs="Arial"/>
          <w:sz w:val="21"/>
          <w:szCs w:val="21"/>
          <w:lang w:val="en-AU"/>
        </w:rPr>
      </w:pPr>
      <w:r w:rsidRPr="00411F87">
        <w:rPr>
          <w:rFonts w:cs="Arial"/>
          <w:sz w:val="21"/>
          <w:szCs w:val="21"/>
          <w:lang w:val="en-AU"/>
        </w:rPr>
        <w:t>A</w:t>
      </w:r>
      <w:r w:rsidR="00004286" w:rsidRPr="00411F87">
        <w:rPr>
          <w:rFonts w:cs="Arial"/>
          <w:sz w:val="21"/>
          <w:szCs w:val="21"/>
          <w:lang w:val="en-AU"/>
        </w:rPr>
        <w:t>d</w:t>
      </w:r>
      <w:r w:rsidRPr="00411F87">
        <w:rPr>
          <w:rFonts w:cs="Arial"/>
          <w:sz w:val="21"/>
          <w:szCs w:val="21"/>
          <w:lang w:val="en-AU"/>
        </w:rPr>
        <w:t xml:space="preserve">ditional parts </w:t>
      </w:r>
      <w:r w:rsidR="004D0A69" w:rsidRPr="00411F87">
        <w:rPr>
          <w:rFonts w:cs="Arial"/>
          <w:sz w:val="21"/>
          <w:szCs w:val="21"/>
          <w:lang w:val="en-AU"/>
        </w:rPr>
        <w:t>(</w:t>
      </w:r>
      <w:r w:rsidRPr="00411F87">
        <w:rPr>
          <w:rFonts w:cs="Arial"/>
          <w:sz w:val="21"/>
          <w:szCs w:val="21"/>
          <w:lang w:val="en-AU"/>
        </w:rPr>
        <w:t>such as increasing the</w:t>
      </w:r>
      <w:r w:rsidR="00004286" w:rsidRPr="00411F87">
        <w:rPr>
          <w:rFonts w:cs="Arial"/>
          <w:sz w:val="21"/>
          <w:szCs w:val="21"/>
          <w:lang w:val="en-AU"/>
        </w:rPr>
        <w:t xml:space="preserve"> capacity </w:t>
      </w:r>
      <w:r w:rsidR="002B0D96" w:rsidRPr="00411F87">
        <w:rPr>
          <w:rFonts w:cs="Arial"/>
          <w:sz w:val="21"/>
          <w:szCs w:val="21"/>
          <w:lang w:val="en-AU"/>
        </w:rPr>
        <w:t>to a server</w:t>
      </w:r>
      <w:r w:rsidR="004D0A69" w:rsidRPr="00411F87">
        <w:rPr>
          <w:rFonts w:cs="Arial"/>
          <w:sz w:val="21"/>
          <w:szCs w:val="21"/>
          <w:lang w:val="en-AU"/>
        </w:rPr>
        <w:t>)</w:t>
      </w:r>
      <w:r w:rsidR="00004286" w:rsidRPr="00411F87">
        <w:rPr>
          <w:rFonts w:cs="Arial"/>
          <w:sz w:val="21"/>
          <w:szCs w:val="21"/>
          <w:lang w:val="en-AU"/>
        </w:rPr>
        <w:t xml:space="preserve"> </w:t>
      </w:r>
      <w:r w:rsidR="002B0D96" w:rsidRPr="00411F87">
        <w:rPr>
          <w:rFonts w:cs="Arial"/>
          <w:sz w:val="21"/>
          <w:szCs w:val="21"/>
          <w:lang w:val="en-AU"/>
        </w:rPr>
        <w:t>are purchased</w:t>
      </w:r>
      <w:r w:rsidRPr="00411F87">
        <w:rPr>
          <w:rFonts w:cs="Arial"/>
          <w:sz w:val="21"/>
          <w:szCs w:val="21"/>
          <w:lang w:val="en-AU"/>
        </w:rPr>
        <w:t>;</w:t>
      </w:r>
      <w:r w:rsidR="002B0D96" w:rsidRPr="00411F87">
        <w:rPr>
          <w:rFonts w:cs="Arial"/>
          <w:sz w:val="21"/>
          <w:szCs w:val="21"/>
          <w:lang w:val="en-AU"/>
        </w:rPr>
        <w:t xml:space="preserve"> </w:t>
      </w:r>
      <w:r w:rsidR="00004286" w:rsidRPr="00411F87">
        <w:rPr>
          <w:rFonts w:cs="Arial"/>
          <w:sz w:val="21"/>
          <w:szCs w:val="21"/>
          <w:lang w:val="en-AU"/>
        </w:rPr>
        <w:t>or</w:t>
      </w:r>
    </w:p>
    <w:p w14:paraId="6B74F495" w14:textId="3F08FA4E" w:rsidR="00B95756" w:rsidRPr="00411F87" w:rsidRDefault="00B95756" w:rsidP="00411F87">
      <w:pPr>
        <w:pStyle w:val="ListParagraph"/>
        <w:numPr>
          <w:ilvl w:val="1"/>
          <w:numId w:val="6"/>
        </w:numPr>
        <w:spacing w:after="80"/>
        <w:contextualSpacing w:val="0"/>
        <w:rPr>
          <w:rFonts w:cs="Arial"/>
          <w:sz w:val="21"/>
          <w:szCs w:val="21"/>
          <w:lang w:val="en-AU"/>
        </w:rPr>
      </w:pPr>
      <w:r w:rsidRPr="00411F87">
        <w:rPr>
          <w:rFonts w:cs="Arial"/>
          <w:sz w:val="21"/>
          <w:szCs w:val="21"/>
          <w:lang w:val="en-AU"/>
        </w:rPr>
        <w:t>E</w:t>
      </w:r>
      <w:r w:rsidR="00004286" w:rsidRPr="00411F87">
        <w:rPr>
          <w:rFonts w:cs="Arial"/>
          <w:sz w:val="21"/>
          <w:szCs w:val="21"/>
          <w:lang w:val="en-AU"/>
        </w:rPr>
        <w:t>n</w:t>
      </w:r>
      <w:r w:rsidR="002B0D96" w:rsidRPr="00411F87">
        <w:rPr>
          <w:rFonts w:cs="Arial"/>
          <w:sz w:val="21"/>
          <w:szCs w:val="21"/>
          <w:lang w:val="en-AU"/>
        </w:rPr>
        <w:t>hancements are made to internally developed software</w:t>
      </w:r>
      <w:r w:rsidR="00465EC4" w:rsidRPr="00411F87">
        <w:rPr>
          <w:rFonts w:cs="Arial"/>
          <w:sz w:val="21"/>
          <w:szCs w:val="21"/>
          <w:lang w:val="en-AU"/>
        </w:rPr>
        <w:t>.</w:t>
      </w:r>
      <w:r w:rsidRPr="00411F87">
        <w:rPr>
          <w:rFonts w:cs="Arial"/>
          <w:sz w:val="21"/>
          <w:szCs w:val="21"/>
          <w:lang w:val="en-AU"/>
        </w:rPr>
        <w:t xml:space="preserve"> </w:t>
      </w:r>
    </w:p>
    <w:p w14:paraId="6B74F496" w14:textId="4F9C7C15" w:rsidR="00C96533" w:rsidRPr="00411F87" w:rsidRDefault="00465EC4" w:rsidP="00C96533">
      <w:pPr>
        <w:ind w:left="567"/>
        <w:rPr>
          <w:rFonts w:cs="Arial"/>
          <w:sz w:val="21"/>
          <w:szCs w:val="21"/>
          <w:lang w:val="en-AU"/>
        </w:rPr>
      </w:pPr>
      <w:r w:rsidRPr="00411F87">
        <w:rPr>
          <w:rFonts w:cs="Arial"/>
          <w:sz w:val="21"/>
          <w:szCs w:val="21"/>
          <w:lang w:val="en-AU"/>
        </w:rPr>
        <w:t>E</w:t>
      </w:r>
      <w:r w:rsidR="00B95756" w:rsidRPr="00411F87">
        <w:rPr>
          <w:rFonts w:cs="Arial"/>
          <w:sz w:val="21"/>
          <w:szCs w:val="21"/>
          <w:lang w:val="en-AU"/>
        </w:rPr>
        <w:t>nhancement</w:t>
      </w:r>
      <w:r w:rsidRPr="00411F87">
        <w:rPr>
          <w:rFonts w:cs="Arial"/>
          <w:sz w:val="21"/>
          <w:szCs w:val="21"/>
          <w:lang w:val="en-AU"/>
        </w:rPr>
        <w:t>s such as these</w:t>
      </w:r>
      <w:r w:rsidR="00B95756" w:rsidRPr="00411F87">
        <w:rPr>
          <w:rFonts w:cs="Arial"/>
          <w:sz w:val="21"/>
          <w:szCs w:val="21"/>
          <w:lang w:val="en-AU"/>
        </w:rPr>
        <w:t xml:space="preserve"> may </w:t>
      </w:r>
      <w:r w:rsidR="002B0D96" w:rsidRPr="00411F87">
        <w:rPr>
          <w:rFonts w:cs="Arial"/>
          <w:sz w:val="21"/>
          <w:szCs w:val="21"/>
          <w:lang w:val="en-AU"/>
        </w:rPr>
        <w:t xml:space="preserve">increase the </w:t>
      </w:r>
      <w:r w:rsidRPr="00411F87">
        <w:rPr>
          <w:rFonts w:cs="Arial"/>
          <w:sz w:val="21"/>
          <w:szCs w:val="21"/>
          <w:lang w:val="en-AU"/>
        </w:rPr>
        <w:t xml:space="preserve">asset’s </w:t>
      </w:r>
      <w:r w:rsidR="002B0D96" w:rsidRPr="00411F87">
        <w:rPr>
          <w:rFonts w:cs="Arial"/>
          <w:sz w:val="21"/>
          <w:szCs w:val="21"/>
          <w:lang w:val="en-AU"/>
        </w:rPr>
        <w:t>useful life</w:t>
      </w:r>
      <w:r w:rsidRPr="00411F87">
        <w:rPr>
          <w:rFonts w:cs="Arial"/>
          <w:sz w:val="21"/>
          <w:szCs w:val="21"/>
          <w:lang w:val="en-AU"/>
        </w:rPr>
        <w:t>,</w:t>
      </w:r>
      <w:r w:rsidR="002B0D96" w:rsidRPr="00411F87">
        <w:rPr>
          <w:rFonts w:cs="Arial"/>
          <w:sz w:val="21"/>
          <w:szCs w:val="21"/>
          <w:lang w:val="en-AU"/>
        </w:rPr>
        <w:t xml:space="preserve"> extending it beyond current capacity.</w:t>
      </w:r>
    </w:p>
    <w:p w14:paraId="6B74F497" w14:textId="48484CCF" w:rsidR="00C96533" w:rsidRPr="00AC3A52" w:rsidRDefault="00C96533" w:rsidP="00C96533">
      <w:pPr>
        <w:pStyle w:val="Heading2"/>
        <w:rPr>
          <w:rFonts w:cs="Arial"/>
        </w:rPr>
      </w:pPr>
      <w:r>
        <w:rPr>
          <w:rFonts w:cs="Arial"/>
        </w:rPr>
        <w:t xml:space="preserve">Heritage and </w:t>
      </w:r>
      <w:r w:rsidR="004967B1">
        <w:rPr>
          <w:rFonts w:cs="Arial"/>
        </w:rPr>
        <w:t>c</w:t>
      </w:r>
      <w:r>
        <w:rPr>
          <w:rFonts w:cs="Arial"/>
        </w:rPr>
        <w:t>ultural assets</w:t>
      </w:r>
    </w:p>
    <w:p w14:paraId="6B74F499" w14:textId="04EB229A" w:rsidR="00C96533" w:rsidRPr="00411F87" w:rsidRDefault="00C96533" w:rsidP="00465EC4">
      <w:pPr>
        <w:pStyle w:val="ListParagraph"/>
        <w:numPr>
          <w:ilvl w:val="0"/>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Heritage and cultural assets may include items such as buildings, works of arts, artefacts and collectables which are held for their cultural, environmental or historical significance. However these assets do not include structures constructed to assist with their display, transport or storage</w:t>
      </w:r>
      <w:r w:rsidR="00465EC4" w:rsidRPr="00411F87">
        <w:rPr>
          <w:rFonts w:eastAsia="Times New Roman" w:cs="Arial"/>
          <w:sz w:val="21"/>
          <w:szCs w:val="21"/>
          <w:lang w:val="en-AU" w:eastAsia="en-AU"/>
        </w:rPr>
        <w:t>,</w:t>
      </w:r>
      <w:r w:rsidRPr="00411F87">
        <w:rPr>
          <w:rFonts w:eastAsia="Times New Roman" w:cs="Arial"/>
          <w:sz w:val="21"/>
          <w:szCs w:val="21"/>
          <w:lang w:val="en-AU" w:eastAsia="en-AU"/>
        </w:rPr>
        <w:t xml:space="preserve"> or buildings of historical interest that are used to provide office accommodation. </w:t>
      </w:r>
    </w:p>
    <w:p w14:paraId="6B74F49B" w14:textId="03CE4391" w:rsidR="00C96533" w:rsidRPr="00411F87" w:rsidRDefault="00C96533" w:rsidP="00465EC4">
      <w:pPr>
        <w:pStyle w:val="ListParagraph"/>
        <w:numPr>
          <w:ilvl w:val="0"/>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Where it can be demonstrated that an asset’s service potential will be maintained for an indefinite period through conservation, restoration and preservation activities</w:t>
      </w:r>
      <w:r w:rsidR="00465EC4" w:rsidRPr="00411F87">
        <w:rPr>
          <w:rFonts w:eastAsia="Times New Roman" w:cs="Arial"/>
          <w:sz w:val="21"/>
          <w:szCs w:val="21"/>
          <w:lang w:val="en-AU" w:eastAsia="en-AU"/>
        </w:rPr>
        <w:t>,</w:t>
      </w:r>
      <w:r w:rsidRPr="00411F87">
        <w:rPr>
          <w:rFonts w:eastAsia="Times New Roman" w:cs="Arial"/>
          <w:sz w:val="21"/>
          <w:szCs w:val="21"/>
          <w:lang w:val="en-AU" w:eastAsia="en-AU"/>
        </w:rPr>
        <w:t xml:space="preserve"> the asset may be considered to have an indefinite life. This is typically undertaken through the development and implementation of rigorous and comprehensive curatorial and preservation policies. </w:t>
      </w:r>
    </w:p>
    <w:p w14:paraId="6B74F49D" w14:textId="2AE0E82B" w:rsidR="00C96533" w:rsidRPr="00411F87" w:rsidRDefault="00C96533" w:rsidP="00411F87">
      <w:pPr>
        <w:pStyle w:val="ListParagraph"/>
        <w:numPr>
          <w:ilvl w:val="0"/>
          <w:numId w:val="6"/>
        </w:numPr>
        <w:spacing w:after="40"/>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AASB 116 Australian Implementation Guidance </w:t>
      </w:r>
      <w:r w:rsidR="00465EC4" w:rsidRPr="00411F87">
        <w:rPr>
          <w:rFonts w:eastAsia="Times New Roman" w:cs="Arial"/>
          <w:sz w:val="21"/>
          <w:szCs w:val="21"/>
          <w:lang w:val="en-AU" w:eastAsia="en-AU"/>
        </w:rPr>
        <w:t>(</w:t>
      </w:r>
      <w:r w:rsidRPr="00411F87">
        <w:rPr>
          <w:rFonts w:eastAsia="Times New Roman" w:cs="Arial"/>
          <w:sz w:val="21"/>
          <w:szCs w:val="21"/>
          <w:lang w:val="en-AU" w:eastAsia="en-AU"/>
        </w:rPr>
        <w:t>paragraph G4</w:t>
      </w:r>
      <w:r w:rsidR="00465EC4" w:rsidRPr="00411F87">
        <w:rPr>
          <w:rFonts w:eastAsia="Times New Roman" w:cs="Arial"/>
          <w:sz w:val="21"/>
          <w:szCs w:val="21"/>
          <w:lang w:val="en-AU" w:eastAsia="en-AU"/>
        </w:rPr>
        <w:t>)</w:t>
      </w:r>
      <w:r w:rsidRPr="00411F87">
        <w:rPr>
          <w:rFonts w:eastAsia="Times New Roman" w:cs="Arial"/>
          <w:sz w:val="21"/>
          <w:szCs w:val="21"/>
          <w:lang w:val="en-AU" w:eastAsia="en-AU"/>
        </w:rPr>
        <w:t xml:space="preserve"> defines curatorial and preservation policies as those developed and monitored by qualified personnel</w:t>
      </w:r>
      <w:r w:rsidR="00465EC4" w:rsidRPr="00411F87">
        <w:rPr>
          <w:rFonts w:eastAsia="Times New Roman" w:cs="Arial"/>
          <w:sz w:val="21"/>
          <w:szCs w:val="21"/>
          <w:lang w:val="en-AU" w:eastAsia="en-AU"/>
        </w:rPr>
        <w:t>,</w:t>
      </w:r>
      <w:r w:rsidRPr="00411F87">
        <w:rPr>
          <w:rFonts w:eastAsia="Times New Roman" w:cs="Arial"/>
          <w:sz w:val="21"/>
          <w:szCs w:val="21"/>
          <w:lang w:val="en-AU" w:eastAsia="en-AU"/>
        </w:rPr>
        <w:t xml:space="preserve"> and includes the following: </w:t>
      </w:r>
    </w:p>
    <w:p w14:paraId="6B74F49E" w14:textId="77777777" w:rsidR="00C96533" w:rsidRPr="00411F87" w:rsidRDefault="00C96533" w:rsidP="00411F87">
      <w:pPr>
        <w:pStyle w:val="ListParagraph"/>
        <w:numPr>
          <w:ilvl w:val="1"/>
          <w:numId w:val="6"/>
        </w:numPr>
        <w:spacing w:after="80"/>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a clearly stated objective about the holding and preservation of items; </w:t>
      </w:r>
    </w:p>
    <w:p w14:paraId="6B74F49F" w14:textId="77777777" w:rsidR="00C96533" w:rsidRPr="00411F87" w:rsidRDefault="00C96533" w:rsidP="00411F87">
      <w:pPr>
        <w:pStyle w:val="ListParagraph"/>
        <w:numPr>
          <w:ilvl w:val="1"/>
          <w:numId w:val="6"/>
        </w:numPr>
        <w:spacing w:after="80"/>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a well-developed plan to achieve the objective, including demonstration of how the policy will be implemented, based on advice by appropriately qualified experts; monitoring procedures; </w:t>
      </w:r>
    </w:p>
    <w:p w14:paraId="6B74F4A0" w14:textId="77777777" w:rsidR="00C96533" w:rsidRPr="00411F87" w:rsidRDefault="00C96533" w:rsidP="00411F87">
      <w:pPr>
        <w:pStyle w:val="ListParagraph"/>
        <w:numPr>
          <w:ilvl w:val="1"/>
          <w:numId w:val="6"/>
        </w:numPr>
        <w:spacing w:after="80"/>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periodic reviews; and </w:t>
      </w:r>
    </w:p>
    <w:p w14:paraId="6B74F4A1" w14:textId="113770FF" w:rsidR="00C96533" w:rsidRPr="00411F87" w:rsidRDefault="00C96533" w:rsidP="00465EC4">
      <w:pPr>
        <w:pStyle w:val="ListParagraph"/>
        <w:numPr>
          <w:ilvl w:val="1"/>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endorsement and adoption </w:t>
      </w:r>
      <w:r w:rsidR="00665A7B" w:rsidRPr="00411F87">
        <w:rPr>
          <w:rFonts w:eastAsia="Times New Roman" w:cs="Arial"/>
          <w:sz w:val="21"/>
          <w:szCs w:val="21"/>
          <w:lang w:val="en-AU" w:eastAsia="en-AU"/>
        </w:rPr>
        <w:t>by the entity's governing body</w:t>
      </w:r>
      <w:r w:rsidR="00465EC4" w:rsidRPr="00411F87">
        <w:rPr>
          <w:rFonts w:eastAsia="Times New Roman" w:cs="Arial"/>
          <w:sz w:val="21"/>
          <w:szCs w:val="21"/>
          <w:lang w:val="en-AU" w:eastAsia="en-AU"/>
        </w:rPr>
        <w:t>.</w:t>
      </w:r>
    </w:p>
    <w:p w14:paraId="6B74F4A2" w14:textId="77777777" w:rsidR="00C96533" w:rsidRPr="00411F87" w:rsidRDefault="00C96533" w:rsidP="00465EC4">
      <w:pPr>
        <w:pStyle w:val="ListParagraph"/>
        <w:numPr>
          <w:ilvl w:val="0"/>
          <w:numId w:val="6"/>
        </w:numPr>
        <w:contextualSpacing w:val="0"/>
        <w:rPr>
          <w:rFonts w:eastAsia="Times New Roman" w:cs="Arial"/>
          <w:sz w:val="21"/>
          <w:szCs w:val="21"/>
          <w:lang w:val="en-AU" w:eastAsia="en-AU"/>
        </w:rPr>
      </w:pPr>
      <w:r w:rsidRPr="00411F87">
        <w:rPr>
          <w:rFonts w:eastAsia="Times New Roman" w:cs="Arial"/>
          <w:sz w:val="21"/>
          <w:szCs w:val="21"/>
          <w:lang w:val="en-AU" w:eastAsia="en-AU"/>
        </w:rPr>
        <w:t xml:space="preserve">Heritage assets initially acquired at no or nominal cost should be initially measured at fair value. In some cases, it may be impossible to arrive at a reliable measure of fair value. </w:t>
      </w:r>
      <w:r w:rsidRPr="00411F87">
        <w:rPr>
          <w:rFonts w:eastAsia="Times New Roman" w:cs="Arial"/>
          <w:sz w:val="21"/>
          <w:szCs w:val="21"/>
          <w:lang w:val="en-AU" w:eastAsia="en-AU"/>
        </w:rPr>
        <w:lastRenderedPageBreak/>
        <w:t xml:space="preserve">This may be because the asset cannot be replaced or reproduced and doesn't generate cash flows. In such cases, the heritage asset should not be recognised as an asset. </w:t>
      </w:r>
    </w:p>
    <w:p w14:paraId="6B74F4A3" w14:textId="77777777" w:rsidR="004B7200" w:rsidRPr="00F41D76" w:rsidRDefault="004B7200" w:rsidP="00ED4539">
      <w:pPr>
        <w:pStyle w:val="Heading2"/>
        <w:rPr>
          <w:rFonts w:cs="Arial"/>
        </w:rPr>
      </w:pPr>
      <w:bookmarkStart w:id="6" w:name="_Toc417380694"/>
      <w:r w:rsidRPr="00F41D76">
        <w:rPr>
          <w:rFonts w:cs="Arial"/>
        </w:rPr>
        <w:t>Depreciation</w:t>
      </w:r>
      <w:bookmarkEnd w:id="6"/>
    </w:p>
    <w:p w14:paraId="6B74F4A4" w14:textId="77777777" w:rsidR="004B7200" w:rsidRPr="00411F87" w:rsidRDefault="004B7200" w:rsidP="00465EC4">
      <w:pPr>
        <w:pStyle w:val="ListParagraph"/>
        <w:numPr>
          <w:ilvl w:val="0"/>
          <w:numId w:val="6"/>
        </w:numPr>
        <w:shd w:val="clear" w:color="auto" w:fill="FFFFFF"/>
        <w:contextualSpacing w:val="0"/>
        <w:rPr>
          <w:rFonts w:cs="Arial"/>
          <w:sz w:val="21"/>
          <w:szCs w:val="21"/>
          <w:lang w:val="en-AU"/>
        </w:rPr>
      </w:pPr>
      <w:r w:rsidRPr="00411F87">
        <w:rPr>
          <w:rFonts w:cs="Arial"/>
          <w:sz w:val="21"/>
          <w:szCs w:val="21"/>
          <w:lang w:val="en-AU"/>
        </w:rPr>
        <w:t xml:space="preserve">The recognition of depreciation charges is essential in identifying total cost of services and the current value of </w:t>
      </w:r>
      <w:r w:rsidR="00A40A3D" w:rsidRPr="00411F87">
        <w:rPr>
          <w:rFonts w:cs="Arial"/>
          <w:sz w:val="21"/>
          <w:szCs w:val="21"/>
          <w:lang w:val="en-AU"/>
        </w:rPr>
        <w:t xml:space="preserve">the agency’s </w:t>
      </w:r>
      <w:r w:rsidRPr="00411F87">
        <w:rPr>
          <w:rFonts w:cs="Arial"/>
          <w:sz w:val="21"/>
          <w:szCs w:val="21"/>
          <w:lang w:val="en-AU"/>
        </w:rPr>
        <w:t xml:space="preserve">asset holdings at any point </w:t>
      </w:r>
      <w:r w:rsidR="00F669BE" w:rsidRPr="00411F87">
        <w:rPr>
          <w:rFonts w:cs="Arial"/>
          <w:sz w:val="21"/>
          <w:szCs w:val="21"/>
          <w:lang w:val="en-AU"/>
        </w:rPr>
        <w:t xml:space="preserve">in </w:t>
      </w:r>
      <w:r w:rsidRPr="00411F87">
        <w:rPr>
          <w:rFonts w:cs="Arial"/>
          <w:sz w:val="21"/>
          <w:szCs w:val="21"/>
          <w:lang w:val="en-AU"/>
        </w:rPr>
        <w:t>time.</w:t>
      </w:r>
    </w:p>
    <w:p w14:paraId="6B74F4A5" w14:textId="53958FAC" w:rsidR="004B7200" w:rsidRPr="00411F87" w:rsidRDefault="00F669BE" w:rsidP="00465EC4">
      <w:pPr>
        <w:pStyle w:val="ListParagraph"/>
        <w:numPr>
          <w:ilvl w:val="0"/>
          <w:numId w:val="6"/>
        </w:numPr>
        <w:shd w:val="clear" w:color="auto" w:fill="FFFFFF"/>
        <w:contextualSpacing w:val="0"/>
        <w:rPr>
          <w:rFonts w:cs="Arial"/>
          <w:sz w:val="21"/>
          <w:szCs w:val="21"/>
          <w:lang w:val="en-AU"/>
        </w:rPr>
      </w:pPr>
      <w:r w:rsidRPr="00411F87">
        <w:rPr>
          <w:rFonts w:cs="Arial"/>
          <w:sz w:val="21"/>
          <w:szCs w:val="21"/>
          <w:lang w:val="en-AU"/>
        </w:rPr>
        <w:t>T</w:t>
      </w:r>
      <w:r w:rsidR="004B7200" w:rsidRPr="00411F87">
        <w:rPr>
          <w:rFonts w:cs="Arial"/>
          <w:sz w:val="21"/>
          <w:szCs w:val="21"/>
          <w:lang w:val="en-AU"/>
        </w:rPr>
        <w:t xml:space="preserve">he depreciation method used must reflect the pattern in which an asset’s </w:t>
      </w:r>
      <w:hyperlink w:anchor="FutureEconomicBenefit" w:history="1">
        <w:r w:rsidR="004B7200" w:rsidRPr="00411F87">
          <w:rPr>
            <w:rStyle w:val="Hyperlink"/>
            <w:rFonts w:cs="Arial"/>
            <w:i/>
            <w:sz w:val="21"/>
            <w:szCs w:val="21"/>
            <w:lang w:val="en-AU"/>
          </w:rPr>
          <w:t>future economic benefits</w:t>
        </w:r>
      </w:hyperlink>
      <w:r w:rsidR="004B7200" w:rsidRPr="00411F87">
        <w:rPr>
          <w:rFonts w:cs="Arial"/>
          <w:sz w:val="21"/>
          <w:szCs w:val="21"/>
          <w:lang w:val="en-AU"/>
        </w:rPr>
        <w:t xml:space="preserve"> are expected to be consumed by </w:t>
      </w:r>
      <w:r w:rsidRPr="00411F87">
        <w:rPr>
          <w:rFonts w:cs="Arial"/>
          <w:sz w:val="21"/>
          <w:szCs w:val="21"/>
          <w:lang w:val="en-AU"/>
        </w:rPr>
        <w:t>the agency</w:t>
      </w:r>
      <w:r w:rsidRPr="00411F87">
        <w:rPr>
          <w:rFonts w:cs="Arial"/>
          <w:sz w:val="21"/>
          <w:szCs w:val="21"/>
          <w:lang w:val="en-AU"/>
        </w:rPr>
        <w:fldChar w:fldCharType="begin"/>
      </w:r>
      <w:r w:rsidRPr="00411F87">
        <w:rPr>
          <w:rFonts w:cs="Arial"/>
          <w:sz w:val="21"/>
          <w:szCs w:val="21"/>
          <w:lang w:val="en-AU"/>
        </w:rPr>
        <w:instrText xml:space="preserve"> NOTEREF _Ref408907514 \f \h </w:instrText>
      </w:r>
      <w:r w:rsidR="00F55FD7" w:rsidRPr="00411F87">
        <w:rPr>
          <w:rFonts w:cs="Arial"/>
          <w:sz w:val="21"/>
          <w:szCs w:val="21"/>
          <w:lang w:val="en-AU"/>
        </w:rPr>
        <w:instrText xml:space="preserve"> \* MERGEFORMAT </w:instrText>
      </w:r>
      <w:r w:rsidRPr="00411F87">
        <w:rPr>
          <w:rFonts w:cs="Arial"/>
          <w:sz w:val="21"/>
          <w:szCs w:val="21"/>
          <w:lang w:val="en-AU"/>
        </w:rPr>
      </w:r>
      <w:r w:rsidRPr="00411F87">
        <w:rPr>
          <w:rFonts w:cs="Arial"/>
          <w:sz w:val="21"/>
          <w:szCs w:val="21"/>
          <w:lang w:val="en-AU"/>
        </w:rPr>
        <w:fldChar w:fldCharType="separate"/>
      </w:r>
      <w:r w:rsidR="00A1335C" w:rsidRPr="00A1335C">
        <w:rPr>
          <w:rStyle w:val="EndnoteReference"/>
          <w:rFonts w:cs="Arial"/>
          <w:sz w:val="21"/>
          <w:szCs w:val="21"/>
        </w:rPr>
        <w:t>16</w:t>
      </w:r>
      <w:r w:rsidRPr="00411F87">
        <w:rPr>
          <w:rFonts w:cs="Arial"/>
          <w:sz w:val="21"/>
          <w:szCs w:val="21"/>
          <w:lang w:val="en-AU"/>
        </w:rPr>
        <w:fldChar w:fldCharType="end"/>
      </w:r>
      <w:r w:rsidR="004B7200" w:rsidRPr="00411F87">
        <w:rPr>
          <w:rFonts w:cs="Arial"/>
          <w:sz w:val="21"/>
          <w:szCs w:val="21"/>
          <w:lang w:val="en-AU"/>
        </w:rPr>
        <w:t>.</w:t>
      </w:r>
      <w:r w:rsidRPr="00411F87">
        <w:rPr>
          <w:rFonts w:cs="Arial"/>
          <w:sz w:val="21"/>
          <w:szCs w:val="21"/>
          <w:lang w:val="en-AU"/>
        </w:rPr>
        <w:t xml:space="preserve"> Accordingly, t</w:t>
      </w:r>
      <w:r w:rsidR="004B7200" w:rsidRPr="00411F87">
        <w:rPr>
          <w:rFonts w:cs="Arial"/>
          <w:sz w:val="21"/>
          <w:szCs w:val="21"/>
          <w:lang w:val="en-AU"/>
        </w:rPr>
        <w:t xml:space="preserve">he </w:t>
      </w:r>
      <w:r w:rsidRPr="00411F87">
        <w:rPr>
          <w:rFonts w:cs="Arial"/>
          <w:sz w:val="21"/>
          <w:szCs w:val="21"/>
          <w:lang w:val="en-AU"/>
        </w:rPr>
        <w:t xml:space="preserve">agency will utilise </w:t>
      </w:r>
      <w:r w:rsidR="004B7200" w:rsidRPr="00411F87">
        <w:rPr>
          <w:rFonts w:cs="Arial"/>
          <w:sz w:val="21"/>
          <w:szCs w:val="21"/>
          <w:lang w:val="en-AU"/>
        </w:rPr>
        <w:t xml:space="preserve">the </w:t>
      </w:r>
      <w:r w:rsidRPr="00411F87">
        <w:rPr>
          <w:rFonts w:cs="Arial"/>
          <w:sz w:val="21"/>
          <w:szCs w:val="21"/>
          <w:lang w:val="en-AU"/>
        </w:rPr>
        <w:t>‘</w:t>
      </w:r>
      <w:r w:rsidR="004B7200" w:rsidRPr="00411F87">
        <w:rPr>
          <w:rFonts w:cs="Arial"/>
          <w:sz w:val="21"/>
          <w:szCs w:val="21"/>
          <w:lang w:val="en-AU"/>
        </w:rPr>
        <w:t>straight line</w:t>
      </w:r>
      <w:r w:rsidRPr="00411F87">
        <w:rPr>
          <w:rFonts w:cs="Arial"/>
          <w:sz w:val="21"/>
          <w:szCs w:val="21"/>
          <w:lang w:val="en-AU"/>
        </w:rPr>
        <w:t>’</w:t>
      </w:r>
      <w:r w:rsidR="004B7200" w:rsidRPr="00411F87">
        <w:rPr>
          <w:rFonts w:cs="Arial"/>
          <w:sz w:val="21"/>
          <w:szCs w:val="21"/>
          <w:lang w:val="en-AU"/>
        </w:rPr>
        <w:t xml:space="preserve"> depreciation method </w:t>
      </w:r>
      <w:r w:rsidRPr="00411F87">
        <w:rPr>
          <w:rFonts w:cs="Arial"/>
          <w:sz w:val="21"/>
          <w:szCs w:val="21"/>
          <w:lang w:val="en-AU"/>
        </w:rPr>
        <w:t xml:space="preserve">as it </w:t>
      </w:r>
      <w:r w:rsidR="004B7200" w:rsidRPr="00411F87">
        <w:rPr>
          <w:rFonts w:cs="Arial"/>
          <w:sz w:val="21"/>
          <w:szCs w:val="21"/>
          <w:lang w:val="en-AU"/>
        </w:rPr>
        <w:t xml:space="preserve">best reflects consumption of </w:t>
      </w:r>
      <w:r w:rsidRPr="00411F87">
        <w:rPr>
          <w:rFonts w:cs="Arial"/>
          <w:sz w:val="21"/>
          <w:szCs w:val="21"/>
          <w:lang w:val="en-AU"/>
        </w:rPr>
        <w:t xml:space="preserve">the </w:t>
      </w:r>
      <w:r w:rsidR="004B7200" w:rsidRPr="00411F87">
        <w:rPr>
          <w:rFonts w:cs="Arial"/>
          <w:sz w:val="21"/>
          <w:szCs w:val="21"/>
          <w:lang w:val="en-AU"/>
        </w:rPr>
        <w:t xml:space="preserve">future economic benefits </w:t>
      </w:r>
      <w:r w:rsidRPr="00411F87">
        <w:rPr>
          <w:rFonts w:cs="Arial"/>
          <w:sz w:val="21"/>
          <w:szCs w:val="21"/>
          <w:lang w:val="en-AU"/>
        </w:rPr>
        <w:t xml:space="preserve">assets offer, </w:t>
      </w:r>
      <w:r w:rsidR="004B7200" w:rsidRPr="00411F87">
        <w:rPr>
          <w:rFonts w:cs="Arial"/>
          <w:sz w:val="21"/>
          <w:szCs w:val="21"/>
          <w:lang w:val="en-AU"/>
        </w:rPr>
        <w:t xml:space="preserve">across all asset classes. Under this method, the depreciation expense is constant each </w:t>
      </w:r>
      <w:r w:rsidRPr="00411F87">
        <w:rPr>
          <w:rFonts w:cs="Arial"/>
          <w:sz w:val="21"/>
          <w:szCs w:val="21"/>
          <w:lang w:val="en-AU"/>
        </w:rPr>
        <w:t xml:space="preserve">financial year </w:t>
      </w:r>
      <w:r w:rsidR="004B7200" w:rsidRPr="00411F87">
        <w:rPr>
          <w:rFonts w:cs="Arial"/>
          <w:sz w:val="21"/>
          <w:szCs w:val="21"/>
          <w:lang w:val="en-AU"/>
        </w:rPr>
        <w:t>and therefore represents the systematic consumption of the economic benefit derived from using the asset</w:t>
      </w:r>
      <w:r w:rsidRPr="00411F87">
        <w:rPr>
          <w:rFonts w:cs="Arial"/>
          <w:sz w:val="21"/>
          <w:szCs w:val="21"/>
          <w:lang w:val="en-AU"/>
        </w:rPr>
        <w:t>,</w:t>
      </w:r>
      <w:r w:rsidR="004B7200" w:rsidRPr="00411F87">
        <w:rPr>
          <w:rFonts w:cs="Arial"/>
          <w:sz w:val="21"/>
          <w:szCs w:val="21"/>
          <w:lang w:val="en-AU"/>
        </w:rPr>
        <w:t xml:space="preserve"> over its default useful life.</w:t>
      </w:r>
    </w:p>
    <w:p w14:paraId="6B74F4A6" w14:textId="6708374C" w:rsidR="004B7200" w:rsidRPr="00411F87" w:rsidRDefault="004B7200" w:rsidP="00465EC4">
      <w:pPr>
        <w:pStyle w:val="ListParagraph"/>
        <w:numPr>
          <w:ilvl w:val="0"/>
          <w:numId w:val="6"/>
        </w:numPr>
        <w:contextualSpacing w:val="0"/>
        <w:rPr>
          <w:rFonts w:cs="Arial"/>
          <w:sz w:val="21"/>
          <w:szCs w:val="21"/>
          <w:lang w:val="en-AU"/>
        </w:rPr>
      </w:pPr>
      <w:r w:rsidRPr="00411F87">
        <w:rPr>
          <w:rFonts w:cs="Arial"/>
          <w:sz w:val="21"/>
          <w:szCs w:val="21"/>
          <w:lang w:val="en-AU"/>
        </w:rPr>
        <w:t xml:space="preserve">Depreciation of an asset begins at the point of capitalisation (i.e. the asset’s recognition date). The rate of depreciation expense is determined by reference to the expected useful life of the asset class. </w:t>
      </w:r>
      <w:r w:rsidR="002C2638" w:rsidRPr="00411F87">
        <w:rPr>
          <w:rFonts w:cs="Arial"/>
          <w:sz w:val="21"/>
          <w:szCs w:val="21"/>
          <w:lang w:val="en-AU"/>
        </w:rPr>
        <w:fldChar w:fldCharType="begin"/>
      </w:r>
      <w:r w:rsidR="002C2638" w:rsidRPr="00411F87">
        <w:rPr>
          <w:rFonts w:cs="Arial"/>
          <w:sz w:val="21"/>
          <w:szCs w:val="21"/>
          <w:lang w:val="en-AU"/>
        </w:rPr>
        <w:instrText xml:space="preserve"> REF _Ref408924261 \h </w:instrText>
      </w:r>
      <w:r w:rsidR="00F55FD7" w:rsidRPr="00411F87">
        <w:rPr>
          <w:rFonts w:cs="Arial"/>
          <w:sz w:val="21"/>
          <w:szCs w:val="21"/>
          <w:lang w:val="en-AU"/>
        </w:rPr>
        <w:instrText xml:space="preserve"> \* MERGEFORMAT </w:instrText>
      </w:r>
      <w:r w:rsidR="002C2638" w:rsidRPr="00411F87">
        <w:rPr>
          <w:rFonts w:cs="Arial"/>
          <w:sz w:val="21"/>
          <w:szCs w:val="21"/>
          <w:lang w:val="en-AU"/>
        </w:rPr>
      </w:r>
      <w:r w:rsidR="002C2638" w:rsidRPr="00411F87">
        <w:rPr>
          <w:rFonts w:cs="Arial"/>
          <w:sz w:val="21"/>
          <w:szCs w:val="21"/>
          <w:lang w:val="en-AU"/>
        </w:rPr>
        <w:fldChar w:fldCharType="separate"/>
      </w:r>
      <w:r w:rsidR="00A1335C" w:rsidRPr="00A1335C">
        <w:rPr>
          <w:rFonts w:cs="Arial"/>
          <w:sz w:val="21"/>
          <w:szCs w:val="21"/>
        </w:rPr>
        <w:t xml:space="preserve">Table </w:t>
      </w:r>
      <w:r w:rsidR="00A1335C" w:rsidRPr="00A1335C">
        <w:rPr>
          <w:rFonts w:cs="Arial"/>
          <w:noProof/>
          <w:sz w:val="21"/>
          <w:szCs w:val="21"/>
        </w:rPr>
        <w:t>2</w:t>
      </w:r>
      <w:r w:rsidR="002C2638" w:rsidRPr="00411F87">
        <w:rPr>
          <w:rFonts w:cs="Arial"/>
          <w:sz w:val="21"/>
          <w:szCs w:val="21"/>
          <w:lang w:val="en-AU"/>
        </w:rPr>
        <w:fldChar w:fldCharType="end"/>
      </w:r>
      <w:r w:rsidR="002C2638" w:rsidRPr="00411F87">
        <w:rPr>
          <w:rFonts w:cs="Arial"/>
          <w:sz w:val="21"/>
          <w:szCs w:val="21"/>
          <w:lang w:val="en-AU"/>
        </w:rPr>
        <w:t xml:space="preserve"> </w:t>
      </w:r>
      <w:r w:rsidRPr="00411F87">
        <w:rPr>
          <w:rFonts w:cs="Arial"/>
          <w:sz w:val="21"/>
          <w:szCs w:val="21"/>
          <w:lang w:val="en-AU"/>
        </w:rPr>
        <w:t>provides the default useful life for each asset class.</w:t>
      </w:r>
    </w:p>
    <w:p w14:paraId="6B74F4A7" w14:textId="16EDF6C6" w:rsidR="002C2638" w:rsidRPr="0055665E" w:rsidRDefault="002C2638" w:rsidP="002C2638">
      <w:pPr>
        <w:pStyle w:val="Caption"/>
        <w:keepNext/>
        <w:spacing w:before="240" w:after="0"/>
        <w:rPr>
          <w:rFonts w:cs="Arial"/>
        </w:rPr>
      </w:pPr>
      <w:bookmarkStart w:id="7" w:name="_Ref408924261"/>
      <w:bookmarkStart w:id="8" w:name="_Ref408924257"/>
      <w:r w:rsidRPr="00F41D76">
        <w:rPr>
          <w:rFonts w:cs="Arial"/>
        </w:rPr>
        <w:t xml:space="preserve">Table </w:t>
      </w:r>
      <w:r w:rsidR="00EC5075" w:rsidRPr="0055665E">
        <w:rPr>
          <w:rFonts w:cs="Arial"/>
        </w:rPr>
        <w:fldChar w:fldCharType="begin"/>
      </w:r>
      <w:r w:rsidR="00EC5075" w:rsidRPr="00AC3A52">
        <w:rPr>
          <w:rFonts w:cs="Arial"/>
        </w:rPr>
        <w:instrText xml:space="preserve"> SEQ Table \* ARABIC </w:instrText>
      </w:r>
      <w:r w:rsidR="00EC5075" w:rsidRPr="0055665E">
        <w:rPr>
          <w:rFonts w:cs="Arial"/>
        </w:rPr>
        <w:fldChar w:fldCharType="separate"/>
      </w:r>
      <w:r w:rsidR="00A1335C">
        <w:rPr>
          <w:rFonts w:cs="Arial"/>
          <w:noProof/>
        </w:rPr>
        <w:t>2</w:t>
      </w:r>
      <w:r w:rsidR="00EC5075" w:rsidRPr="0055665E">
        <w:rPr>
          <w:rFonts w:cs="Arial"/>
        </w:rPr>
        <w:fldChar w:fldCharType="end"/>
      </w:r>
      <w:bookmarkEnd w:id="7"/>
      <w:r w:rsidRPr="0055665E">
        <w:rPr>
          <w:rFonts w:cs="Arial"/>
          <w:b w:val="0"/>
        </w:rPr>
        <w:t>: Default useful life for the classes of assets within the agency</w:t>
      </w:r>
      <w:bookmarkEnd w:id="8"/>
    </w:p>
    <w:tbl>
      <w:tblPr>
        <w:tblStyle w:val="TableGrid"/>
        <w:tblW w:w="0" w:type="auto"/>
        <w:tblInd w:w="108"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Caption w:val="Table 2"/>
        <w:tblDescription w:val="Table depicting the default useful life of various asset classes."/>
      </w:tblPr>
      <w:tblGrid>
        <w:gridCol w:w="2381"/>
        <w:gridCol w:w="6491"/>
      </w:tblGrid>
      <w:tr w:rsidR="004B7200" w:rsidRPr="00AC3A52" w14:paraId="6B74F4AA" w14:textId="77777777" w:rsidTr="002C2638">
        <w:trPr>
          <w:tblHeader/>
        </w:trPr>
        <w:tc>
          <w:tcPr>
            <w:tcW w:w="2410" w:type="dxa"/>
            <w:shd w:val="clear" w:color="auto" w:fill="BDD6EE" w:themeFill="accent1" w:themeFillTint="66"/>
            <w:vAlign w:val="center"/>
          </w:tcPr>
          <w:p w14:paraId="6B74F4A8" w14:textId="77777777" w:rsidR="004B7200" w:rsidRPr="00F41D76" w:rsidRDefault="004B7200" w:rsidP="002C2638">
            <w:pPr>
              <w:spacing w:after="0"/>
              <w:jc w:val="center"/>
              <w:rPr>
                <w:rFonts w:cs="Arial"/>
                <w:b/>
                <w:lang w:val="en-AU"/>
              </w:rPr>
            </w:pPr>
            <w:r w:rsidRPr="00F41D76">
              <w:rPr>
                <w:rFonts w:cs="Arial"/>
                <w:b/>
                <w:lang w:val="en-AU"/>
              </w:rPr>
              <w:t xml:space="preserve">Asset </w:t>
            </w:r>
            <w:r w:rsidR="002C2638" w:rsidRPr="00F41D76">
              <w:rPr>
                <w:rFonts w:cs="Arial"/>
                <w:b/>
                <w:lang w:val="en-AU"/>
              </w:rPr>
              <w:t>c</w:t>
            </w:r>
            <w:r w:rsidRPr="00F41D76">
              <w:rPr>
                <w:rFonts w:cs="Arial"/>
                <w:b/>
                <w:lang w:val="en-AU"/>
              </w:rPr>
              <w:t>lass</w:t>
            </w:r>
          </w:p>
        </w:tc>
        <w:tc>
          <w:tcPr>
            <w:tcW w:w="6662" w:type="dxa"/>
            <w:shd w:val="clear" w:color="auto" w:fill="BDD6EE" w:themeFill="accent1" w:themeFillTint="66"/>
            <w:vAlign w:val="center"/>
          </w:tcPr>
          <w:p w14:paraId="6B74F4A9" w14:textId="77777777" w:rsidR="004B7200" w:rsidRPr="00EC5577" w:rsidRDefault="004B7200" w:rsidP="002C2638">
            <w:pPr>
              <w:spacing w:after="0"/>
              <w:jc w:val="center"/>
              <w:rPr>
                <w:rFonts w:cs="Arial"/>
                <w:lang w:val="en-AU"/>
              </w:rPr>
            </w:pPr>
            <w:r w:rsidRPr="00F41D76">
              <w:rPr>
                <w:rFonts w:cs="Arial"/>
                <w:b/>
                <w:lang w:val="en-AU"/>
              </w:rPr>
              <w:t xml:space="preserve">Useful </w:t>
            </w:r>
            <w:r w:rsidR="002C2638" w:rsidRPr="00F41D76">
              <w:rPr>
                <w:rFonts w:cs="Arial"/>
                <w:b/>
                <w:lang w:val="en-AU"/>
              </w:rPr>
              <w:t>l</w:t>
            </w:r>
            <w:r w:rsidRPr="00EC5577">
              <w:rPr>
                <w:rFonts w:cs="Arial"/>
                <w:b/>
                <w:lang w:val="en-AU"/>
              </w:rPr>
              <w:t>ife</w:t>
            </w:r>
          </w:p>
        </w:tc>
      </w:tr>
      <w:tr w:rsidR="004B7200" w:rsidRPr="00AC3A52" w14:paraId="6B74F4AD" w14:textId="77777777" w:rsidTr="002C2638">
        <w:tc>
          <w:tcPr>
            <w:tcW w:w="2410" w:type="dxa"/>
          </w:tcPr>
          <w:p w14:paraId="6B74F4AB" w14:textId="77777777" w:rsidR="004B7200" w:rsidRPr="00AC3A52" w:rsidRDefault="004B7200" w:rsidP="00FE49CE">
            <w:pPr>
              <w:pStyle w:val="ListParagraph"/>
              <w:spacing w:after="80"/>
              <w:ind w:left="0"/>
              <w:contextualSpacing w:val="0"/>
              <w:rPr>
                <w:rFonts w:cs="Arial"/>
                <w:lang w:val="en-AU"/>
              </w:rPr>
            </w:pPr>
            <w:r w:rsidRPr="00AC3A52">
              <w:rPr>
                <w:rFonts w:cs="Arial"/>
                <w:lang w:val="en-AU"/>
              </w:rPr>
              <w:t>Land</w:t>
            </w:r>
          </w:p>
        </w:tc>
        <w:tc>
          <w:tcPr>
            <w:tcW w:w="6662" w:type="dxa"/>
          </w:tcPr>
          <w:p w14:paraId="6B74F4AC" w14:textId="77777777" w:rsidR="004B7200" w:rsidRPr="00AC3A52" w:rsidRDefault="00F669BE" w:rsidP="00FE49CE">
            <w:pPr>
              <w:spacing w:after="80"/>
              <w:rPr>
                <w:rFonts w:cs="Arial"/>
                <w:lang w:val="en-AU"/>
              </w:rPr>
            </w:pPr>
            <w:r w:rsidRPr="00AC3A52">
              <w:rPr>
                <w:rFonts w:cs="Arial"/>
                <w:lang w:val="en-AU"/>
              </w:rPr>
              <w:t>Indefinite</w:t>
            </w:r>
            <w:r w:rsidR="004B7200" w:rsidRPr="00AC3A52">
              <w:rPr>
                <w:rFonts w:cs="Arial"/>
                <w:lang w:val="en-AU"/>
              </w:rPr>
              <w:t xml:space="preserve"> (not depreciated)</w:t>
            </w:r>
          </w:p>
        </w:tc>
      </w:tr>
      <w:tr w:rsidR="004B7200" w:rsidRPr="00AC3A52" w14:paraId="6B74F4B0" w14:textId="77777777" w:rsidTr="002C2638">
        <w:tc>
          <w:tcPr>
            <w:tcW w:w="2410" w:type="dxa"/>
          </w:tcPr>
          <w:p w14:paraId="6B74F4AE" w14:textId="77777777" w:rsidR="004B7200" w:rsidRPr="00AC3A52" w:rsidRDefault="004B7200" w:rsidP="00FE49CE">
            <w:pPr>
              <w:pStyle w:val="ListParagraph"/>
              <w:spacing w:after="80"/>
              <w:ind w:left="0"/>
              <w:contextualSpacing w:val="0"/>
              <w:rPr>
                <w:rFonts w:cs="Arial"/>
                <w:lang w:val="en-AU"/>
              </w:rPr>
            </w:pPr>
            <w:r w:rsidRPr="00AC3A52">
              <w:rPr>
                <w:rFonts w:cs="Arial"/>
                <w:lang w:val="en-AU"/>
              </w:rPr>
              <w:t>Buildings</w:t>
            </w:r>
          </w:p>
        </w:tc>
        <w:tc>
          <w:tcPr>
            <w:tcW w:w="6662" w:type="dxa"/>
          </w:tcPr>
          <w:p w14:paraId="6B74F4AF" w14:textId="77777777" w:rsidR="004B7200" w:rsidRPr="00AC3A52" w:rsidRDefault="004B7200" w:rsidP="00FE49CE">
            <w:pPr>
              <w:spacing w:after="80"/>
              <w:rPr>
                <w:rFonts w:cs="Arial"/>
                <w:lang w:val="en-AU"/>
              </w:rPr>
            </w:pPr>
            <w:r w:rsidRPr="00AC3A52">
              <w:rPr>
                <w:rFonts w:cs="Arial"/>
                <w:lang w:val="en-AU"/>
              </w:rPr>
              <w:t>10 – 50 years or lease term (including any options, where there is a reasonable expectation at the commencement of the lease that the option will be exercised), whichever is shorter</w:t>
            </w:r>
          </w:p>
        </w:tc>
      </w:tr>
      <w:tr w:rsidR="001650A9" w:rsidRPr="00AC3A52" w14:paraId="6B74F4B3" w14:textId="77777777" w:rsidTr="002C2638">
        <w:tc>
          <w:tcPr>
            <w:tcW w:w="2410" w:type="dxa"/>
          </w:tcPr>
          <w:p w14:paraId="6B74F4B1" w14:textId="77777777" w:rsidR="001650A9" w:rsidRPr="00AC3A52" w:rsidRDefault="001650A9" w:rsidP="00FE49CE">
            <w:pPr>
              <w:pStyle w:val="ListParagraph"/>
              <w:spacing w:after="80"/>
              <w:ind w:left="0"/>
              <w:contextualSpacing w:val="0"/>
              <w:rPr>
                <w:rFonts w:cs="Arial"/>
                <w:lang w:val="en-AU"/>
              </w:rPr>
            </w:pPr>
            <w:r>
              <w:rPr>
                <w:rFonts w:cs="Arial"/>
                <w:lang w:val="en-AU"/>
              </w:rPr>
              <w:t>Heritage &amp; Cultural</w:t>
            </w:r>
          </w:p>
        </w:tc>
        <w:tc>
          <w:tcPr>
            <w:tcW w:w="6662" w:type="dxa"/>
          </w:tcPr>
          <w:p w14:paraId="6B74F4B2" w14:textId="77777777" w:rsidR="001650A9" w:rsidRPr="00AC3A52" w:rsidRDefault="001650A9" w:rsidP="00FE49CE">
            <w:pPr>
              <w:spacing w:after="80"/>
              <w:rPr>
                <w:rFonts w:cs="Arial"/>
                <w:lang w:val="en-AU"/>
              </w:rPr>
            </w:pPr>
            <w:r w:rsidRPr="00AC3A52">
              <w:rPr>
                <w:rFonts w:cs="Arial"/>
                <w:lang w:val="en-AU"/>
              </w:rPr>
              <w:t>Indefinite (not depreciated)</w:t>
            </w:r>
          </w:p>
        </w:tc>
      </w:tr>
      <w:tr w:rsidR="004B7200" w:rsidRPr="00AC3A52" w14:paraId="6B74F4B6" w14:textId="77777777" w:rsidTr="002C2638">
        <w:tc>
          <w:tcPr>
            <w:tcW w:w="2410" w:type="dxa"/>
          </w:tcPr>
          <w:p w14:paraId="6B74F4B4" w14:textId="77777777" w:rsidR="004B7200" w:rsidRPr="00AC3A52" w:rsidRDefault="002C2638" w:rsidP="00FE49CE">
            <w:pPr>
              <w:pStyle w:val="ListParagraph"/>
              <w:spacing w:after="80"/>
              <w:ind w:left="0"/>
              <w:contextualSpacing w:val="0"/>
              <w:rPr>
                <w:rFonts w:cs="Arial"/>
                <w:lang w:val="en-AU"/>
              </w:rPr>
            </w:pPr>
            <w:r w:rsidRPr="00AC3A52">
              <w:rPr>
                <w:rFonts w:cs="Arial"/>
                <w:lang w:val="en-AU"/>
              </w:rPr>
              <w:t>Leasehold i</w:t>
            </w:r>
            <w:r w:rsidR="004B7200" w:rsidRPr="00AC3A52">
              <w:rPr>
                <w:rFonts w:cs="Arial"/>
                <w:lang w:val="en-AU"/>
              </w:rPr>
              <w:t>mprovements</w:t>
            </w:r>
          </w:p>
        </w:tc>
        <w:tc>
          <w:tcPr>
            <w:tcW w:w="6662" w:type="dxa"/>
          </w:tcPr>
          <w:p w14:paraId="6B74F4B5" w14:textId="77777777" w:rsidR="004B7200" w:rsidRPr="00AC3A52" w:rsidRDefault="004B7200" w:rsidP="00FE49CE">
            <w:pPr>
              <w:spacing w:after="80"/>
              <w:rPr>
                <w:rFonts w:cs="Arial"/>
                <w:lang w:val="en-AU"/>
              </w:rPr>
            </w:pPr>
            <w:r w:rsidRPr="00AC3A52">
              <w:rPr>
                <w:rFonts w:cs="Arial"/>
                <w:lang w:val="en-AU"/>
              </w:rPr>
              <w:t>5 – 20 years or lease term (including any options, where there is a reasonable expectation at the commencement of the lease that the option will be exercised), whichever is shorter</w:t>
            </w:r>
          </w:p>
        </w:tc>
      </w:tr>
      <w:tr w:rsidR="004B7200" w:rsidRPr="00AC3A52" w14:paraId="6B74F4B9" w14:textId="77777777" w:rsidTr="002C2638">
        <w:tc>
          <w:tcPr>
            <w:tcW w:w="2410" w:type="dxa"/>
          </w:tcPr>
          <w:p w14:paraId="6B74F4B7" w14:textId="77777777" w:rsidR="004B7200" w:rsidRPr="00AC3A52" w:rsidRDefault="002C2638" w:rsidP="00FE49CE">
            <w:pPr>
              <w:pStyle w:val="ListParagraph"/>
              <w:spacing w:after="80"/>
              <w:ind w:left="0"/>
              <w:contextualSpacing w:val="0"/>
              <w:rPr>
                <w:rFonts w:cs="Arial"/>
                <w:lang w:val="en-AU"/>
              </w:rPr>
            </w:pPr>
            <w:r w:rsidRPr="00AC3A52">
              <w:rPr>
                <w:rFonts w:cs="Arial"/>
                <w:lang w:val="en-AU"/>
              </w:rPr>
              <w:t>Audio &amp; v</w:t>
            </w:r>
            <w:r w:rsidR="004B7200" w:rsidRPr="00AC3A52">
              <w:rPr>
                <w:rFonts w:cs="Arial"/>
                <w:lang w:val="en-AU"/>
              </w:rPr>
              <w:t>isual</w:t>
            </w:r>
          </w:p>
        </w:tc>
        <w:tc>
          <w:tcPr>
            <w:tcW w:w="6662" w:type="dxa"/>
          </w:tcPr>
          <w:p w14:paraId="6B74F4B8"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BC" w14:textId="77777777" w:rsidTr="002C2638">
        <w:tc>
          <w:tcPr>
            <w:tcW w:w="2410" w:type="dxa"/>
          </w:tcPr>
          <w:p w14:paraId="6B74F4BA" w14:textId="77777777" w:rsidR="004B7200" w:rsidRPr="00AC3A52" w:rsidRDefault="004B7200" w:rsidP="002C2638">
            <w:pPr>
              <w:pStyle w:val="ListParagraph"/>
              <w:spacing w:after="80"/>
              <w:ind w:left="0"/>
              <w:contextualSpacing w:val="0"/>
              <w:rPr>
                <w:rFonts w:cs="Arial"/>
                <w:lang w:val="en-AU"/>
              </w:rPr>
            </w:pPr>
            <w:r w:rsidRPr="00AC3A52">
              <w:rPr>
                <w:rFonts w:cs="Arial"/>
                <w:lang w:val="en-AU"/>
              </w:rPr>
              <w:t xml:space="preserve">Computer </w:t>
            </w:r>
            <w:r w:rsidR="002C2638" w:rsidRPr="00AC3A52">
              <w:rPr>
                <w:rFonts w:cs="Arial"/>
                <w:lang w:val="en-AU"/>
              </w:rPr>
              <w:t>h</w:t>
            </w:r>
            <w:r w:rsidRPr="00AC3A52">
              <w:rPr>
                <w:rFonts w:cs="Arial"/>
                <w:lang w:val="en-AU"/>
              </w:rPr>
              <w:t>ardware</w:t>
            </w:r>
          </w:p>
        </w:tc>
        <w:tc>
          <w:tcPr>
            <w:tcW w:w="6662" w:type="dxa"/>
          </w:tcPr>
          <w:p w14:paraId="6B74F4BB"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BF" w14:textId="77777777" w:rsidTr="002C2638">
        <w:tc>
          <w:tcPr>
            <w:tcW w:w="2410" w:type="dxa"/>
          </w:tcPr>
          <w:p w14:paraId="6B74F4BD" w14:textId="77777777" w:rsidR="004B7200" w:rsidRPr="00AC3A52" w:rsidRDefault="002C2638" w:rsidP="00FE49CE">
            <w:pPr>
              <w:pStyle w:val="ListParagraph"/>
              <w:spacing w:after="80"/>
              <w:ind w:left="0"/>
              <w:contextualSpacing w:val="0"/>
              <w:rPr>
                <w:rFonts w:cs="Arial"/>
                <w:lang w:val="en-AU"/>
              </w:rPr>
            </w:pPr>
            <w:r w:rsidRPr="00AC3A52">
              <w:rPr>
                <w:rFonts w:cs="Arial"/>
                <w:lang w:val="en-AU"/>
              </w:rPr>
              <w:t>Reef HQ e</w:t>
            </w:r>
            <w:r w:rsidR="004B7200" w:rsidRPr="00AC3A52">
              <w:rPr>
                <w:rFonts w:cs="Arial"/>
                <w:lang w:val="en-AU"/>
              </w:rPr>
              <w:t>xhibits</w:t>
            </w:r>
          </w:p>
        </w:tc>
        <w:tc>
          <w:tcPr>
            <w:tcW w:w="6662" w:type="dxa"/>
          </w:tcPr>
          <w:p w14:paraId="6B74F4BE"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C2" w14:textId="77777777" w:rsidTr="002C2638">
        <w:tc>
          <w:tcPr>
            <w:tcW w:w="2410" w:type="dxa"/>
          </w:tcPr>
          <w:p w14:paraId="6B74F4C0" w14:textId="77777777" w:rsidR="004B7200" w:rsidRPr="00AC3A52" w:rsidRDefault="002C2638" w:rsidP="00FE49CE">
            <w:pPr>
              <w:pStyle w:val="ListParagraph"/>
              <w:spacing w:after="80"/>
              <w:ind w:left="0"/>
              <w:contextualSpacing w:val="0"/>
              <w:rPr>
                <w:rFonts w:cs="Arial"/>
                <w:lang w:val="en-AU"/>
              </w:rPr>
            </w:pPr>
            <w:r w:rsidRPr="00AC3A52">
              <w:rPr>
                <w:rFonts w:cs="Arial"/>
                <w:lang w:val="en-AU"/>
              </w:rPr>
              <w:t>Furniture &amp; f</w:t>
            </w:r>
            <w:r w:rsidR="004B7200" w:rsidRPr="00AC3A52">
              <w:rPr>
                <w:rFonts w:cs="Arial"/>
                <w:lang w:val="en-AU"/>
              </w:rPr>
              <w:t>ittings</w:t>
            </w:r>
          </w:p>
        </w:tc>
        <w:tc>
          <w:tcPr>
            <w:tcW w:w="6662" w:type="dxa"/>
          </w:tcPr>
          <w:p w14:paraId="6B74F4C1"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C5" w14:textId="77777777" w:rsidTr="002C2638">
        <w:tc>
          <w:tcPr>
            <w:tcW w:w="2410" w:type="dxa"/>
          </w:tcPr>
          <w:p w14:paraId="6B74F4C3" w14:textId="77777777" w:rsidR="004B7200" w:rsidRPr="00AC3A52" w:rsidRDefault="002C2638" w:rsidP="002C2638">
            <w:pPr>
              <w:pStyle w:val="ListParagraph"/>
              <w:spacing w:after="80"/>
              <w:ind w:left="0"/>
              <w:contextualSpacing w:val="0"/>
              <w:rPr>
                <w:rFonts w:cs="Arial"/>
                <w:lang w:val="en-AU"/>
              </w:rPr>
            </w:pPr>
            <w:r w:rsidRPr="00AC3A52">
              <w:rPr>
                <w:rFonts w:cs="Arial"/>
                <w:lang w:val="en-AU"/>
              </w:rPr>
              <w:t>Marine &amp; d</w:t>
            </w:r>
            <w:r w:rsidR="004B7200" w:rsidRPr="00AC3A52">
              <w:rPr>
                <w:rFonts w:cs="Arial"/>
                <w:lang w:val="en-AU"/>
              </w:rPr>
              <w:t xml:space="preserve">iving </w:t>
            </w:r>
            <w:r w:rsidRPr="00AC3A52">
              <w:rPr>
                <w:rFonts w:cs="Arial"/>
                <w:lang w:val="en-AU"/>
              </w:rPr>
              <w:t>e</w:t>
            </w:r>
            <w:r w:rsidR="004B7200" w:rsidRPr="00AC3A52">
              <w:rPr>
                <w:rFonts w:cs="Arial"/>
                <w:lang w:val="en-AU"/>
              </w:rPr>
              <w:t>quipment</w:t>
            </w:r>
          </w:p>
        </w:tc>
        <w:tc>
          <w:tcPr>
            <w:tcW w:w="6662" w:type="dxa"/>
          </w:tcPr>
          <w:p w14:paraId="6B74F4C4"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C8" w14:textId="77777777" w:rsidTr="002C2638">
        <w:tc>
          <w:tcPr>
            <w:tcW w:w="2410" w:type="dxa"/>
          </w:tcPr>
          <w:p w14:paraId="6B74F4C6" w14:textId="77777777" w:rsidR="004B7200" w:rsidRPr="00AC3A52" w:rsidRDefault="002C2638" w:rsidP="00FE49CE">
            <w:pPr>
              <w:pStyle w:val="ListParagraph"/>
              <w:spacing w:after="80"/>
              <w:ind w:left="0"/>
              <w:contextualSpacing w:val="0"/>
              <w:rPr>
                <w:rFonts w:cs="Arial"/>
                <w:lang w:val="en-AU"/>
              </w:rPr>
            </w:pPr>
            <w:r w:rsidRPr="00AC3A52">
              <w:rPr>
                <w:rFonts w:cs="Arial"/>
                <w:lang w:val="en-AU"/>
              </w:rPr>
              <w:t>Office m</w:t>
            </w:r>
            <w:r w:rsidR="004B7200" w:rsidRPr="00AC3A52">
              <w:rPr>
                <w:rFonts w:cs="Arial"/>
                <w:lang w:val="en-AU"/>
              </w:rPr>
              <w:t>achines</w:t>
            </w:r>
          </w:p>
        </w:tc>
        <w:tc>
          <w:tcPr>
            <w:tcW w:w="6662" w:type="dxa"/>
          </w:tcPr>
          <w:p w14:paraId="6B74F4C7"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CB" w14:textId="77777777" w:rsidTr="002C2638">
        <w:tc>
          <w:tcPr>
            <w:tcW w:w="2410" w:type="dxa"/>
          </w:tcPr>
          <w:p w14:paraId="6B74F4C9" w14:textId="77777777" w:rsidR="004B7200" w:rsidRPr="00AC3A52" w:rsidRDefault="004B7200" w:rsidP="00FE49CE">
            <w:pPr>
              <w:pStyle w:val="ListParagraph"/>
              <w:spacing w:after="80"/>
              <w:ind w:left="0"/>
              <w:contextualSpacing w:val="0"/>
              <w:rPr>
                <w:rFonts w:cs="Arial"/>
                <w:lang w:val="en-AU"/>
              </w:rPr>
            </w:pPr>
            <w:r w:rsidRPr="00AC3A52">
              <w:rPr>
                <w:rFonts w:cs="Arial"/>
                <w:lang w:val="en-AU"/>
              </w:rPr>
              <w:t>Scientific</w:t>
            </w:r>
          </w:p>
        </w:tc>
        <w:tc>
          <w:tcPr>
            <w:tcW w:w="6662" w:type="dxa"/>
          </w:tcPr>
          <w:p w14:paraId="6B74F4CA"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CE" w14:textId="77777777" w:rsidTr="002C2638">
        <w:tc>
          <w:tcPr>
            <w:tcW w:w="2410" w:type="dxa"/>
          </w:tcPr>
          <w:p w14:paraId="6B74F4CC" w14:textId="77777777" w:rsidR="004B7200" w:rsidRPr="00AC3A52" w:rsidRDefault="004B7200" w:rsidP="00FE49CE">
            <w:pPr>
              <w:spacing w:after="80"/>
              <w:rPr>
                <w:rFonts w:cs="Arial"/>
                <w:lang w:val="en-AU"/>
              </w:rPr>
            </w:pPr>
            <w:r w:rsidRPr="00AC3A52">
              <w:rPr>
                <w:rFonts w:cs="Arial"/>
                <w:lang w:val="en-AU"/>
              </w:rPr>
              <w:t>Vehicles</w:t>
            </w:r>
          </w:p>
        </w:tc>
        <w:tc>
          <w:tcPr>
            <w:tcW w:w="6662" w:type="dxa"/>
          </w:tcPr>
          <w:p w14:paraId="6B74F4CD" w14:textId="77777777" w:rsidR="004B7200" w:rsidRPr="00AC3A52" w:rsidRDefault="004B7200" w:rsidP="00FE49CE">
            <w:pPr>
              <w:spacing w:after="80"/>
              <w:rPr>
                <w:rFonts w:cs="Arial"/>
                <w:lang w:val="en-AU"/>
              </w:rPr>
            </w:pPr>
            <w:r w:rsidRPr="00AC3A52">
              <w:rPr>
                <w:rFonts w:cs="Arial"/>
                <w:lang w:val="en-AU"/>
              </w:rPr>
              <w:t>3 to 10 years</w:t>
            </w:r>
          </w:p>
        </w:tc>
      </w:tr>
      <w:tr w:rsidR="004B7200" w:rsidRPr="00AC3A52" w14:paraId="6B74F4D1" w14:textId="77777777" w:rsidTr="002C2638">
        <w:tc>
          <w:tcPr>
            <w:tcW w:w="2410" w:type="dxa"/>
          </w:tcPr>
          <w:p w14:paraId="6B74F4CF" w14:textId="77777777" w:rsidR="004B7200" w:rsidRPr="00AC3A52" w:rsidRDefault="004B7200" w:rsidP="00FE49CE">
            <w:pPr>
              <w:spacing w:after="80"/>
              <w:rPr>
                <w:rFonts w:cs="Arial"/>
                <w:lang w:val="en-AU"/>
              </w:rPr>
            </w:pPr>
            <w:r w:rsidRPr="00AC3A52">
              <w:rPr>
                <w:rFonts w:cs="Arial"/>
                <w:lang w:val="en-AU"/>
              </w:rPr>
              <w:t>Software</w:t>
            </w:r>
          </w:p>
        </w:tc>
        <w:tc>
          <w:tcPr>
            <w:tcW w:w="6662" w:type="dxa"/>
          </w:tcPr>
          <w:p w14:paraId="6B74F4D0" w14:textId="77777777" w:rsidR="004B7200" w:rsidRPr="00AC3A52" w:rsidRDefault="004B7200" w:rsidP="00FE49CE">
            <w:pPr>
              <w:spacing w:after="80"/>
              <w:rPr>
                <w:rFonts w:cs="Arial"/>
                <w:lang w:val="en-AU"/>
              </w:rPr>
            </w:pPr>
            <w:r w:rsidRPr="00AC3A52">
              <w:rPr>
                <w:rFonts w:cs="Arial"/>
                <w:lang w:val="en-AU"/>
              </w:rPr>
              <w:t>3 to 10 years</w:t>
            </w:r>
          </w:p>
        </w:tc>
      </w:tr>
    </w:tbl>
    <w:p w14:paraId="6B74F4D2" w14:textId="41CA61A1" w:rsidR="004B7200" w:rsidRPr="00411F87" w:rsidRDefault="004B7200" w:rsidP="002C2638">
      <w:pPr>
        <w:pStyle w:val="NormalWeb"/>
        <w:numPr>
          <w:ilvl w:val="0"/>
          <w:numId w:val="6"/>
        </w:numPr>
        <w:shd w:val="clear" w:color="auto" w:fill="FFFFFF"/>
        <w:spacing w:before="120" w:beforeAutospacing="0" w:after="120" w:afterAutospacing="0"/>
        <w:rPr>
          <w:rFonts w:ascii="Arial" w:hAnsi="Arial" w:cs="Arial"/>
          <w:sz w:val="21"/>
          <w:szCs w:val="21"/>
        </w:rPr>
      </w:pPr>
      <w:r w:rsidRPr="00411F87">
        <w:rPr>
          <w:rFonts w:ascii="Arial" w:hAnsi="Arial" w:cs="Arial"/>
          <w:sz w:val="21"/>
          <w:szCs w:val="21"/>
        </w:rPr>
        <w:t>Technical obsolescence, accelerated wear and tear (operating conditions), etc. are all factors that can lead to the need for adopting a shorter useful life than those given in the table above. To ensure that the useful life of an asset is accurately reflected, the following factors should be considered prior to seeking C</w:t>
      </w:r>
      <w:r w:rsidR="00746F33" w:rsidRPr="00411F87">
        <w:rPr>
          <w:rFonts w:ascii="Arial" w:hAnsi="Arial" w:cs="Arial"/>
          <w:sz w:val="21"/>
          <w:szCs w:val="21"/>
        </w:rPr>
        <w:t xml:space="preserve">hief </w:t>
      </w:r>
      <w:r w:rsidRPr="00411F87">
        <w:rPr>
          <w:rFonts w:ascii="Arial" w:hAnsi="Arial" w:cs="Arial"/>
          <w:sz w:val="21"/>
          <w:szCs w:val="21"/>
        </w:rPr>
        <w:t>F</w:t>
      </w:r>
      <w:r w:rsidR="00746F33" w:rsidRPr="00411F87">
        <w:rPr>
          <w:rFonts w:ascii="Arial" w:hAnsi="Arial" w:cs="Arial"/>
          <w:sz w:val="21"/>
          <w:szCs w:val="21"/>
        </w:rPr>
        <w:t xml:space="preserve">inance </w:t>
      </w:r>
      <w:r w:rsidRPr="00411F87">
        <w:rPr>
          <w:rFonts w:ascii="Arial" w:hAnsi="Arial" w:cs="Arial"/>
          <w:sz w:val="21"/>
          <w:szCs w:val="21"/>
        </w:rPr>
        <w:t>O</w:t>
      </w:r>
      <w:r w:rsidR="00746F33" w:rsidRPr="00411F87">
        <w:rPr>
          <w:rFonts w:ascii="Arial" w:hAnsi="Arial" w:cs="Arial"/>
          <w:sz w:val="21"/>
          <w:szCs w:val="21"/>
        </w:rPr>
        <w:t>fficer</w:t>
      </w:r>
      <w:r w:rsidRPr="00411F87">
        <w:rPr>
          <w:rFonts w:ascii="Arial" w:hAnsi="Arial" w:cs="Arial"/>
          <w:sz w:val="21"/>
          <w:szCs w:val="21"/>
        </w:rPr>
        <w:t xml:space="preserve"> </w:t>
      </w:r>
      <w:r w:rsidR="0008188A" w:rsidRPr="00411F87">
        <w:rPr>
          <w:rFonts w:ascii="Arial" w:hAnsi="Arial" w:cs="Arial"/>
          <w:sz w:val="21"/>
          <w:szCs w:val="21"/>
        </w:rPr>
        <w:t xml:space="preserve"> and/or Chief Information Officer </w:t>
      </w:r>
      <w:r w:rsidR="0005076B" w:rsidRPr="00411F87">
        <w:rPr>
          <w:rFonts w:ascii="Arial" w:hAnsi="Arial" w:cs="Arial"/>
          <w:sz w:val="21"/>
          <w:szCs w:val="21"/>
        </w:rPr>
        <w:t xml:space="preserve">for IT assets </w:t>
      </w:r>
      <w:r w:rsidRPr="00411F87">
        <w:rPr>
          <w:rFonts w:ascii="Arial" w:hAnsi="Arial" w:cs="Arial"/>
          <w:sz w:val="21"/>
          <w:szCs w:val="21"/>
        </w:rPr>
        <w:t>approval to amend the default useful life period</w:t>
      </w:r>
      <w:r w:rsidR="0005076B" w:rsidRPr="00411F87">
        <w:rPr>
          <w:rFonts w:ascii="Arial" w:hAnsi="Arial" w:cs="Arial"/>
          <w:sz w:val="21"/>
          <w:szCs w:val="21"/>
        </w:rPr>
        <w:t>;</w:t>
      </w:r>
    </w:p>
    <w:p w14:paraId="6B74F4D3" w14:textId="77777777" w:rsidR="004B7200" w:rsidRPr="00411F87" w:rsidRDefault="004B7200" w:rsidP="004E73D9">
      <w:pPr>
        <w:numPr>
          <w:ilvl w:val="1"/>
          <w:numId w:val="6"/>
        </w:numPr>
        <w:shd w:val="clear" w:color="auto" w:fill="FFFFFF"/>
        <w:rPr>
          <w:rFonts w:cs="Arial"/>
          <w:sz w:val="21"/>
          <w:szCs w:val="21"/>
          <w:lang w:val="en-AU"/>
        </w:rPr>
      </w:pPr>
      <w:r w:rsidRPr="00411F87">
        <w:rPr>
          <w:rFonts w:cs="Arial"/>
          <w:sz w:val="21"/>
          <w:szCs w:val="21"/>
          <w:lang w:val="en-AU"/>
        </w:rPr>
        <w:t>The expected usage of the asset. Usage is assessed by reference to the asset’s expected capacity or physical output;</w:t>
      </w:r>
    </w:p>
    <w:p w14:paraId="6B74F4D4" w14:textId="77777777" w:rsidR="004B7200" w:rsidRPr="00411F87" w:rsidRDefault="004B7200" w:rsidP="004E73D9">
      <w:pPr>
        <w:numPr>
          <w:ilvl w:val="1"/>
          <w:numId w:val="6"/>
        </w:numPr>
        <w:shd w:val="clear" w:color="auto" w:fill="FFFFFF"/>
        <w:rPr>
          <w:rFonts w:cs="Arial"/>
          <w:sz w:val="21"/>
          <w:szCs w:val="21"/>
          <w:lang w:val="en-AU"/>
        </w:rPr>
      </w:pPr>
      <w:r w:rsidRPr="00411F87">
        <w:rPr>
          <w:rFonts w:cs="Arial"/>
          <w:sz w:val="21"/>
          <w:szCs w:val="21"/>
          <w:lang w:val="en-AU"/>
        </w:rPr>
        <w:lastRenderedPageBreak/>
        <w:t>The expected physical wear and tear, which depends on operational factors such as the repair and maintenance programme, and the care and maintenance of the asset while idle, environmental conditions, etc.;</w:t>
      </w:r>
    </w:p>
    <w:p w14:paraId="6B74F4D5" w14:textId="77777777" w:rsidR="004B7200" w:rsidRPr="00411F87" w:rsidRDefault="004B7200" w:rsidP="004E73D9">
      <w:pPr>
        <w:numPr>
          <w:ilvl w:val="1"/>
          <w:numId w:val="6"/>
        </w:numPr>
        <w:shd w:val="clear" w:color="auto" w:fill="FFFFFF"/>
        <w:rPr>
          <w:rFonts w:cs="Arial"/>
          <w:sz w:val="21"/>
          <w:szCs w:val="21"/>
          <w:lang w:val="en-AU"/>
        </w:rPr>
      </w:pPr>
      <w:r w:rsidRPr="00411F87">
        <w:rPr>
          <w:rFonts w:cs="Arial"/>
          <w:sz w:val="21"/>
          <w:szCs w:val="21"/>
          <w:lang w:val="en-AU"/>
        </w:rPr>
        <w:t>Technical or commercial obsolescence arising from future changes or improvements in production, or from a change in the market demand for the product or service output of the asset; and</w:t>
      </w:r>
    </w:p>
    <w:p w14:paraId="6B74F4D6" w14:textId="77777777" w:rsidR="004B7200" w:rsidRPr="00411F87" w:rsidRDefault="004B7200" w:rsidP="004E73D9">
      <w:pPr>
        <w:pStyle w:val="ListParagraph"/>
        <w:numPr>
          <w:ilvl w:val="1"/>
          <w:numId w:val="6"/>
        </w:numPr>
        <w:contextualSpacing w:val="0"/>
        <w:rPr>
          <w:rFonts w:cs="Arial"/>
          <w:sz w:val="21"/>
          <w:szCs w:val="21"/>
          <w:lang w:val="en-AU"/>
        </w:rPr>
      </w:pPr>
      <w:r w:rsidRPr="00411F87">
        <w:rPr>
          <w:rFonts w:cs="Arial"/>
          <w:sz w:val="21"/>
          <w:szCs w:val="21"/>
          <w:lang w:val="en-AU"/>
        </w:rPr>
        <w:t>Legal or similar limits on the use of the asset, such as the expiry dates of related leases.</w:t>
      </w:r>
    </w:p>
    <w:p w14:paraId="6B74F4D7" w14:textId="77777777" w:rsidR="004B7200" w:rsidRPr="00AC3A52" w:rsidRDefault="004B7200" w:rsidP="00ED4539">
      <w:pPr>
        <w:pStyle w:val="Heading2"/>
        <w:rPr>
          <w:rFonts w:cs="Arial"/>
        </w:rPr>
      </w:pPr>
      <w:bookmarkStart w:id="9" w:name="_Toc417380695"/>
      <w:r w:rsidRPr="00AC3A52">
        <w:rPr>
          <w:rFonts w:cs="Arial"/>
        </w:rPr>
        <w:t xml:space="preserve">Grouping </w:t>
      </w:r>
      <w:r w:rsidR="004E73D9" w:rsidRPr="00AC3A52">
        <w:rPr>
          <w:rFonts w:cs="Arial"/>
        </w:rPr>
        <w:t>a</w:t>
      </w:r>
      <w:r w:rsidRPr="00AC3A52">
        <w:rPr>
          <w:rFonts w:cs="Arial"/>
        </w:rPr>
        <w:t>ssets</w:t>
      </w:r>
      <w:bookmarkEnd w:id="9"/>
    </w:p>
    <w:p w14:paraId="6B74F4D8" w14:textId="77777777" w:rsidR="004B7200" w:rsidRPr="00411F87" w:rsidRDefault="004B7200" w:rsidP="004E73D9">
      <w:pPr>
        <w:pStyle w:val="NormalWeb"/>
        <w:numPr>
          <w:ilvl w:val="0"/>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 xml:space="preserve">Any group of assets purchased and maintained as a unit are to be valued on a group basis. A unit is defined as requiring its components to perform its functions. Similarly, where there is a large number of assets which individually fall </w:t>
      </w:r>
      <w:r w:rsidR="00746F33" w:rsidRPr="00411F87">
        <w:rPr>
          <w:rFonts w:ascii="Arial" w:hAnsi="Arial" w:cs="Arial"/>
          <w:sz w:val="21"/>
          <w:szCs w:val="21"/>
        </w:rPr>
        <w:t xml:space="preserve">below the agency’s </w:t>
      </w:r>
      <w:r w:rsidRPr="00411F87">
        <w:rPr>
          <w:rFonts w:ascii="Arial" w:hAnsi="Arial" w:cs="Arial"/>
          <w:sz w:val="21"/>
          <w:szCs w:val="21"/>
        </w:rPr>
        <w:t>reporting threshold, but which, when grouped together represent a significant value</w:t>
      </w:r>
      <w:r w:rsidR="00746F33" w:rsidRPr="00411F87">
        <w:rPr>
          <w:rFonts w:ascii="Arial" w:hAnsi="Arial" w:cs="Arial"/>
          <w:sz w:val="21"/>
          <w:szCs w:val="21"/>
        </w:rPr>
        <w:t>,</w:t>
      </w:r>
      <w:r w:rsidRPr="00411F87">
        <w:rPr>
          <w:rFonts w:ascii="Arial" w:hAnsi="Arial" w:cs="Arial"/>
          <w:sz w:val="21"/>
          <w:szCs w:val="21"/>
        </w:rPr>
        <w:t xml:space="preserve"> approval from </w:t>
      </w:r>
      <w:r w:rsidR="00746F33" w:rsidRPr="00411F87">
        <w:rPr>
          <w:rFonts w:ascii="Arial" w:hAnsi="Arial" w:cs="Arial"/>
          <w:sz w:val="21"/>
          <w:szCs w:val="21"/>
        </w:rPr>
        <w:t xml:space="preserve">the Chief Finance Officer </w:t>
      </w:r>
      <w:r w:rsidRPr="00411F87">
        <w:rPr>
          <w:rFonts w:ascii="Arial" w:hAnsi="Arial" w:cs="Arial"/>
          <w:sz w:val="21"/>
          <w:szCs w:val="21"/>
        </w:rPr>
        <w:t>should be sought to group the items for capitalisation purposes.</w:t>
      </w:r>
    </w:p>
    <w:p w14:paraId="6B74F4D9" w14:textId="281F9D69" w:rsidR="004B7200" w:rsidRPr="00411F87" w:rsidRDefault="004B7200" w:rsidP="004E73D9">
      <w:pPr>
        <w:pStyle w:val="NormalWeb"/>
        <w:numPr>
          <w:ilvl w:val="1"/>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 xml:space="preserve">An example of a group </w:t>
      </w:r>
      <w:r w:rsidR="001D4C3C" w:rsidRPr="00411F87">
        <w:rPr>
          <w:rFonts w:ascii="Arial" w:hAnsi="Arial" w:cs="Arial"/>
          <w:sz w:val="21"/>
          <w:szCs w:val="21"/>
        </w:rPr>
        <w:t>of a</w:t>
      </w:r>
      <w:r w:rsidRPr="00411F87">
        <w:rPr>
          <w:rFonts w:ascii="Arial" w:hAnsi="Arial" w:cs="Arial"/>
          <w:sz w:val="21"/>
          <w:szCs w:val="21"/>
        </w:rPr>
        <w:t>sset</w:t>
      </w:r>
      <w:r w:rsidR="001D4C3C" w:rsidRPr="00411F87">
        <w:rPr>
          <w:rFonts w:ascii="Arial" w:hAnsi="Arial" w:cs="Arial"/>
          <w:sz w:val="21"/>
          <w:szCs w:val="21"/>
        </w:rPr>
        <w:t>s</w:t>
      </w:r>
      <w:r w:rsidRPr="00411F87">
        <w:rPr>
          <w:rFonts w:ascii="Arial" w:hAnsi="Arial" w:cs="Arial"/>
          <w:sz w:val="21"/>
          <w:szCs w:val="21"/>
        </w:rPr>
        <w:t xml:space="preserve"> that should be considered </w:t>
      </w:r>
      <w:r w:rsidR="00C37D81" w:rsidRPr="00411F87">
        <w:rPr>
          <w:rFonts w:ascii="Arial" w:hAnsi="Arial" w:cs="Arial"/>
          <w:sz w:val="21"/>
          <w:szCs w:val="21"/>
        </w:rPr>
        <w:t>is</w:t>
      </w:r>
      <w:r w:rsidRPr="00411F87">
        <w:rPr>
          <w:rFonts w:ascii="Arial" w:hAnsi="Arial" w:cs="Arial"/>
          <w:sz w:val="21"/>
          <w:szCs w:val="21"/>
        </w:rPr>
        <w:t xml:space="preserve"> </w:t>
      </w:r>
      <w:r w:rsidR="0008188A" w:rsidRPr="00411F87">
        <w:rPr>
          <w:rFonts w:ascii="Arial" w:hAnsi="Arial" w:cs="Arial"/>
          <w:sz w:val="21"/>
          <w:szCs w:val="21"/>
        </w:rPr>
        <w:t>bulk purchases of Assets such as computers, laptops, iPads or tablets. As these cost less than $5,000, we purchase in bulk quantities and their useful life is greater than one year</w:t>
      </w:r>
      <w:r w:rsidR="00C37D81" w:rsidRPr="00411F87">
        <w:rPr>
          <w:rFonts w:ascii="Arial" w:hAnsi="Arial" w:cs="Arial"/>
          <w:sz w:val="21"/>
          <w:szCs w:val="21"/>
        </w:rPr>
        <w:t>.</w:t>
      </w:r>
    </w:p>
    <w:p w14:paraId="2C369B3B" w14:textId="0E378F77" w:rsidR="00C37D81" w:rsidRPr="00411F87" w:rsidRDefault="00C37D81" w:rsidP="004E73D9">
      <w:pPr>
        <w:pStyle w:val="NormalWeb"/>
        <w:numPr>
          <w:ilvl w:val="1"/>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An example of an asset that is group</w:t>
      </w:r>
      <w:r w:rsidR="00704C75" w:rsidRPr="00411F87">
        <w:rPr>
          <w:rFonts w:ascii="Arial" w:hAnsi="Arial" w:cs="Arial"/>
          <w:sz w:val="21"/>
          <w:szCs w:val="21"/>
        </w:rPr>
        <w:t>ed in the FMIS</w:t>
      </w:r>
      <w:r w:rsidRPr="00411F87">
        <w:rPr>
          <w:rFonts w:ascii="Arial" w:hAnsi="Arial" w:cs="Arial"/>
          <w:sz w:val="21"/>
          <w:szCs w:val="21"/>
        </w:rPr>
        <w:t xml:space="preserve"> as one asset is a computer made up of more than one item such as monitor, keyboard, mouse and box. These are usually purchased at the same time as each other or one item replaced with all other items remaining the same.</w:t>
      </w:r>
    </w:p>
    <w:p w14:paraId="6B74F4DA" w14:textId="77777777" w:rsidR="004B7200" w:rsidRPr="00AC3A52" w:rsidRDefault="004B7200" w:rsidP="00ED4539">
      <w:pPr>
        <w:pStyle w:val="Heading2"/>
        <w:rPr>
          <w:rFonts w:cs="Arial"/>
        </w:rPr>
      </w:pPr>
      <w:bookmarkStart w:id="10" w:name="_Toc417380696"/>
      <w:r w:rsidRPr="00AC3A52">
        <w:rPr>
          <w:rFonts w:cs="Arial"/>
        </w:rPr>
        <w:t xml:space="preserve">Asset </w:t>
      </w:r>
      <w:r w:rsidR="00746F33" w:rsidRPr="00AC3A52">
        <w:rPr>
          <w:rFonts w:cs="Arial"/>
        </w:rPr>
        <w:t>r</w:t>
      </w:r>
      <w:r w:rsidRPr="00AC3A52">
        <w:rPr>
          <w:rFonts w:cs="Arial"/>
        </w:rPr>
        <w:t>egister (FMIS)</w:t>
      </w:r>
      <w:bookmarkEnd w:id="10"/>
    </w:p>
    <w:p w14:paraId="6B74F4DB" w14:textId="77777777" w:rsidR="004E3D63" w:rsidRPr="00411F87" w:rsidRDefault="00B110DE" w:rsidP="004E73D9">
      <w:pPr>
        <w:pStyle w:val="NormalWeb"/>
        <w:numPr>
          <w:ilvl w:val="0"/>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In order to enable asset planning, meet accounting standards and legislative obligations, and retain relevant information over each asset’s life-cycle, the agency is to maintain an asset register within its FMIS.</w:t>
      </w:r>
    </w:p>
    <w:p w14:paraId="6B74F4DC" w14:textId="22A81710" w:rsidR="00B110DE" w:rsidRPr="00411F87" w:rsidRDefault="00B110DE" w:rsidP="004E73D9">
      <w:pPr>
        <w:pStyle w:val="ListParagraph"/>
        <w:numPr>
          <w:ilvl w:val="0"/>
          <w:numId w:val="6"/>
        </w:numPr>
        <w:contextualSpacing w:val="0"/>
        <w:rPr>
          <w:rFonts w:cs="Arial"/>
          <w:sz w:val="21"/>
          <w:szCs w:val="21"/>
        </w:rPr>
      </w:pPr>
      <w:r w:rsidRPr="00411F87">
        <w:rPr>
          <w:rFonts w:cs="Arial"/>
          <w:sz w:val="21"/>
          <w:szCs w:val="21"/>
        </w:rPr>
        <w:t xml:space="preserve">The information recorded should be commensurate with the amount and role of assets within the agency, and </w:t>
      </w:r>
      <w:r w:rsidRPr="00411F87">
        <w:rPr>
          <w:rFonts w:cs="Arial"/>
          <w:i/>
          <w:sz w:val="21"/>
          <w:szCs w:val="21"/>
        </w:rPr>
        <w:t>may</w:t>
      </w:r>
      <w:r w:rsidRPr="00411F87">
        <w:rPr>
          <w:rFonts w:cs="Arial"/>
          <w:sz w:val="21"/>
          <w:szCs w:val="21"/>
        </w:rPr>
        <w:t xml:space="preserve"> include the following</w:t>
      </w:r>
      <w:r w:rsidR="00033C80" w:rsidRPr="00411F87">
        <w:rPr>
          <w:rFonts w:cs="Arial"/>
          <w:sz w:val="21"/>
          <w:szCs w:val="21"/>
        </w:rPr>
        <w:fldChar w:fldCharType="begin"/>
      </w:r>
      <w:r w:rsidR="00033C80" w:rsidRPr="00411F87">
        <w:rPr>
          <w:rFonts w:cs="Arial"/>
          <w:sz w:val="21"/>
          <w:szCs w:val="21"/>
        </w:rPr>
        <w:instrText xml:space="preserve"> NOTEREF _Ref408987583 \f \h </w:instrText>
      </w:r>
      <w:r w:rsidR="00F55FD7" w:rsidRPr="00411F87">
        <w:rPr>
          <w:rFonts w:cs="Arial"/>
          <w:sz w:val="21"/>
          <w:szCs w:val="21"/>
        </w:rPr>
        <w:instrText xml:space="preserve"> \* MERGEFORMAT </w:instrText>
      </w:r>
      <w:r w:rsidR="00033C80" w:rsidRPr="00411F87">
        <w:rPr>
          <w:rFonts w:cs="Arial"/>
          <w:sz w:val="21"/>
          <w:szCs w:val="21"/>
        </w:rPr>
      </w:r>
      <w:r w:rsidR="00033C80" w:rsidRPr="00411F87">
        <w:rPr>
          <w:rFonts w:cs="Arial"/>
          <w:sz w:val="21"/>
          <w:szCs w:val="21"/>
        </w:rPr>
        <w:fldChar w:fldCharType="separate"/>
      </w:r>
      <w:r w:rsidR="00A1335C" w:rsidRPr="00A1335C">
        <w:rPr>
          <w:rStyle w:val="EndnoteReference"/>
          <w:rFonts w:cs="Arial"/>
          <w:sz w:val="21"/>
          <w:szCs w:val="21"/>
        </w:rPr>
        <w:t>14</w:t>
      </w:r>
      <w:r w:rsidR="00033C80" w:rsidRPr="00411F87">
        <w:rPr>
          <w:rFonts w:cs="Arial"/>
          <w:sz w:val="21"/>
          <w:szCs w:val="21"/>
        </w:rPr>
        <w:fldChar w:fldCharType="end"/>
      </w:r>
      <w:r w:rsidRPr="00411F87">
        <w:rPr>
          <w:rFonts w:cs="Arial"/>
          <w:sz w:val="21"/>
          <w:szCs w:val="21"/>
        </w:rPr>
        <w:t>:</w:t>
      </w:r>
    </w:p>
    <w:p w14:paraId="6B74F4DD" w14:textId="77777777" w:rsidR="003B0F43" w:rsidRPr="00411F87" w:rsidRDefault="003B0F43" w:rsidP="003B0F43">
      <w:pPr>
        <w:pStyle w:val="ListParagraph"/>
        <w:numPr>
          <w:ilvl w:val="1"/>
          <w:numId w:val="6"/>
        </w:numPr>
        <w:contextualSpacing w:val="0"/>
        <w:rPr>
          <w:rFonts w:cs="Arial"/>
          <w:sz w:val="21"/>
          <w:szCs w:val="21"/>
        </w:rPr>
      </w:pPr>
      <w:r w:rsidRPr="00411F87">
        <w:rPr>
          <w:rFonts w:cs="Arial"/>
          <w:sz w:val="21"/>
          <w:szCs w:val="21"/>
        </w:rPr>
        <w:t>Information about the asset (e.g., unique asset number, serial numbers, model, manufacturer, asset description, supplier, purchase order number, invoice number)</w:t>
      </w:r>
    </w:p>
    <w:p w14:paraId="6B74F4DE" w14:textId="77777777" w:rsidR="003B0F43" w:rsidRPr="00411F87" w:rsidRDefault="003B0F43" w:rsidP="003B0F43">
      <w:pPr>
        <w:pStyle w:val="ListParagraph"/>
        <w:numPr>
          <w:ilvl w:val="1"/>
          <w:numId w:val="6"/>
        </w:numPr>
        <w:contextualSpacing w:val="0"/>
        <w:rPr>
          <w:rFonts w:cs="Arial"/>
          <w:sz w:val="21"/>
          <w:szCs w:val="21"/>
        </w:rPr>
      </w:pPr>
      <w:r w:rsidRPr="00411F87">
        <w:rPr>
          <w:rFonts w:cs="Arial"/>
          <w:sz w:val="21"/>
          <w:szCs w:val="21"/>
        </w:rPr>
        <w:t>Information to support asset accounting and regulatory compliance (e.g., date purchased, dates available for use, asset class, acquisition cost, valuation amount and basis, date of last valuation, depreciation method, accumulated depreciation, net book value, estimated useful life)</w:t>
      </w:r>
    </w:p>
    <w:p w14:paraId="6B74F4DF" w14:textId="77777777" w:rsidR="003B0F43" w:rsidRPr="00411F87" w:rsidRDefault="003B0F43" w:rsidP="003B0F43">
      <w:pPr>
        <w:pStyle w:val="ListParagraph"/>
        <w:numPr>
          <w:ilvl w:val="1"/>
          <w:numId w:val="6"/>
        </w:numPr>
        <w:contextualSpacing w:val="0"/>
        <w:rPr>
          <w:rFonts w:cs="Arial"/>
          <w:sz w:val="21"/>
          <w:szCs w:val="21"/>
        </w:rPr>
      </w:pPr>
      <w:r w:rsidRPr="00411F87">
        <w:rPr>
          <w:rFonts w:cs="Arial"/>
          <w:sz w:val="21"/>
          <w:szCs w:val="21"/>
        </w:rPr>
        <w:t xml:space="preserve">Information to identify asset accountability (e.g., asset custodian, location, related program activity, cost center, last and next stock-take, license number and expiry date) </w:t>
      </w:r>
    </w:p>
    <w:p w14:paraId="6B74F4E0" w14:textId="5276C246" w:rsidR="00712E2B" w:rsidRPr="00411F87" w:rsidRDefault="003B0F43" w:rsidP="00712E2B">
      <w:pPr>
        <w:pStyle w:val="ListParagraph"/>
        <w:numPr>
          <w:ilvl w:val="1"/>
          <w:numId w:val="6"/>
        </w:numPr>
        <w:contextualSpacing w:val="0"/>
        <w:rPr>
          <w:rFonts w:cs="Arial"/>
          <w:sz w:val="21"/>
          <w:szCs w:val="21"/>
        </w:rPr>
      </w:pPr>
      <w:r w:rsidRPr="00411F87">
        <w:rPr>
          <w:rFonts w:cs="Arial"/>
          <w:sz w:val="21"/>
          <w:szCs w:val="21"/>
        </w:rPr>
        <w:t>Information about asset performance (e.g., functionality, operational importance, use, maintenance criteria, current condition, warranty and date, warranty conditions, life-cycle costs, capital work orders, maintenance work orders)</w:t>
      </w:r>
      <w:bookmarkStart w:id="11" w:name="_Toc417380697"/>
      <w:r w:rsidR="001D4C3C" w:rsidRPr="00411F87">
        <w:rPr>
          <w:rFonts w:cs="Arial"/>
          <w:sz w:val="21"/>
          <w:szCs w:val="21"/>
        </w:rPr>
        <w:t>.</w:t>
      </w:r>
      <w:r w:rsidR="00712E2B" w:rsidRPr="00411F87">
        <w:rPr>
          <w:rFonts w:cs="Arial"/>
          <w:sz w:val="21"/>
          <w:szCs w:val="21"/>
        </w:rPr>
        <w:t xml:space="preserve"> </w:t>
      </w:r>
    </w:p>
    <w:p w14:paraId="2A7D5C49" w14:textId="77777777" w:rsidR="00411F87" w:rsidRDefault="00411F87" w:rsidP="00411F87">
      <w:pPr>
        <w:rPr>
          <w:lang w:val="en-AU"/>
        </w:rPr>
      </w:pPr>
      <w:r>
        <w:br w:type="page"/>
      </w:r>
    </w:p>
    <w:p w14:paraId="6B74F4E1" w14:textId="30684074" w:rsidR="004B7200" w:rsidRPr="00EC5577" w:rsidRDefault="004B7200" w:rsidP="003A31B0">
      <w:pPr>
        <w:pStyle w:val="Heading2"/>
        <w:rPr>
          <w:rFonts w:cs="Arial"/>
        </w:rPr>
      </w:pPr>
      <w:r w:rsidRPr="00F41D76">
        <w:rPr>
          <w:rFonts w:cs="Arial"/>
        </w:rPr>
        <w:lastRenderedPageBreak/>
        <w:t>A</w:t>
      </w:r>
      <w:r w:rsidRPr="00F41D76">
        <w:rPr>
          <w:rStyle w:val="Heading2Char"/>
          <w:rFonts w:cs="Arial"/>
          <w:b/>
          <w:bCs/>
          <w:i/>
        </w:rPr>
        <w:t xml:space="preserve">sset </w:t>
      </w:r>
      <w:r w:rsidR="004C511C" w:rsidRPr="00F41D76">
        <w:rPr>
          <w:rStyle w:val="Heading2Char"/>
          <w:rFonts w:cs="Arial"/>
          <w:b/>
          <w:bCs/>
          <w:i/>
        </w:rPr>
        <w:t>l</w:t>
      </w:r>
      <w:r w:rsidRPr="00F41D76">
        <w:rPr>
          <w:rStyle w:val="Heading2Char"/>
          <w:rFonts w:cs="Arial"/>
          <w:b/>
          <w:bCs/>
          <w:i/>
        </w:rPr>
        <w:t>ife</w:t>
      </w:r>
      <w:r w:rsidR="004C511C" w:rsidRPr="00F41D76">
        <w:rPr>
          <w:rStyle w:val="Heading2Char"/>
          <w:rFonts w:cs="Arial"/>
          <w:b/>
          <w:bCs/>
          <w:i/>
        </w:rPr>
        <w:t xml:space="preserve"> </w:t>
      </w:r>
      <w:r w:rsidRPr="00F41D76">
        <w:rPr>
          <w:rStyle w:val="Heading2Char"/>
          <w:rFonts w:cs="Arial"/>
          <w:b/>
          <w:bCs/>
          <w:i/>
        </w:rPr>
        <w:t>cycle</w:t>
      </w:r>
      <w:bookmarkEnd w:id="11"/>
    </w:p>
    <w:p w14:paraId="6B74F4E2" w14:textId="35013D3F" w:rsidR="004B7200" w:rsidRPr="00411F87" w:rsidRDefault="004B7200" w:rsidP="004E73D9">
      <w:pPr>
        <w:pStyle w:val="NormalWeb"/>
        <w:numPr>
          <w:ilvl w:val="0"/>
          <w:numId w:val="6"/>
        </w:numPr>
        <w:shd w:val="clear" w:color="auto" w:fill="FFFFFF"/>
        <w:spacing w:before="0" w:beforeAutospacing="0" w:after="120" w:afterAutospacing="0"/>
        <w:rPr>
          <w:rFonts w:ascii="Arial" w:hAnsi="Arial" w:cs="Arial"/>
          <w:sz w:val="21"/>
          <w:szCs w:val="21"/>
        </w:rPr>
      </w:pPr>
      <w:r w:rsidRPr="00411F87">
        <w:rPr>
          <w:rFonts w:ascii="Arial" w:hAnsi="Arial" w:cs="Arial"/>
          <w:sz w:val="21"/>
          <w:szCs w:val="21"/>
        </w:rPr>
        <w:t xml:space="preserve">The </w:t>
      </w:r>
      <w:r w:rsidR="006E5811" w:rsidRPr="00411F87">
        <w:rPr>
          <w:rFonts w:ascii="Arial" w:hAnsi="Arial" w:cs="Arial"/>
          <w:sz w:val="21"/>
          <w:szCs w:val="21"/>
        </w:rPr>
        <w:t>phases of the asset lifecycle are diagrammatically represented within</w:t>
      </w:r>
      <w:r w:rsidR="00ED4539" w:rsidRPr="00411F87">
        <w:rPr>
          <w:rFonts w:ascii="Arial" w:hAnsi="Arial" w:cs="Arial"/>
          <w:sz w:val="21"/>
          <w:szCs w:val="21"/>
        </w:rPr>
        <w:t xml:space="preserve"> </w:t>
      </w:r>
      <w:r w:rsidR="00ED4539" w:rsidRPr="00411F87">
        <w:rPr>
          <w:rFonts w:ascii="Arial" w:hAnsi="Arial" w:cs="Arial"/>
          <w:sz w:val="21"/>
          <w:szCs w:val="21"/>
        </w:rPr>
        <w:fldChar w:fldCharType="begin"/>
      </w:r>
      <w:r w:rsidR="00ED4539" w:rsidRPr="00411F87">
        <w:rPr>
          <w:rFonts w:ascii="Arial" w:hAnsi="Arial" w:cs="Arial"/>
          <w:sz w:val="21"/>
          <w:szCs w:val="21"/>
        </w:rPr>
        <w:instrText xml:space="preserve"> REF _Ref408994290 \h  \* MERGEFORMAT </w:instrText>
      </w:r>
      <w:r w:rsidR="00ED4539" w:rsidRPr="00411F87">
        <w:rPr>
          <w:rFonts w:ascii="Arial" w:hAnsi="Arial" w:cs="Arial"/>
          <w:sz w:val="21"/>
          <w:szCs w:val="21"/>
        </w:rPr>
      </w:r>
      <w:r w:rsidR="00ED4539" w:rsidRPr="00411F87">
        <w:rPr>
          <w:rFonts w:ascii="Arial" w:hAnsi="Arial" w:cs="Arial"/>
          <w:sz w:val="21"/>
          <w:szCs w:val="21"/>
        </w:rPr>
        <w:fldChar w:fldCharType="separate"/>
      </w:r>
      <w:r w:rsidR="00A1335C" w:rsidRPr="00A1335C">
        <w:rPr>
          <w:rFonts w:ascii="Arial" w:hAnsi="Arial" w:cs="Arial"/>
          <w:sz w:val="21"/>
          <w:szCs w:val="21"/>
        </w:rPr>
        <w:t xml:space="preserve">Figure </w:t>
      </w:r>
      <w:r w:rsidR="00A1335C" w:rsidRPr="00A1335C">
        <w:rPr>
          <w:rFonts w:ascii="Arial" w:hAnsi="Arial" w:cs="Arial"/>
          <w:noProof/>
          <w:sz w:val="21"/>
          <w:szCs w:val="21"/>
        </w:rPr>
        <w:t>1</w:t>
      </w:r>
      <w:r w:rsidR="00ED4539" w:rsidRPr="00411F87">
        <w:rPr>
          <w:rFonts w:ascii="Arial" w:hAnsi="Arial" w:cs="Arial"/>
          <w:sz w:val="21"/>
          <w:szCs w:val="21"/>
        </w:rPr>
        <w:fldChar w:fldCharType="end"/>
      </w:r>
      <w:r w:rsidR="00ED4539" w:rsidRPr="00411F87">
        <w:rPr>
          <w:rFonts w:ascii="Arial" w:hAnsi="Arial" w:cs="Arial"/>
          <w:sz w:val="21"/>
          <w:szCs w:val="21"/>
        </w:rPr>
        <w:t>.</w:t>
      </w:r>
      <w:r w:rsidR="006E5811" w:rsidRPr="00411F87">
        <w:rPr>
          <w:rFonts w:ascii="Arial" w:hAnsi="Arial" w:cs="Arial"/>
          <w:sz w:val="21"/>
          <w:szCs w:val="21"/>
        </w:rPr>
        <w:t xml:space="preserve">  </w:t>
      </w:r>
    </w:p>
    <w:p w14:paraId="6B74F4E3" w14:textId="4D24C60D" w:rsidR="008F6F81" w:rsidRDefault="004B7200" w:rsidP="00ED4539">
      <w:pPr>
        <w:pStyle w:val="Heading3"/>
        <w:rPr>
          <w:rFonts w:eastAsia="Times New Roman" w:cs="Arial"/>
          <w:bCs w:val="0"/>
          <w:i w:val="0"/>
          <w:color w:val="auto"/>
          <w:sz w:val="24"/>
          <w:szCs w:val="24"/>
          <w:lang w:eastAsia="en-AU"/>
        </w:rPr>
      </w:pPr>
      <w:r w:rsidRPr="003B0F43">
        <w:rPr>
          <w:rFonts w:cs="Arial"/>
          <w:noProof/>
          <w:lang w:eastAsia="en-AU"/>
        </w:rPr>
        <w:drawing>
          <wp:inline distT="0" distB="0" distL="0" distR="0" wp14:anchorId="6B74F721" wp14:editId="6B74F722">
            <wp:extent cx="3384000" cy="2994840"/>
            <wp:effectExtent l="0" t="0" r="6985" b="0"/>
            <wp:docPr id="5" name="Picture 5" descr="The asset lifecyle showing the phases as asset planning, asset acquisition, asset operation and asset dispos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4000" cy="2994840"/>
                    </a:xfrm>
                    <a:prstGeom prst="rect">
                      <a:avLst/>
                    </a:prstGeom>
                    <a:noFill/>
                    <a:ln>
                      <a:noFill/>
                    </a:ln>
                  </pic:spPr>
                </pic:pic>
              </a:graphicData>
            </a:graphic>
          </wp:inline>
        </w:drawing>
      </w:r>
      <w:r w:rsidR="004C511C" w:rsidRPr="003B0F43">
        <w:rPr>
          <w:rFonts w:cs="Arial"/>
        </w:rPr>
        <w:br w:type="textWrapping" w:clear="all"/>
      </w:r>
      <w:bookmarkStart w:id="12" w:name="_Ref408994290"/>
      <w:r w:rsidR="006E5811" w:rsidRPr="003B0F43">
        <w:rPr>
          <w:rFonts w:cs="Arial"/>
          <w:b/>
          <w:sz w:val="18"/>
          <w:szCs w:val="18"/>
        </w:rPr>
        <w:t xml:space="preserve">Figure </w:t>
      </w:r>
      <w:r w:rsidR="006E5811" w:rsidRPr="003B0F43">
        <w:rPr>
          <w:rFonts w:cs="Arial"/>
          <w:b/>
          <w:sz w:val="18"/>
          <w:szCs w:val="18"/>
        </w:rPr>
        <w:fldChar w:fldCharType="begin"/>
      </w:r>
      <w:r w:rsidR="006E5811" w:rsidRPr="003B0F43">
        <w:rPr>
          <w:rFonts w:cs="Arial"/>
          <w:b/>
          <w:sz w:val="18"/>
          <w:szCs w:val="18"/>
        </w:rPr>
        <w:instrText xml:space="preserve"> SEQ Figure \* ARABIC </w:instrText>
      </w:r>
      <w:r w:rsidR="006E5811" w:rsidRPr="003B0F43">
        <w:rPr>
          <w:rFonts w:cs="Arial"/>
          <w:b/>
          <w:sz w:val="18"/>
          <w:szCs w:val="18"/>
        </w:rPr>
        <w:fldChar w:fldCharType="separate"/>
      </w:r>
      <w:r w:rsidR="00A1335C">
        <w:rPr>
          <w:rFonts w:cs="Arial"/>
          <w:b/>
          <w:noProof/>
          <w:sz w:val="18"/>
          <w:szCs w:val="18"/>
        </w:rPr>
        <w:t>1</w:t>
      </w:r>
      <w:r w:rsidR="006E5811" w:rsidRPr="003B0F43">
        <w:rPr>
          <w:rFonts w:cs="Arial"/>
          <w:b/>
          <w:sz w:val="18"/>
          <w:szCs w:val="18"/>
        </w:rPr>
        <w:fldChar w:fldCharType="end"/>
      </w:r>
      <w:bookmarkEnd w:id="12"/>
      <w:r w:rsidR="006E5811" w:rsidRPr="003B0F43">
        <w:rPr>
          <w:rFonts w:cs="Arial"/>
          <w:sz w:val="18"/>
          <w:szCs w:val="18"/>
        </w:rPr>
        <w:t>: The asset life cycle</w:t>
      </w:r>
      <w:bookmarkStart w:id="13" w:name="_Toc417380698"/>
    </w:p>
    <w:p w14:paraId="6B74F4E4" w14:textId="77777777" w:rsidR="004B7200" w:rsidRPr="00F41D76" w:rsidRDefault="004B7200" w:rsidP="00ED4539">
      <w:pPr>
        <w:pStyle w:val="Heading3"/>
        <w:rPr>
          <w:rFonts w:cs="Arial"/>
        </w:rPr>
      </w:pPr>
      <w:r w:rsidRPr="00F55FD7">
        <w:rPr>
          <w:rFonts w:cs="Arial"/>
        </w:rPr>
        <w:t xml:space="preserve">Asset </w:t>
      </w:r>
      <w:r w:rsidR="00ED4539" w:rsidRPr="00F41D76">
        <w:rPr>
          <w:rFonts w:cs="Arial"/>
        </w:rPr>
        <w:t>p</w:t>
      </w:r>
      <w:r w:rsidRPr="00F41D76">
        <w:rPr>
          <w:rFonts w:cs="Arial"/>
        </w:rPr>
        <w:t>lanning</w:t>
      </w:r>
      <w:bookmarkEnd w:id="13"/>
    </w:p>
    <w:p w14:paraId="6B74F4E5" w14:textId="77777777" w:rsidR="004E79CC" w:rsidRPr="00411F87" w:rsidRDefault="004E79CC" w:rsidP="00A40A3D">
      <w:pPr>
        <w:pStyle w:val="ListParagraph"/>
        <w:numPr>
          <w:ilvl w:val="0"/>
          <w:numId w:val="6"/>
        </w:numPr>
        <w:shd w:val="clear" w:color="auto" w:fill="FFFFFF"/>
        <w:contextualSpacing w:val="0"/>
        <w:rPr>
          <w:rFonts w:cs="Arial"/>
          <w:sz w:val="21"/>
          <w:szCs w:val="21"/>
        </w:rPr>
      </w:pPr>
      <w:r w:rsidRPr="00411F87">
        <w:rPr>
          <w:rFonts w:cs="Arial"/>
          <w:sz w:val="21"/>
          <w:szCs w:val="21"/>
          <w:lang w:val="en-AU"/>
        </w:rPr>
        <w:t>Asset</w:t>
      </w:r>
      <w:r w:rsidR="008C7364" w:rsidRPr="00411F87">
        <w:rPr>
          <w:rFonts w:cs="Arial"/>
          <w:sz w:val="21"/>
          <w:szCs w:val="21"/>
          <w:lang w:val="en-AU"/>
        </w:rPr>
        <w:t xml:space="preserve"> planning </w:t>
      </w:r>
      <w:r w:rsidRPr="00411F87">
        <w:rPr>
          <w:rFonts w:cs="Arial"/>
          <w:sz w:val="21"/>
          <w:szCs w:val="21"/>
          <w:lang w:val="en-AU"/>
        </w:rPr>
        <w:t xml:space="preserve">is the identification of asset requirements, based on an analysis between service delivery needs and the capacity of existing assets to meet these. </w:t>
      </w:r>
    </w:p>
    <w:p w14:paraId="6B74F4E6" w14:textId="77777777" w:rsidR="004B7200" w:rsidRPr="00411F87" w:rsidRDefault="004E79CC" w:rsidP="00A40A3D">
      <w:pPr>
        <w:pStyle w:val="ListParagraph"/>
        <w:numPr>
          <w:ilvl w:val="0"/>
          <w:numId w:val="6"/>
        </w:numPr>
        <w:shd w:val="clear" w:color="auto" w:fill="FFFFFF"/>
        <w:contextualSpacing w:val="0"/>
        <w:rPr>
          <w:rFonts w:cs="Arial"/>
          <w:sz w:val="21"/>
          <w:szCs w:val="21"/>
        </w:rPr>
      </w:pPr>
      <w:r w:rsidRPr="00411F87">
        <w:rPr>
          <w:rFonts w:cs="Arial"/>
          <w:sz w:val="21"/>
          <w:szCs w:val="21"/>
          <w:lang w:val="en-AU"/>
        </w:rPr>
        <w:t xml:space="preserve">Planning </w:t>
      </w:r>
      <w:r w:rsidR="008C7364" w:rsidRPr="00411F87">
        <w:rPr>
          <w:rFonts w:cs="Arial"/>
          <w:sz w:val="21"/>
          <w:szCs w:val="21"/>
          <w:lang w:val="en-AU"/>
        </w:rPr>
        <w:t xml:space="preserve">enables the efficient, effective and ethical use of </w:t>
      </w:r>
      <w:r w:rsidR="00682AC9" w:rsidRPr="00411F87">
        <w:rPr>
          <w:rFonts w:cs="Arial"/>
          <w:sz w:val="21"/>
          <w:szCs w:val="21"/>
          <w:lang w:val="en-AU"/>
        </w:rPr>
        <w:t>assets</w:t>
      </w:r>
      <w:r w:rsidR="008C7364" w:rsidRPr="00411F87">
        <w:rPr>
          <w:rFonts w:cs="Arial"/>
          <w:sz w:val="21"/>
          <w:szCs w:val="21"/>
          <w:lang w:val="en-AU"/>
        </w:rPr>
        <w:t xml:space="preserve"> in the delivery of</w:t>
      </w:r>
      <w:r w:rsidR="00682AC9" w:rsidRPr="00411F87">
        <w:rPr>
          <w:rFonts w:cs="Arial"/>
          <w:sz w:val="21"/>
          <w:szCs w:val="21"/>
          <w:lang w:val="en-AU"/>
        </w:rPr>
        <w:t xml:space="preserve"> strategic and operational outcomes</w:t>
      </w:r>
      <w:r w:rsidR="008C7364" w:rsidRPr="00411F87">
        <w:rPr>
          <w:rFonts w:cs="Arial"/>
          <w:sz w:val="21"/>
          <w:szCs w:val="21"/>
          <w:lang w:val="en-AU"/>
        </w:rPr>
        <w:t xml:space="preserve">. </w:t>
      </w:r>
      <w:r w:rsidR="00682AC9" w:rsidRPr="00411F87">
        <w:rPr>
          <w:rFonts w:cs="Arial"/>
          <w:sz w:val="21"/>
          <w:szCs w:val="21"/>
        </w:rPr>
        <w:t xml:space="preserve">As assets </w:t>
      </w:r>
      <w:r w:rsidR="008B7642" w:rsidRPr="00411F87">
        <w:rPr>
          <w:rFonts w:cs="Arial"/>
          <w:sz w:val="21"/>
          <w:szCs w:val="21"/>
        </w:rPr>
        <w:t xml:space="preserve">can </w:t>
      </w:r>
      <w:r w:rsidR="004B7200" w:rsidRPr="00411F87">
        <w:rPr>
          <w:rFonts w:cs="Arial"/>
          <w:sz w:val="21"/>
          <w:szCs w:val="21"/>
        </w:rPr>
        <w:t xml:space="preserve">have a significant </w:t>
      </w:r>
      <w:r w:rsidR="00682AC9" w:rsidRPr="00411F87">
        <w:rPr>
          <w:rFonts w:cs="Arial"/>
          <w:sz w:val="21"/>
          <w:szCs w:val="21"/>
        </w:rPr>
        <w:t xml:space="preserve">financial </w:t>
      </w:r>
      <w:r w:rsidR="004B7200" w:rsidRPr="00411F87">
        <w:rPr>
          <w:rFonts w:cs="Arial"/>
          <w:sz w:val="21"/>
          <w:szCs w:val="21"/>
        </w:rPr>
        <w:t xml:space="preserve">impact on the </w:t>
      </w:r>
      <w:r w:rsidR="00682AC9" w:rsidRPr="00411F87">
        <w:rPr>
          <w:rFonts w:cs="Arial"/>
          <w:sz w:val="21"/>
          <w:szCs w:val="21"/>
        </w:rPr>
        <w:t xml:space="preserve">agency, </w:t>
      </w:r>
      <w:r w:rsidR="008B7642" w:rsidRPr="00411F87">
        <w:rPr>
          <w:rFonts w:cs="Arial"/>
          <w:sz w:val="21"/>
          <w:szCs w:val="21"/>
        </w:rPr>
        <w:t xml:space="preserve">asset </w:t>
      </w:r>
      <w:r w:rsidR="00682AC9" w:rsidRPr="00411F87">
        <w:rPr>
          <w:rFonts w:cs="Arial"/>
          <w:sz w:val="21"/>
          <w:szCs w:val="21"/>
        </w:rPr>
        <w:t>planning</w:t>
      </w:r>
      <w:r w:rsidR="00D014F4" w:rsidRPr="00411F87">
        <w:rPr>
          <w:rFonts w:cs="Arial"/>
          <w:sz w:val="21"/>
          <w:szCs w:val="21"/>
          <w:lang w:val="en-AU"/>
        </w:rPr>
        <w:t xml:space="preserve"> </w:t>
      </w:r>
      <w:r w:rsidR="00682AC9" w:rsidRPr="00411F87">
        <w:rPr>
          <w:rFonts w:cs="Arial"/>
          <w:sz w:val="21"/>
          <w:szCs w:val="21"/>
          <w:lang w:val="en-AU"/>
        </w:rPr>
        <w:t>should</w:t>
      </w:r>
      <w:r w:rsidR="00D014F4" w:rsidRPr="00411F87">
        <w:rPr>
          <w:rFonts w:cs="Arial"/>
          <w:sz w:val="21"/>
          <w:szCs w:val="21"/>
          <w:lang w:val="en-AU"/>
        </w:rPr>
        <w:t xml:space="preserve"> </w:t>
      </w:r>
      <w:r w:rsidR="008C7364" w:rsidRPr="00411F87">
        <w:rPr>
          <w:rFonts w:cs="Arial"/>
          <w:sz w:val="21"/>
          <w:szCs w:val="21"/>
          <w:lang w:val="en-AU"/>
        </w:rPr>
        <w:t>consider</w:t>
      </w:r>
      <w:r w:rsidR="00D014F4" w:rsidRPr="00411F87">
        <w:rPr>
          <w:rFonts w:cs="Arial"/>
          <w:sz w:val="21"/>
          <w:szCs w:val="21"/>
          <w:lang w:val="en-AU"/>
        </w:rPr>
        <w:t xml:space="preserve"> all activities in the asset life cycle</w:t>
      </w:r>
      <w:r w:rsidR="00682AC9" w:rsidRPr="00411F87">
        <w:rPr>
          <w:rFonts w:cs="Arial"/>
          <w:sz w:val="21"/>
          <w:szCs w:val="21"/>
          <w:lang w:val="en-AU"/>
        </w:rPr>
        <w:t xml:space="preserve"> -</w:t>
      </w:r>
      <w:r w:rsidR="00D014F4" w:rsidRPr="00411F87">
        <w:rPr>
          <w:rFonts w:cs="Arial"/>
          <w:sz w:val="21"/>
          <w:szCs w:val="21"/>
          <w:lang w:val="en-AU"/>
        </w:rPr>
        <w:t xml:space="preserve"> from identifying a need, </w:t>
      </w:r>
      <w:r w:rsidR="00270A45" w:rsidRPr="00411F87">
        <w:rPr>
          <w:rFonts w:cs="Arial"/>
          <w:sz w:val="21"/>
          <w:szCs w:val="21"/>
          <w:lang w:val="en-AU"/>
        </w:rPr>
        <w:t xml:space="preserve">to </w:t>
      </w:r>
      <w:r w:rsidR="00D014F4" w:rsidRPr="00411F87">
        <w:rPr>
          <w:rFonts w:cs="Arial"/>
          <w:sz w:val="21"/>
          <w:szCs w:val="21"/>
          <w:lang w:val="en-AU"/>
        </w:rPr>
        <w:t>the costs of acquiring and maintaining the asset</w:t>
      </w:r>
      <w:r w:rsidR="00270A45" w:rsidRPr="00411F87">
        <w:rPr>
          <w:rFonts w:cs="Arial"/>
          <w:sz w:val="21"/>
          <w:szCs w:val="21"/>
          <w:lang w:val="en-AU"/>
        </w:rPr>
        <w:t xml:space="preserve"> throughout its useful life</w:t>
      </w:r>
      <w:r w:rsidR="00D014F4" w:rsidRPr="00411F87">
        <w:rPr>
          <w:rFonts w:cs="Arial"/>
          <w:sz w:val="21"/>
          <w:szCs w:val="21"/>
          <w:lang w:val="en-AU"/>
        </w:rPr>
        <w:t xml:space="preserve">, to the timing of final disposal and </w:t>
      </w:r>
      <w:r w:rsidR="00270A45" w:rsidRPr="00411F87">
        <w:rPr>
          <w:rFonts w:cs="Arial"/>
          <w:sz w:val="21"/>
          <w:szCs w:val="21"/>
          <w:lang w:val="en-AU"/>
        </w:rPr>
        <w:t>potential</w:t>
      </w:r>
      <w:r w:rsidR="00D014F4" w:rsidRPr="00411F87">
        <w:rPr>
          <w:rFonts w:cs="Arial"/>
          <w:sz w:val="21"/>
          <w:szCs w:val="21"/>
          <w:lang w:val="en-AU"/>
        </w:rPr>
        <w:t xml:space="preserve"> replacement</w:t>
      </w:r>
      <w:r w:rsidR="008C7364" w:rsidRPr="00411F87">
        <w:rPr>
          <w:rFonts w:cs="Arial"/>
          <w:sz w:val="21"/>
          <w:szCs w:val="21"/>
          <w:lang w:val="en-AU"/>
        </w:rPr>
        <w:t>.</w:t>
      </w:r>
    </w:p>
    <w:p w14:paraId="6B74F4E7" w14:textId="77777777" w:rsidR="00682AC9" w:rsidRPr="00411F87" w:rsidRDefault="00682AC9" w:rsidP="0010167D">
      <w:pPr>
        <w:numPr>
          <w:ilvl w:val="0"/>
          <w:numId w:val="6"/>
        </w:numPr>
        <w:shd w:val="clear" w:color="auto" w:fill="FFFFFF"/>
        <w:jc w:val="both"/>
        <w:rPr>
          <w:rFonts w:cs="Arial"/>
          <w:sz w:val="21"/>
          <w:szCs w:val="21"/>
          <w:lang w:val="en-AU"/>
        </w:rPr>
      </w:pPr>
      <w:r w:rsidRPr="00411F87">
        <w:rPr>
          <w:rFonts w:cs="Arial"/>
          <w:sz w:val="21"/>
          <w:szCs w:val="21"/>
          <w:lang w:val="en-AU"/>
        </w:rPr>
        <w:t>A</w:t>
      </w:r>
      <w:r w:rsidR="004B7200" w:rsidRPr="00411F87">
        <w:rPr>
          <w:rFonts w:cs="Arial"/>
          <w:sz w:val="21"/>
          <w:szCs w:val="21"/>
          <w:lang w:val="en-AU"/>
        </w:rPr>
        <w:t xml:space="preserve"> Capital Management Plan (CMP) is </w:t>
      </w:r>
      <w:r w:rsidRPr="00411F87">
        <w:rPr>
          <w:rFonts w:cs="Arial"/>
          <w:sz w:val="21"/>
          <w:szCs w:val="21"/>
          <w:lang w:val="en-AU"/>
        </w:rPr>
        <w:t xml:space="preserve">the </w:t>
      </w:r>
      <w:r w:rsidR="004B7200" w:rsidRPr="00411F87">
        <w:rPr>
          <w:rFonts w:cs="Arial"/>
          <w:sz w:val="21"/>
          <w:szCs w:val="21"/>
          <w:lang w:val="en-AU"/>
        </w:rPr>
        <w:t xml:space="preserve">tool </w:t>
      </w:r>
      <w:r w:rsidRPr="00411F87">
        <w:rPr>
          <w:rFonts w:cs="Arial"/>
          <w:sz w:val="21"/>
          <w:szCs w:val="21"/>
          <w:lang w:val="en-AU"/>
        </w:rPr>
        <w:t>utilised within the agency to inform strategic asset management decisions. Development of a CMP involves a strategic review of current and future (out to four years) capital investments including disposal for cash, trade-in, write-off of existing assets and proposed acquisitions, improvements and works-in-progress (WIP) projects.</w:t>
      </w:r>
    </w:p>
    <w:p w14:paraId="6B74F4E8" w14:textId="77777777" w:rsidR="008C7364" w:rsidRPr="00411F87" w:rsidRDefault="00197547" w:rsidP="00262ECA">
      <w:pPr>
        <w:numPr>
          <w:ilvl w:val="0"/>
          <w:numId w:val="6"/>
        </w:numPr>
        <w:shd w:val="clear" w:color="auto" w:fill="FFFFFF"/>
        <w:spacing w:after="0"/>
        <w:rPr>
          <w:rFonts w:cs="Arial"/>
          <w:sz w:val="21"/>
          <w:szCs w:val="21"/>
        </w:rPr>
      </w:pPr>
      <w:r w:rsidRPr="00411F87">
        <w:rPr>
          <w:rFonts w:cs="Arial"/>
          <w:sz w:val="21"/>
          <w:szCs w:val="21"/>
          <w:lang w:val="en-AU"/>
        </w:rPr>
        <w:t>A</w:t>
      </w:r>
      <w:r w:rsidR="00270A45" w:rsidRPr="00411F87">
        <w:rPr>
          <w:rFonts w:cs="Arial"/>
          <w:sz w:val="21"/>
          <w:szCs w:val="21"/>
          <w:lang w:val="en-AU"/>
        </w:rPr>
        <w:t xml:space="preserve">sset planning </w:t>
      </w:r>
      <w:r w:rsidRPr="00411F87">
        <w:rPr>
          <w:rFonts w:cs="Arial"/>
          <w:sz w:val="21"/>
          <w:szCs w:val="21"/>
          <w:lang w:val="en-AU"/>
        </w:rPr>
        <w:t xml:space="preserve">at the </w:t>
      </w:r>
      <w:r w:rsidR="008C328C" w:rsidRPr="00411F87">
        <w:rPr>
          <w:rFonts w:cs="Arial"/>
          <w:sz w:val="21"/>
          <w:szCs w:val="21"/>
          <w:lang w:val="en-AU"/>
        </w:rPr>
        <w:t xml:space="preserve">section </w:t>
      </w:r>
      <w:r w:rsidRPr="00411F87">
        <w:rPr>
          <w:rFonts w:cs="Arial"/>
          <w:sz w:val="21"/>
          <w:szCs w:val="21"/>
          <w:lang w:val="en-AU"/>
        </w:rPr>
        <w:t xml:space="preserve">level </w:t>
      </w:r>
      <w:r w:rsidR="00754F20" w:rsidRPr="00411F87">
        <w:rPr>
          <w:rFonts w:cs="Arial"/>
          <w:sz w:val="21"/>
          <w:szCs w:val="21"/>
          <w:lang w:val="en-AU"/>
        </w:rPr>
        <w:t>is to</w:t>
      </w:r>
      <w:r w:rsidR="00270A45" w:rsidRPr="00411F87">
        <w:rPr>
          <w:rFonts w:cs="Arial"/>
          <w:sz w:val="21"/>
          <w:szCs w:val="21"/>
          <w:lang w:val="en-AU"/>
        </w:rPr>
        <w:t xml:space="preserve"> occur </w:t>
      </w:r>
      <w:r w:rsidR="00754F20" w:rsidRPr="00411F87">
        <w:rPr>
          <w:rFonts w:cs="Arial"/>
          <w:sz w:val="21"/>
          <w:szCs w:val="21"/>
          <w:lang w:val="en-AU"/>
        </w:rPr>
        <w:t>annually</w:t>
      </w:r>
      <w:r w:rsidR="00262ECA" w:rsidRPr="00411F87">
        <w:rPr>
          <w:rFonts w:cs="Arial"/>
          <w:sz w:val="21"/>
          <w:szCs w:val="21"/>
          <w:lang w:val="en-AU"/>
        </w:rPr>
        <w:t>,</w:t>
      </w:r>
      <w:r w:rsidR="00754F20" w:rsidRPr="00411F87">
        <w:rPr>
          <w:rFonts w:cs="Arial"/>
          <w:sz w:val="21"/>
          <w:szCs w:val="21"/>
          <w:lang w:val="en-AU"/>
        </w:rPr>
        <w:t xml:space="preserve"> </w:t>
      </w:r>
      <w:r w:rsidR="00262ECA" w:rsidRPr="00411F87">
        <w:rPr>
          <w:rFonts w:cs="Arial"/>
          <w:sz w:val="21"/>
          <w:szCs w:val="21"/>
          <w:lang w:val="en-AU"/>
        </w:rPr>
        <w:t>coinciding</w:t>
      </w:r>
      <w:r w:rsidR="00270A45" w:rsidRPr="00411F87">
        <w:rPr>
          <w:rFonts w:cs="Arial"/>
          <w:sz w:val="21"/>
          <w:szCs w:val="21"/>
          <w:lang w:val="en-AU"/>
        </w:rPr>
        <w:t xml:space="preserve"> with operational planning and focus on identifying current and future output and business requirements. Where appropriate, development of an asset strategy may assist</w:t>
      </w:r>
      <w:r w:rsidR="00754F20" w:rsidRPr="00411F87">
        <w:rPr>
          <w:rFonts w:cs="Arial"/>
          <w:sz w:val="21"/>
          <w:szCs w:val="21"/>
          <w:lang w:val="en-AU"/>
        </w:rPr>
        <w:t xml:space="preserve">. </w:t>
      </w:r>
      <w:r w:rsidR="008C7364" w:rsidRPr="00411F87">
        <w:rPr>
          <w:rFonts w:cs="Arial"/>
          <w:sz w:val="21"/>
          <w:szCs w:val="21"/>
        </w:rPr>
        <w:t xml:space="preserve">Effective asset management requires </w:t>
      </w:r>
      <w:r w:rsidRPr="00411F87">
        <w:rPr>
          <w:rFonts w:cs="Arial"/>
          <w:sz w:val="21"/>
          <w:szCs w:val="21"/>
        </w:rPr>
        <w:t>consideration of</w:t>
      </w:r>
      <w:r w:rsidR="008C7364" w:rsidRPr="00411F87">
        <w:rPr>
          <w:rFonts w:cs="Arial"/>
          <w:sz w:val="21"/>
          <w:szCs w:val="21"/>
        </w:rPr>
        <w:t xml:space="preserve"> future asset performance issues such as:</w:t>
      </w:r>
    </w:p>
    <w:p w14:paraId="6B74F4E9" w14:textId="77777777" w:rsidR="008C7364" w:rsidRPr="00411F87" w:rsidRDefault="008C7364" w:rsidP="008C7364">
      <w:pPr>
        <w:numPr>
          <w:ilvl w:val="1"/>
          <w:numId w:val="6"/>
        </w:numPr>
        <w:shd w:val="clear" w:color="auto" w:fill="FFFFFF"/>
        <w:rPr>
          <w:rFonts w:cs="Arial"/>
          <w:sz w:val="21"/>
          <w:szCs w:val="21"/>
          <w:lang w:val="en-AU"/>
        </w:rPr>
      </w:pPr>
      <w:r w:rsidRPr="00411F87">
        <w:rPr>
          <w:rFonts w:cs="Arial"/>
          <w:sz w:val="21"/>
          <w:szCs w:val="21"/>
          <w:lang w:val="en-AU"/>
        </w:rPr>
        <w:t>expected purpose and utilisation levels;</w:t>
      </w:r>
    </w:p>
    <w:p w14:paraId="6B74F4EA" w14:textId="77777777" w:rsidR="008C7364" w:rsidRPr="00411F87" w:rsidRDefault="008C7364" w:rsidP="008C7364">
      <w:pPr>
        <w:numPr>
          <w:ilvl w:val="1"/>
          <w:numId w:val="6"/>
        </w:numPr>
        <w:shd w:val="clear" w:color="auto" w:fill="FFFFFF"/>
        <w:rPr>
          <w:rFonts w:cs="Arial"/>
          <w:sz w:val="21"/>
          <w:szCs w:val="21"/>
          <w:lang w:val="en-AU"/>
        </w:rPr>
      </w:pPr>
      <w:r w:rsidRPr="00411F87">
        <w:rPr>
          <w:rFonts w:cs="Arial"/>
          <w:sz w:val="21"/>
          <w:szCs w:val="21"/>
          <w:lang w:val="en-AU"/>
        </w:rPr>
        <w:t>technological changes and obsolescence;</w:t>
      </w:r>
    </w:p>
    <w:p w14:paraId="6B74F4EB" w14:textId="77777777" w:rsidR="008C7364" w:rsidRPr="00411F87" w:rsidRDefault="008C7364" w:rsidP="008C7364">
      <w:pPr>
        <w:numPr>
          <w:ilvl w:val="1"/>
          <w:numId w:val="6"/>
        </w:numPr>
        <w:shd w:val="clear" w:color="auto" w:fill="FFFFFF"/>
        <w:rPr>
          <w:rFonts w:cs="Arial"/>
          <w:sz w:val="21"/>
          <w:szCs w:val="21"/>
          <w:lang w:val="en-AU"/>
        </w:rPr>
      </w:pPr>
      <w:r w:rsidRPr="00411F87">
        <w:rPr>
          <w:rFonts w:cs="Arial"/>
          <w:sz w:val="21"/>
          <w:szCs w:val="21"/>
          <w:lang w:val="en-AU"/>
        </w:rPr>
        <w:t>capacity of existing/remaining assets;</w:t>
      </w:r>
    </w:p>
    <w:p w14:paraId="6B74F4EC" w14:textId="77777777" w:rsidR="008C7364" w:rsidRPr="00411F87" w:rsidRDefault="008C7364" w:rsidP="008C7364">
      <w:pPr>
        <w:numPr>
          <w:ilvl w:val="1"/>
          <w:numId w:val="6"/>
        </w:numPr>
        <w:shd w:val="clear" w:color="auto" w:fill="FFFFFF"/>
        <w:rPr>
          <w:rFonts w:cs="Arial"/>
          <w:sz w:val="21"/>
          <w:szCs w:val="21"/>
          <w:lang w:val="en-AU"/>
        </w:rPr>
      </w:pPr>
      <w:r w:rsidRPr="00411F87">
        <w:rPr>
          <w:rFonts w:cs="Arial"/>
          <w:sz w:val="21"/>
          <w:szCs w:val="21"/>
          <w:lang w:val="en-AU"/>
        </w:rPr>
        <w:t>risks associated with non-performance of existing and/or replacement asset(s); and</w:t>
      </w:r>
    </w:p>
    <w:p w14:paraId="6B74F4ED" w14:textId="77777777" w:rsidR="008C7364" w:rsidRPr="00411F87" w:rsidRDefault="008C7364" w:rsidP="008C7364">
      <w:pPr>
        <w:numPr>
          <w:ilvl w:val="1"/>
          <w:numId w:val="6"/>
        </w:numPr>
        <w:shd w:val="clear" w:color="auto" w:fill="FFFFFF"/>
        <w:rPr>
          <w:rFonts w:cs="Arial"/>
          <w:sz w:val="21"/>
          <w:szCs w:val="21"/>
          <w:lang w:val="en-AU"/>
        </w:rPr>
      </w:pPr>
      <w:r w:rsidRPr="00411F87">
        <w:rPr>
          <w:rFonts w:cs="Arial"/>
          <w:sz w:val="21"/>
          <w:szCs w:val="21"/>
          <w:lang w:val="en-AU"/>
        </w:rPr>
        <w:t>matching requirements to the future business strategy of the work area.</w:t>
      </w:r>
    </w:p>
    <w:p w14:paraId="6B74F4EE" w14:textId="77777777" w:rsidR="004B7200" w:rsidRPr="00AC3A52" w:rsidRDefault="00ED4539" w:rsidP="00ED4539">
      <w:pPr>
        <w:pStyle w:val="Heading3"/>
        <w:rPr>
          <w:rFonts w:cs="Arial"/>
        </w:rPr>
      </w:pPr>
      <w:bookmarkStart w:id="14" w:name="_Toc254611577"/>
      <w:bookmarkStart w:id="15" w:name="_Toc417380699"/>
      <w:bookmarkEnd w:id="14"/>
      <w:r w:rsidRPr="00AC3A52">
        <w:rPr>
          <w:rFonts w:cs="Arial"/>
        </w:rPr>
        <w:t>Asset a</w:t>
      </w:r>
      <w:r w:rsidR="004B7200" w:rsidRPr="00AC3A52">
        <w:rPr>
          <w:rFonts w:cs="Arial"/>
        </w:rPr>
        <w:t>cquisition</w:t>
      </w:r>
      <w:bookmarkEnd w:id="15"/>
    </w:p>
    <w:p w14:paraId="6B74F4EF" w14:textId="77777777" w:rsidR="00951DF0" w:rsidRPr="00411F87" w:rsidRDefault="004E79CC" w:rsidP="00F10A23">
      <w:pPr>
        <w:pStyle w:val="ListParagraph"/>
        <w:numPr>
          <w:ilvl w:val="0"/>
          <w:numId w:val="6"/>
        </w:numPr>
        <w:contextualSpacing w:val="0"/>
        <w:rPr>
          <w:rFonts w:cs="Arial"/>
          <w:sz w:val="21"/>
          <w:szCs w:val="21"/>
          <w:lang w:val="en-AU"/>
        </w:rPr>
      </w:pPr>
      <w:r w:rsidRPr="00411F87">
        <w:rPr>
          <w:rFonts w:cs="Arial"/>
          <w:sz w:val="21"/>
          <w:szCs w:val="21"/>
          <w:lang w:val="en-AU"/>
        </w:rPr>
        <w:t xml:space="preserve">Asset acquisition is the </w:t>
      </w:r>
      <w:r w:rsidR="00863F8C" w:rsidRPr="00411F87">
        <w:rPr>
          <w:rFonts w:cs="Arial"/>
          <w:sz w:val="21"/>
          <w:szCs w:val="21"/>
          <w:lang w:val="en-AU"/>
        </w:rPr>
        <w:t xml:space="preserve">practice of accountably and transparently obtaining assets which are ‘best value for money’. </w:t>
      </w:r>
      <w:r w:rsidR="00951DF0" w:rsidRPr="00411F87">
        <w:rPr>
          <w:rFonts w:cs="Arial"/>
          <w:sz w:val="21"/>
          <w:szCs w:val="21"/>
          <w:lang w:val="en-AU"/>
        </w:rPr>
        <w:t>All</w:t>
      </w:r>
      <w:r w:rsidR="004B7200" w:rsidRPr="00411F87">
        <w:rPr>
          <w:rFonts w:cs="Arial"/>
          <w:sz w:val="21"/>
          <w:szCs w:val="21"/>
          <w:lang w:val="en-AU"/>
        </w:rPr>
        <w:t xml:space="preserve"> asset acquisition decisions</w:t>
      </w:r>
      <w:r w:rsidR="00951DF0" w:rsidRPr="00411F87">
        <w:rPr>
          <w:rFonts w:cs="Arial"/>
          <w:sz w:val="21"/>
          <w:szCs w:val="21"/>
          <w:lang w:val="en-AU"/>
        </w:rPr>
        <w:t xml:space="preserve"> should</w:t>
      </w:r>
      <w:r w:rsidR="004B7200" w:rsidRPr="00411F87">
        <w:rPr>
          <w:rFonts w:cs="Arial"/>
          <w:sz w:val="21"/>
          <w:szCs w:val="21"/>
          <w:lang w:val="en-AU"/>
        </w:rPr>
        <w:t xml:space="preserve"> </w:t>
      </w:r>
      <w:r w:rsidR="00951DF0" w:rsidRPr="00411F87">
        <w:rPr>
          <w:rFonts w:cs="Arial"/>
          <w:sz w:val="21"/>
          <w:szCs w:val="21"/>
          <w:lang w:val="en-AU"/>
        </w:rPr>
        <w:t xml:space="preserve">involve the </w:t>
      </w:r>
      <w:r w:rsidR="004B7200" w:rsidRPr="00411F87">
        <w:rPr>
          <w:rFonts w:cs="Arial"/>
          <w:sz w:val="21"/>
          <w:szCs w:val="21"/>
          <w:lang w:val="en-AU"/>
        </w:rPr>
        <w:t>consider</w:t>
      </w:r>
      <w:r w:rsidR="00951DF0" w:rsidRPr="00411F87">
        <w:rPr>
          <w:rFonts w:cs="Arial"/>
          <w:sz w:val="21"/>
          <w:szCs w:val="21"/>
          <w:lang w:val="en-AU"/>
        </w:rPr>
        <w:t>ation of</w:t>
      </w:r>
      <w:r w:rsidR="004B7200" w:rsidRPr="00411F87">
        <w:rPr>
          <w:rFonts w:cs="Arial"/>
          <w:sz w:val="21"/>
          <w:szCs w:val="21"/>
          <w:lang w:val="en-AU"/>
        </w:rPr>
        <w:t xml:space="preserve"> current and future business requirements, corporate policies and objectives, budgetary limitations, </w:t>
      </w:r>
      <w:r w:rsidR="00951DF0" w:rsidRPr="00411F87">
        <w:rPr>
          <w:rFonts w:cs="Arial"/>
          <w:sz w:val="21"/>
          <w:szCs w:val="21"/>
          <w:lang w:val="en-AU"/>
        </w:rPr>
        <w:t xml:space="preserve">and </w:t>
      </w:r>
      <w:r w:rsidR="004B7200" w:rsidRPr="00411F87">
        <w:rPr>
          <w:rFonts w:cs="Arial"/>
          <w:sz w:val="21"/>
          <w:szCs w:val="21"/>
          <w:lang w:val="en-AU"/>
        </w:rPr>
        <w:t>ethical standards</w:t>
      </w:r>
      <w:r w:rsidR="00951DF0" w:rsidRPr="00411F87">
        <w:rPr>
          <w:rFonts w:cs="Arial"/>
          <w:sz w:val="21"/>
          <w:szCs w:val="21"/>
          <w:lang w:val="en-AU"/>
        </w:rPr>
        <w:t xml:space="preserve">. </w:t>
      </w:r>
    </w:p>
    <w:p w14:paraId="6B74F4F0" w14:textId="77777777" w:rsidR="004B7200" w:rsidRPr="00411F87" w:rsidRDefault="00951DF0" w:rsidP="00A40A3D">
      <w:pPr>
        <w:numPr>
          <w:ilvl w:val="0"/>
          <w:numId w:val="6"/>
        </w:numPr>
        <w:shd w:val="clear" w:color="auto" w:fill="FFFFFF"/>
        <w:rPr>
          <w:rFonts w:cs="Arial"/>
          <w:sz w:val="21"/>
          <w:szCs w:val="21"/>
          <w:lang w:val="en-AU"/>
        </w:rPr>
      </w:pPr>
      <w:r w:rsidRPr="00411F87">
        <w:rPr>
          <w:rFonts w:cs="Arial"/>
          <w:sz w:val="21"/>
          <w:szCs w:val="21"/>
          <w:lang w:val="en-AU"/>
        </w:rPr>
        <w:lastRenderedPageBreak/>
        <w:t>Where assets are to be acquired via procurement and the spending of relevant money, the agency’s Accountable Authority Instructions and the Commonwealth Procurement Rules must be adhered to.</w:t>
      </w:r>
    </w:p>
    <w:p w14:paraId="6B74F4F1" w14:textId="77777777" w:rsidR="004B7200" w:rsidRPr="00703250" w:rsidRDefault="004B7200" w:rsidP="007065DE">
      <w:pPr>
        <w:pStyle w:val="Heading4"/>
        <w:rPr>
          <w:rFonts w:cs="Arial"/>
        </w:rPr>
      </w:pPr>
      <w:r w:rsidRPr="00703250">
        <w:rPr>
          <w:rFonts w:cs="Arial"/>
        </w:rPr>
        <w:t>Leasing</w:t>
      </w:r>
    </w:p>
    <w:p w14:paraId="6B74F4F2" w14:textId="45B878AA" w:rsidR="004B7200" w:rsidRPr="00411F87" w:rsidRDefault="004B7200" w:rsidP="007065DE">
      <w:pPr>
        <w:numPr>
          <w:ilvl w:val="0"/>
          <w:numId w:val="6"/>
        </w:numPr>
        <w:shd w:val="clear" w:color="auto" w:fill="FFFFFF"/>
        <w:rPr>
          <w:rFonts w:cs="Arial"/>
          <w:sz w:val="21"/>
          <w:szCs w:val="21"/>
          <w:lang w:val="en-AU"/>
        </w:rPr>
      </w:pPr>
      <w:r w:rsidRPr="00411F87">
        <w:rPr>
          <w:rFonts w:cs="Arial"/>
          <w:sz w:val="21"/>
          <w:szCs w:val="21"/>
          <w:lang w:val="en-AU"/>
        </w:rPr>
        <w:t xml:space="preserve">An </w:t>
      </w:r>
      <w:r w:rsidR="00D727B0" w:rsidRPr="00411F87">
        <w:rPr>
          <w:rFonts w:cs="Arial"/>
          <w:sz w:val="21"/>
          <w:szCs w:val="21"/>
          <w:lang w:val="en-AU"/>
        </w:rPr>
        <w:t>‘</w:t>
      </w:r>
      <w:r w:rsidRPr="00411F87">
        <w:rPr>
          <w:rFonts w:cs="Arial"/>
          <w:sz w:val="21"/>
          <w:szCs w:val="21"/>
          <w:lang w:val="en-AU"/>
        </w:rPr>
        <w:t>operating lease</w:t>
      </w:r>
      <w:r w:rsidR="00D727B0" w:rsidRPr="00411F87">
        <w:rPr>
          <w:rFonts w:cs="Arial"/>
          <w:sz w:val="21"/>
          <w:szCs w:val="21"/>
          <w:lang w:val="en-AU"/>
        </w:rPr>
        <w:t>’</w:t>
      </w:r>
      <w:r w:rsidRPr="00411F87">
        <w:rPr>
          <w:rFonts w:cs="Arial"/>
          <w:sz w:val="21"/>
          <w:szCs w:val="21"/>
          <w:lang w:val="en-AU"/>
        </w:rPr>
        <w:t xml:space="preserve"> is similar to a rental agreement and results in the lessor retaining the costs of ownership of the asset (other than consumables)</w:t>
      </w:r>
      <w:r w:rsidR="00D727B0" w:rsidRPr="00411F87">
        <w:rPr>
          <w:rFonts w:cs="Arial"/>
          <w:sz w:val="21"/>
          <w:szCs w:val="21"/>
          <w:lang w:val="en-AU"/>
        </w:rPr>
        <w:t>. In this case</w:t>
      </w:r>
      <w:r w:rsidRPr="00411F87">
        <w:rPr>
          <w:rFonts w:cs="Arial"/>
          <w:sz w:val="21"/>
          <w:szCs w:val="21"/>
          <w:lang w:val="en-AU"/>
        </w:rPr>
        <w:t xml:space="preserve"> the cost of the lease is treated as operating expenditure.</w:t>
      </w:r>
      <w:r w:rsidR="007D3311" w:rsidRPr="00411F87">
        <w:rPr>
          <w:rFonts w:cs="Arial"/>
          <w:sz w:val="21"/>
          <w:szCs w:val="21"/>
          <w:lang w:val="en-AU"/>
        </w:rPr>
        <w:t xml:space="preserve"> On 1 July 2019 the Australian Accounting Standards Board has changed the accountin</w:t>
      </w:r>
      <w:r w:rsidR="003E6601" w:rsidRPr="00411F87">
        <w:rPr>
          <w:rFonts w:cs="Arial"/>
          <w:sz w:val="21"/>
          <w:szCs w:val="21"/>
          <w:lang w:val="en-AU"/>
        </w:rPr>
        <w:t>g treatment of operating leases</w:t>
      </w:r>
      <w:r w:rsidR="00F30BFD" w:rsidRPr="00411F87">
        <w:rPr>
          <w:rFonts w:cs="Arial"/>
          <w:sz w:val="21"/>
          <w:szCs w:val="21"/>
          <w:lang w:val="en-AU"/>
        </w:rPr>
        <w:t xml:space="preserve"> (</w:t>
      </w:r>
      <w:r w:rsidR="007D3311" w:rsidRPr="00411F87">
        <w:rPr>
          <w:rFonts w:cs="Arial"/>
          <w:sz w:val="21"/>
          <w:szCs w:val="21"/>
          <w:lang w:val="en-AU"/>
        </w:rPr>
        <w:t>AASB 16).The accounting and disclosure will be treated as finance leases.</w:t>
      </w:r>
    </w:p>
    <w:p w14:paraId="6B74F4F3" w14:textId="77777777" w:rsidR="00A02850" w:rsidRPr="00411F87" w:rsidRDefault="004B7200" w:rsidP="00A02850">
      <w:pPr>
        <w:numPr>
          <w:ilvl w:val="0"/>
          <w:numId w:val="6"/>
        </w:numPr>
        <w:shd w:val="clear" w:color="auto" w:fill="FFFFFF"/>
        <w:rPr>
          <w:rFonts w:cs="Arial"/>
          <w:sz w:val="21"/>
          <w:szCs w:val="21"/>
          <w:lang w:val="en-AU"/>
        </w:rPr>
      </w:pPr>
      <w:r w:rsidRPr="00411F87">
        <w:rPr>
          <w:rFonts w:cs="Arial"/>
          <w:sz w:val="21"/>
          <w:szCs w:val="21"/>
          <w:lang w:val="en-AU"/>
        </w:rPr>
        <w:t xml:space="preserve">A </w:t>
      </w:r>
      <w:r w:rsidR="00D727B0" w:rsidRPr="00411F87">
        <w:rPr>
          <w:rFonts w:cs="Arial"/>
          <w:sz w:val="21"/>
          <w:szCs w:val="21"/>
          <w:lang w:val="en-AU"/>
        </w:rPr>
        <w:t>‘</w:t>
      </w:r>
      <w:r w:rsidRPr="00411F87">
        <w:rPr>
          <w:rFonts w:cs="Arial"/>
          <w:sz w:val="21"/>
          <w:szCs w:val="21"/>
          <w:lang w:val="en-AU"/>
        </w:rPr>
        <w:t>finance lease</w:t>
      </w:r>
      <w:r w:rsidR="00D727B0" w:rsidRPr="00411F87">
        <w:rPr>
          <w:rFonts w:cs="Arial"/>
          <w:sz w:val="21"/>
          <w:szCs w:val="21"/>
          <w:lang w:val="en-AU"/>
        </w:rPr>
        <w:t>’</w:t>
      </w:r>
      <w:r w:rsidRPr="00411F87">
        <w:rPr>
          <w:rFonts w:cs="Arial"/>
          <w:sz w:val="21"/>
          <w:szCs w:val="21"/>
          <w:lang w:val="en-AU"/>
        </w:rPr>
        <w:t xml:space="preserve"> is a lease where the work area is effectively the owner of the leased item and assumes </w:t>
      </w:r>
      <w:r w:rsidR="00D727B0" w:rsidRPr="00411F87">
        <w:rPr>
          <w:rFonts w:cs="Arial"/>
          <w:sz w:val="21"/>
          <w:szCs w:val="21"/>
          <w:lang w:val="en-AU"/>
        </w:rPr>
        <w:t xml:space="preserve">any associated </w:t>
      </w:r>
      <w:r w:rsidRPr="00411F87">
        <w:rPr>
          <w:rFonts w:cs="Arial"/>
          <w:sz w:val="21"/>
          <w:szCs w:val="21"/>
          <w:lang w:val="en-AU"/>
        </w:rPr>
        <w:t>risks and benefits of ownership. Finance lease payments equate to the purchase price of the asset</w:t>
      </w:r>
      <w:r w:rsidR="00D727B0" w:rsidRPr="00411F87">
        <w:rPr>
          <w:rFonts w:cs="Arial"/>
          <w:sz w:val="21"/>
          <w:szCs w:val="21"/>
          <w:lang w:val="en-AU"/>
        </w:rPr>
        <w:t>,</w:t>
      </w:r>
      <w:r w:rsidRPr="00411F87">
        <w:rPr>
          <w:rFonts w:cs="Arial"/>
          <w:sz w:val="21"/>
          <w:szCs w:val="21"/>
          <w:lang w:val="en-AU"/>
        </w:rPr>
        <w:t xml:space="preserve"> and a finance (interest) charge. </w:t>
      </w:r>
    </w:p>
    <w:p w14:paraId="6B74F4F4" w14:textId="77777777" w:rsidR="00A02850" w:rsidRPr="00411F87" w:rsidRDefault="00A02850" w:rsidP="00A02850">
      <w:pPr>
        <w:numPr>
          <w:ilvl w:val="1"/>
          <w:numId w:val="6"/>
        </w:numPr>
        <w:shd w:val="clear" w:color="auto" w:fill="FFFFFF"/>
        <w:rPr>
          <w:rFonts w:cs="Arial"/>
          <w:sz w:val="21"/>
          <w:szCs w:val="21"/>
          <w:lang w:val="en-AU"/>
        </w:rPr>
      </w:pPr>
      <w:r w:rsidRPr="00411F87">
        <w:rPr>
          <w:rFonts w:cs="Arial"/>
          <w:sz w:val="21"/>
          <w:szCs w:val="21"/>
          <w:lang w:val="en-AU"/>
        </w:rPr>
        <w:t xml:space="preserve">An example of a finance lease arrangement is a photocopier where the agency assumes responsibility for maintenance, repairs and servicing, and has the option at the end of the lease to purchase the photocopier at a pre-determined residual value. </w:t>
      </w:r>
    </w:p>
    <w:p w14:paraId="6B74F4F5" w14:textId="77777777" w:rsidR="004B7200" w:rsidRPr="00411F87" w:rsidRDefault="00D727B0" w:rsidP="00D727B0">
      <w:pPr>
        <w:numPr>
          <w:ilvl w:val="0"/>
          <w:numId w:val="6"/>
        </w:numPr>
        <w:shd w:val="clear" w:color="auto" w:fill="FFFFFF"/>
        <w:rPr>
          <w:rFonts w:cs="Arial"/>
          <w:sz w:val="21"/>
          <w:szCs w:val="21"/>
          <w:lang w:val="en-AU"/>
        </w:rPr>
      </w:pPr>
      <w:r w:rsidRPr="00411F87">
        <w:rPr>
          <w:rFonts w:cs="Arial"/>
          <w:sz w:val="21"/>
          <w:szCs w:val="21"/>
          <w:lang w:val="en-AU"/>
        </w:rPr>
        <w:t xml:space="preserve">Items acquired via a </w:t>
      </w:r>
      <w:r w:rsidR="004B7200" w:rsidRPr="00411F87">
        <w:rPr>
          <w:rFonts w:cs="Arial"/>
          <w:sz w:val="21"/>
          <w:szCs w:val="21"/>
          <w:lang w:val="en-AU"/>
        </w:rPr>
        <w:t xml:space="preserve">finance lease </w:t>
      </w:r>
      <w:r w:rsidRPr="00411F87">
        <w:rPr>
          <w:rFonts w:cs="Arial"/>
          <w:sz w:val="21"/>
          <w:szCs w:val="21"/>
          <w:lang w:val="en-AU"/>
        </w:rPr>
        <w:t xml:space="preserve">which are of a value equal to, or greater than the asset </w:t>
      </w:r>
      <w:r w:rsidR="004B7200" w:rsidRPr="00411F87">
        <w:rPr>
          <w:rFonts w:cs="Arial"/>
          <w:sz w:val="21"/>
          <w:szCs w:val="21"/>
          <w:lang w:val="en-AU"/>
        </w:rPr>
        <w:t xml:space="preserve">threshold </w:t>
      </w:r>
      <w:r w:rsidRPr="00411F87">
        <w:rPr>
          <w:rFonts w:cs="Arial"/>
          <w:sz w:val="21"/>
          <w:szCs w:val="21"/>
          <w:lang w:val="en-AU"/>
        </w:rPr>
        <w:t>(</w:t>
      </w:r>
      <w:r w:rsidR="004B7200" w:rsidRPr="00411F87">
        <w:rPr>
          <w:rFonts w:cs="Arial"/>
          <w:sz w:val="21"/>
          <w:szCs w:val="21"/>
          <w:lang w:val="en-AU"/>
        </w:rPr>
        <w:t xml:space="preserve">AUD </w:t>
      </w:r>
      <w:r w:rsidRPr="00411F87">
        <w:rPr>
          <w:rFonts w:cs="Arial"/>
          <w:sz w:val="21"/>
          <w:szCs w:val="21"/>
          <w:lang w:val="en-AU"/>
        </w:rPr>
        <w:t>$</w:t>
      </w:r>
      <w:r w:rsidR="004B7200" w:rsidRPr="00411F87">
        <w:rPr>
          <w:rFonts w:cs="Arial"/>
          <w:sz w:val="21"/>
          <w:szCs w:val="21"/>
          <w:lang w:val="en-AU"/>
        </w:rPr>
        <w:t>5,000</w:t>
      </w:r>
      <w:r w:rsidRPr="00411F87">
        <w:rPr>
          <w:rFonts w:cs="Arial"/>
          <w:sz w:val="21"/>
          <w:szCs w:val="21"/>
          <w:lang w:val="en-AU"/>
        </w:rPr>
        <w:t>)</w:t>
      </w:r>
      <w:r w:rsidR="004B7200" w:rsidRPr="00411F87">
        <w:rPr>
          <w:rFonts w:cs="Arial"/>
          <w:sz w:val="21"/>
          <w:szCs w:val="21"/>
          <w:lang w:val="en-AU"/>
        </w:rPr>
        <w:t xml:space="preserve"> are </w:t>
      </w:r>
      <w:r w:rsidRPr="00411F87">
        <w:rPr>
          <w:rFonts w:cs="Arial"/>
          <w:sz w:val="21"/>
          <w:szCs w:val="21"/>
          <w:lang w:val="en-AU"/>
        </w:rPr>
        <w:t xml:space="preserve">considered </w:t>
      </w:r>
      <w:r w:rsidR="004B7200" w:rsidRPr="00411F87">
        <w:rPr>
          <w:rFonts w:cs="Arial"/>
          <w:sz w:val="21"/>
          <w:szCs w:val="21"/>
          <w:lang w:val="en-AU"/>
        </w:rPr>
        <w:t>reportable non-financial assets</w:t>
      </w:r>
      <w:r w:rsidRPr="00411F87">
        <w:rPr>
          <w:rFonts w:cs="Arial"/>
          <w:sz w:val="21"/>
          <w:szCs w:val="21"/>
          <w:lang w:val="en-AU"/>
        </w:rPr>
        <w:t>. Assets acquired via a finance lease also</w:t>
      </w:r>
      <w:r w:rsidR="004B7200" w:rsidRPr="00411F87">
        <w:rPr>
          <w:rFonts w:cs="Arial"/>
          <w:sz w:val="21"/>
          <w:szCs w:val="21"/>
          <w:lang w:val="en-AU"/>
        </w:rPr>
        <w:t xml:space="preserve"> require approval under the CMP approval process.</w:t>
      </w:r>
    </w:p>
    <w:p w14:paraId="6B74F4F6" w14:textId="534E3DB2" w:rsidR="004B7200" w:rsidRPr="00411F87" w:rsidRDefault="004B7200" w:rsidP="00A02850">
      <w:pPr>
        <w:numPr>
          <w:ilvl w:val="0"/>
          <w:numId w:val="6"/>
        </w:numPr>
        <w:shd w:val="clear" w:color="auto" w:fill="FFFFFF"/>
        <w:rPr>
          <w:rFonts w:cs="Arial"/>
          <w:sz w:val="21"/>
          <w:szCs w:val="21"/>
          <w:lang w:val="en-AU"/>
        </w:rPr>
      </w:pPr>
      <w:r w:rsidRPr="00411F87">
        <w:rPr>
          <w:rFonts w:cs="Arial"/>
          <w:sz w:val="21"/>
          <w:szCs w:val="21"/>
          <w:lang w:val="en-AU"/>
        </w:rPr>
        <w:t>The decision to lease an asset is a complex one</w:t>
      </w:r>
      <w:r w:rsidR="00197547" w:rsidRPr="00411F87">
        <w:rPr>
          <w:rFonts w:cs="Arial"/>
          <w:sz w:val="21"/>
          <w:szCs w:val="21"/>
          <w:lang w:val="en-AU"/>
        </w:rPr>
        <w:t>,</w:t>
      </w:r>
      <w:r w:rsidRPr="00411F87">
        <w:rPr>
          <w:rFonts w:cs="Arial"/>
          <w:sz w:val="21"/>
          <w:szCs w:val="21"/>
          <w:lang w:val="en-AU"/>
        </w:rPr>
        <w:t xml:space="preserve"> and </w:t>
      </w:r>
      <w:r w:rsidR="00197547" w:rsidRPr="00411F87">
        <w:rPr>
          <w:rFonts w:cs="Arial"/>
          <w:sz w:val="21"/>
          <w:szCs w:val="21"/>
          <w:lang w:val="en-AU"/>
        </w:rPr>
        <w:t>agreement from the</w:t>
      </w:r>
      <w:r w:rsidRPr="00411F87">
        <w:rPr>
          <w:rFonts w:cs="Arial"/>
          <w:sz w:val="21"/>
          <w:szCs w:val="21"/>
          <w:lang w:val="en-AU"/>
        </w:rPr>
        <w:t xml:space="preserve"> C</w:t>
      </w:r>
      <w:r w:rsidR="00197547" w:rsidRPr="00411F87">
        <w:rPr>
          <w:rFonts w:cs="Arial"/>
          <w:sz w:val="21"/>
          <w:szCs w:val="21"/>
          <w:lang w:val="en-AU"/>
        </w:rPr>
        <w:t xml:space="preserve">hief </w:t>
      </w:r>
      <w:r w:rsidRPr="00411F87">
        <w:rPr>
          <w:rFonts w:cs="Arial"/>
          <w:sz w:val="21"/>
          <w:szCs w:val="21"/>
          <w:lang w:val="en-AU"/>
        </w:rPr>
        <w:t>F</w:t>
      </w:r>
      <w:r w:rsidR="00197547" w:rsidRPr="00411F87">
        <w:rPr>
          <w:rFonts w:cs="Arial"/>
          <w:sz w:val="21"/>
          <w:szCs w:val="21"/>
          <w:lang w:val="en-AU"/>
        </w:rPr>
        <w:t xml:space="preserve">inance </w:t>
      </w:r>
      <w:r w:rsidRPr="00411F87">
        <w:rPr>
          <w:rFonts w:cs="Arial"/>
          <w:sz w:val="21"/>
          <w:szCs w:val="21"/>
          <w:lang w:val="en-AU"/>
        </w:rPr>
        <w:t>O</w:t>
      </w:r>
      <w:r w:rsidR="00197547" w:rsidRPr="00411F87">
        <w:rPr>
          <w:rFonts w:cs="Arial"/>
          <w:sz w:val="21"/>
          <w:szCs w:val="21"/>
          <w:lang w:val="en-AU"/>
        </w:rPr>
        <w:t>fficer</w:t>
      </w:r>
      <w:r w:rsidRPr="00411F87">
        <w:rPr>
          <w:rFonts w:cs="Arial"/>
          <w:sz w:val="21"/>
          <w:szCs w:val="21"/>
          <w:lang w:val="en-AU"/>
        </w:rPr>
        <w:t xml:space="preserve"> </w:t>
      </w:r>
      <w:r w:rsidR="00197547" w:rsidRPr="00411F87">
        <w:rPr>
          <w:rFonts w:cs="Arial"/>
          <w:sz w:val="21"/>
          <w:szCs w:val="21"/>
          <w:lang w:val="en-AU"/>
        </w:rPr>
        <w:t xml:space="preserve">must be obtained </w:t>
      </w:r>
      <w:r w:rsidRPr="00411F87">
        <w:rPr>
          <w:rFonts w:cs="Arial"/>
          <w:sz w:val="21"/>
          <w:szCs w:val="21"/>
          <w:lang w:val="en-AU"/>
        </w:rPr>
        <w:t>before entering into any leasing arrangement</w:t>
      </w:r>
      <w:r w:rsidR="00197547" w:rsidRPr="00411F87">
        <w:rPr>
          <w:rFonts w:cs="Arial"/>
          <w:sz w:val="21"/>
          <w:szCs w:val="21"/>
          <w:lang w:val="en-AU"/>
        </w:rPr>
        <w:t>(s)</w:t>
      </w:r>
      <w:r w:rsidRPr="00411F87">
        <w:rPr>
          <w:rFonts w:cs="Arial"/>
          <w:sz w:val="21"/>
          <w:szCs w:val="21"/>
          <w:lang w:val="en-AU"/>
        </w:rPr>
        <w:t xml:space="preserve">. </w:t>
      </w:r>
      <w:r w:rsidR="00A02850" w:rsidRPr="00411F87">
        <w:rPr>
          <w:rFonts w:cs="Arial"/>
          <w:sz w:val="21"/>
          <w:szCs w:val="21"/>
          <w:lang w:val="en-AU"/>
        </w:rPr>
        <w:t>Given that leasing is a complex area of accounting, subject</w:t>
      </w:r>
      <w:r w:rsidR="00616991" w:rsidRPr="00411F87">
        <w:rPr>
          <w:rFonts w:cs="Arial"/>
          <w:sz w:val="21"/>
          <w:szCs w:val="21"/>
          <w:lang w:val="en-AU"/>
        </w:rPr>
        <w:t xml:space="preserve"> to the requirements of AASB 16</w:t>
      </w:r>
      <w:r w:rsidR="00A02850" w:rsidRPr="00411F87">
        <w:rPr>
          <w:rFonts w:cs="Arial"/>
          <w:sz w:val="21"/>
          <w:szCs w:val="21"/>
          <w:lang w:val="en-AU"/>
        </w:rPr>
        <w:t xml:space="preserve"> </w:t>
      </w:r>
      <w:r w:rsidR="00B37AAD" w:rsidRPr="00411F87">
        <w:rPr>
          <w:rFonts w:cs="Arial"/>
          <w:sz w:val="21"/>
          <w:szCs w:val="21"/>
          <w:lang w:val="en-AU"/>
        </w:rPr>
        <w:t>‘</w:t>
      </w:r>
      <w:r w:rsidR="00A02850" w:rsidRPr="00411F87">
        <w:rPr>
          <w:rFonts w:cs="Arial"/>
          <w:sz w:val="21"/>
          <w:szCs w:val="21"/>
          <w:lang w:val="en-AU"/>
        </w:rPr>
        <w:t>Leases</w:t>
      </w:r>
      <w:r w:rsidR="00B37AAD" w:rsidRPr="00411F87">
        <w:rPr>
          <w:rFonts w:cs="Arial"/>
          <w:sz w:val="21"/>
          <w:szCs w:val="21"/>
          <w:lang w:val="en-AU"/>
        </w:rPr>
        <w:t>’</w:t>
      </w:r>
      <w:r w:rsidR="00A02850" w:rsidRPr="00411F87">
        <w:rPr>
          <w:rFonts w:cs="Arial"/>
          <w:sz w:val="21"/>
          <w:szCs w:val="21"/>
          <w:lang w:val="en-AU"/>
        </w:rPr>
        <w:t>,</w:t>
      </w:r>
      <w:r w:rsidR="00786879" w:rsidRPr="00411F87">
        <w:rPr>
          <w:rFonts w:cs="Arial"/>
          <w:sz w:val="21"/>
          <w:szCs w:val="21"/>
          <w:lang w:val="en-AU"/>
        </w:rPr>
        <w:t xml:space="preserve"> </w:t>
      </w:r>
      <w:r w:rsidR="00A02850" w:rsidRPr="00411F87">
        <w:rPr>
          <w:rFonts w:cs="Arial"/>
          <w:sz w:val="21"/>
          <w:szCs w:val="21"/>
          <w:lang w:val="en-AU"/>
        </w:rPr>
        <w:t>l</w:t>
      </w:r>
      <w:r w:rsidRPr="00411F87">
        <w:rPr>
          <w:rFonts w:cs="Arial"/>
          <w:sz w:val="21"/>
          <w:szCs w:val="21"/>
          <w:lang w:val="en-AU"/>
        </w:rPr>
        <w:t xml:space="preserve">easing should not be seen as a way to by-pass </w:t>
      </w:r>
      <w:r w:rsidR="00197547" w:rsidRPr="00411F87">
        <w:rPr>
          <w:rFonts w:cs="Arial"/>
          <w:sz w:val="21"/>
          <w:szCs w:val="21"/>
          <w:lang w:val="en-AU"/>
        </w:rPr>
        <w:t xml:space="preserve">the agency’s </w:t>
      </w:r>
      <w:r w:rsidRPr="00411F87">
        <w:rPr>
          <w:rFonts w:cs="Arial"/>
          <w:sz w:val="21"/>
          <w:szCs w:val="21"/>
          <w:lang w:val="en-AU"/>
        </w:rPr>
        <w:t>capital processes.</w:t>
      </w:r>
    </w:p>
    <w:p w14:paraId="6B74F4F7" w14:textId="13B02A0A" w:rsidR="004B7200" w:rsidRPr="00EC5577" w:rsidRDefault="004B7200" w:rsidP="00ED4539">
      <w:pPr>
        <w:pStyle w:val="Heading3"/>
        <w:rPr>
          <w:rFonts w:cs="Arial"/>
        </w:rPr>
      </w:pPr>
      <w:bookmarkStart w:id="16" w:name="_Toc417380700"/>
      <w:r w:rsidRPr="00F41D76">
        <w:rPr>
          <w:rFonts w:cs="Arial"/>
        </w:rPr>
        <w:t>Asset</w:t>
      </w:r>
      <w:r w:rsidR="00ED4539" w:rsidRPr="00F41D76">
        <w:rPr>
          <w:rFonts w:cs="Arial"/>
        </w:rPr>
        <w:t xml:space="preserve"> operation</w:t>
      </w:r>
      <w:r w:rsidR="003A31B0" w:rsidRPr="00F41D76">
        <w:rPr>
          <w:rFonts w:cs="Arial"/>
        </w:rPr>
        <w:t xml:space="preserve"> and maintenance</w:t>
      </w:r>
      <w:bookmarkEnd w:id="16"/>
      <w:r w:rsidR="008C6E5F">
        <w:rPr>
          <w:rFonts w:cs="Arial"/>
        </w:rPr>
        <w:t xml:space="preserve"> (subsequent expenditure)</w:t>
      </w:r>
    </w:p>
    <w:p w14:paraId="6B74F4F8" w14:textId="71015014" w:rsidR="004C511C" w:rsidRPr="007673BD" w:rsidRDefault="004C511C" w:rsidP="004C511C">
      <w:pPr>
        <w:pStyle w:val="ListParagraph"/>
        <w:numPr>
          <w:ilvl w:val="0"/>
          <w:numId w:val="6"/>
        </w:numPr>
        <w:contextualSpacing w:val="0"/>
        <w:rPr>
          <w:rFonts w:cs="Arial"/>
          <w:sz w:val="21"/>
          <w:szCs w:val="21"/>
          <w:lang w:val="en-AU"/>
        </w:rPr>
      </w:pPr>
      <w:r w:rsidRPr="007673BD">
        <w:rPr>
          <w:rFonts w:cs="Arial"/>
          <w:sz w:val="21"/>
          <w:szCs w:val="21"/>
          <w:lang w:val="en-AU"/>
        </w:rPr>
        <w:t xml:space="preserve">Maintaining the service potential of assets over their useful life involves day-to-day decisions concerning the risks associated with </w:t>
      </w:r>
      <w:r w:rsidR="00F228CA" w:rsidRPr="007673BD">
        <w:rPr>
          <w:rFonts w:cs="Arial"/>
          <w:sz w:val="21"/>
          <w:szCs w:val="21"/>
          <w:lang w:val="en-AU"/>
        </w:rPr>
        <w:t xml:space="preserve">unexpected failure or non-performance of an </w:t>
      </w:r>
      <w:r w:rsidRPr="007673BD">
        <w:rPr>
          <w:rFonts w:cs="Arial"/>
          <w:sz w:val="21"/>
          <w:szCs w:val="21"/>
          <w:lang w:val="en-AU"/>
        </w:rPr>
        <w:t>asset</w:t>
      </w:r>
      <w:r w:rsidR="008C6E5F" w:rsidRPr="007673BD">
        <w:rPr>
          <w:rFonts w:cs="Arial"/>
          <w:sz w:val="21"/>
          <w:szCs w:val="21"/>
          <w:lang w:val="en-AU"/>
        </w:rPr>
        <w:t>.</w:t>
      </w:r>
      <w:r w:rsidRPr="007673BD">
        <w:rPr>
          <w:rFonts w:cs="Arial"/>
          <w:sz w:val="21"/>
          <w:szCs w:val="21"/>
          <w:lang w:val="en-AU"/>
        </w:rPr>
        <w:t xml:space="preserve"> The decision to repair, maintain, upgrade and/or replace an asset</w:t>
      </w:r>
      <w:r w:rsidR="00F228CA" w:rsidRPr="007673BD">
        <w:rPr>
          <w:rFonts w:cs="Arial"/>
          <w:sz w:val="21"/>
          <w:szCs w:val="21"/>
          <w:lang w:val="en-AU"/>
        </w:rPr>
        <w:t xml:space="preserve"> therefore</w:t>
      </w:r>
      <w:r w:rsidRPr="007673BD">
        <w:rPr>
          <w:rFonts w:cs="Arial"/>
          <w:sz w:val="21"/>
          <w:szCs w:val="21"/>
          <w:lang w:val="en-AU"/>
        </w:rPr>
        <w:t xml:space="preserve"> requires </w:t>
      </w:r>
      <w:r w:rsidR="00F228CA" w:rsidRPr="007673BD">
        <w:rPr>
          <w:rFonts w:cs="Arial"/>
          <w:sz w:val="21"/>
          <w:szCs w:val="21"/>
          <w:lang w:val="en-AU"/>
        </w:rPr>
        <w:t>consideration of</w:t>
      </w:r>
      <w:r w:rsidRPr="007673BD">
        <w:rPr>
          <w:rFonts w:cs="Arial"/>
          <w:sz w:val="21"/>
          <w:szCs w:val="21"/>
          <w:lang w:val="en-AU"/>
        </w:rPr>
        <w:t xml:space="preserve"> </w:t>
      </w:r>
      <w:r w:rsidR="00F228CA" w:rsidRPr="007673BD">
        <w:rPr>
          <w:rFonts w:cs="Arial"/>
          <w:sz w:val="21"/>
          <w:szCs w:val="21"/>
          <w:lang w:val="en-AU"/>
        </w:rPr>
        <w:t>this</w:t>
      </w:r>
      <w:r w:rsidRPr="007673BD">
        <w:rPr>
          <w:rFonts w:cs="Arial"/>
          <w:sz w:val="21"/>
          <w:szCs w:val="21"/>
          <w:lang w:val="en-AU"/>
        </w:rPr>
        <w:t xml:space="preserve"> risk.</w:t>
      </w:r>
    </w:p>
    <w:p w14:paraId="6B74F4F9" w14:textId="0B4AB1E1" w:rsidR="004C511C" w:rsidRPr="007673BD" w:rsidRDefault="004C511C" w:rsidP="004C511C">
      <w:pPr>
        <w:numPr>
          <w:ilvl w:val="0"/>
          <w:numId w:val="6"/>
        </w:numPr>
        <w:shd w:val="clear" w:color="auto" w:fill="FFFFFF"/>
        <w:rPr>
          <w:rFonts w:cs="Arial"/>
          <w:sz w:val="21"/>
          <w:szCs w:val="21"/>
          <w:lang w:val="en-AU"/>
        </w:rPr>
      </w:pPr>
      <w:r w:rsidRPr="007673BD">
        <w:rPr>
          <w:rFonts w:cs="Arial"/>
          <w:sz w:val="21"/>
          <w:szCs w:val="21"/>
          <w:lang w:val="en-AU"/>
        </w:rPr>
        <w:t>Asset operations include accountabilit</w:t>
      </w:r>
      <w:r w:rsidR="00F228CA" w:rsidRPr="007673BD">
        <w:rPr>
          <w:rFonts w:cs="Arial"/>
          <w:sz w:val="21"/>
          <w:szCs w:val="21"/>
          <w:lang w:val="en-AU"/>
        </w:rPr>
        <w:t>ies and</w:t>
      </w:r>
      <w:r w:rsidRPr="007673BD">
        <w:rPr>
          <w:rFonts w:cs="Arial"/>
          <w:sz w:val="21"/>
          <w:szCs w:val="21"/>
          <w:lang w:val="en-AU"/>
        </w:rPr>
        <w:t xml:space="preserve"> responsibilities, such as stocktaking and control over </w:t>
      </w:r>
      <w:hyperlink w:anchor="PortableandAttractive" w:history="1">
        <w:r w:rsidRPr="007673BD">
          <w:rPr>
            <w:rStyle w:val="Hyperlink"/>
            <w:rFonts w:cs="Arial"/>
            <w:i/>
            <w:sz w:val="21"/>
            <w:szCs w:val="21"/>
            <w:lang w:val="en-AU"/>
          </w:rPr>
          <w:t>portable and attractive items</w:t>
        </w:r>
      </w:hyperlink>
      <w:r w:rsidRPr="007673BD">
        <w:rPr>
          <w:rFonts w:cs="Arial"/>
          <w:sz w:val="21"/>
          <w:szCs w:val="21"/>
          <w:lang w:val="en-AU"/>
        </w:rPr>
        <w:t xml:space="preserve">. Accounting decisions such as </w:t>
      </w:r>
      <w:r w:rsidR="00F228CA" w:rsidRPr="007673BD">
        <w:rPr>
          <w:rFonts w:cs="Arial"/>
          <w:sz w:val="21"/>
          <w:szCs w:val="21"/>
          <w:lang w:val="en-AU"/>
        </w:rPr>
        <w:t xml:space="preserve">determining </w:t>
      </w:r>
      <w:r w:rsidRPr="007673BD">
        <w:rPr>
          <w:rFonts w:cs="Arial"/>
          <w:sz w:val="21"/>
          <w:szCs w:val="21"/>
          <w:lang w:val="en-AU"/>
        </w:rPr>
        <w:t xml:space="preserve">expected useful life, revaluation and impairment </w:t>
      </w:r>
      <w:r w:rsidR="00F228CA" w:rsidRPr="007673BD">
        <w:rPr>
          <w:rFonts w:cs="Arial"/>
          <w:sz w:val="21"/>
          <w:szCs w:val="21"/>
          <w:lang w:val="en-AU"/>
        </w:rPr>
        <w:t xml:space="preserve">of assets also </w:t>
      </w:r>
      <w:r w:rsidRPr="007673BD">
        <w:rPr>
          <w:rFonts w:cs="Arial"/>
          <w:sz w:val="21"/>
          <w:szCs w:val="21"/>
          <w:lang w:val="en-AU"/>
        </w:rPr>
        <w:t>need to be continuously reviewed over the course of an asset’s life</w:t>
      </w:r>
      <w:r w:rsidR="008C6E5F" w:rsidRPr="007673BD">
        <w:rPr>
          <w:rFonts w:cs="Arial"/>
          <w:sz w:val="21"/>
          <w:szCs w:val="21"/>
          <w:lang w:val="en-AU"/>
        </w:rPr>
        <w:t>.</w:t>
      </w:r>
    </w:p>
    <w:p w14:paraId="6B74F4FA" w14:textId="77777777" w:rsidR="00AA4569" w:rsidRPr="007673BD" w:rsidRDefault="004B7200" w:rsidP="00AA4569">
      <w:pPr>
        <w:numPr>
          <w:ilvl w:val="0"/>
          <w:numId w:val="6"/>
        </w:numPr>
        <w:shd w:val="clear" w:color="auto" w:fill="FFFFFF"/>
        <w:rPr>
          <w:rFonts w:cs="Arial"/>
          <w:sz w:val="21"/>
          <w:szCs w:val="21"/>
          <w:lang w:val="en-AU"/>
        </w:rPr>
      </w:pPr>
      <w:r w:rsidRPr="007673BD">
        <w:rPr>
          <w:rFonts w:cs="Arial"/>
          <w:sz w:val="21"/>
          <w:szCs w:val="21"/>
          <w:lang w:val="en-AU"/>
        </w:rPr>
        <w:t xml:space="preserve">The </w:t>
      </w:r>
      <w:r w:rsidR="00AA4569" w:rsidRPr="007673BD">
        <w:rPr>
          <w:rFonts w:cs="Arial"/>
          <w:sz w:val="21"/>
          <w:szCs w:val="21"/>
          <w:lang w:val="en-AU"/>
        </w:rPr>
        <w:t>preservation</w:t>
      </w:r>
      <w:r w:rsidRPr="007673BD">
        <w:rPr>
          <w:rFonts w:cs="Arial"/>
          <w:sz w:val="21"/>
          <w:szCs w:val="21"/>
          <w:lang w:val="en-AU"/>
        </w:rPr>
        <w:t xml:space="preserve"> or restoration of an asset’s service potential through repairs and maintenance is a day-to-day cost of operation, </w:t>
      </w:r>
      <w:r w:rsidR="00AA4569" w:rsidRPr="007673BD">
        <w:rPr>
          <w:rFonts w:cs="Arial"/>
          <w:sz w:val="21"/>
          <w:szCs w:val="21"/>
          <w:lang w:val="en-AU"/>
        </w:rPr>
        <w:t xml:space="preserve">and </w:t>
      </w:r>
      <w:r w:rsidRPr="007673BD">
        <w:rPr>
          <w:rFonts w:cs="Arial"/>
          <w:sz w:val="21"/>
          <w:szCs w:val="21"/>
          <w:lang w:val="en-AU"/>
        </w:rPr>
        <w:t xml:space="preserve">it is an expense </w:t>
      </w:r>
      <w:r w:rsidR="00AA4569" w:rsidRPr="007673BD">
        <w:rPr>
          <w:rFonts w:cs="Arial"/>
          <w:sz w:val="21"/>
          <w:szCs w:val="21"/>
          <w:lang w:val="en-AU"/>
        </w:rPr>
        <w:t xml:space="preserve">that </w:t>
      </w:r>
      <w:r w:rsidRPr="007673BD">
        <w:rPr>
          <w:rFonts w:cs="Arial"/>
          <w:sz w:val="21"/>
          <w:szCs w:val="21"/>
          <w:lang w:val="en-AU"/>
        </w:rPr>
        <w:t xml:space="preserve">should not be capitalised. </w:t>
      </w:r>
    </w:p>
    <w:p w14:paraId="6B74F4FB" w14:textId="77777777" w:rsidR="004B7200" w:rsidRPr="007673BD" w:rsidRDefault="00AA4569" w:rsidP="00AA4569">
      <w:pPr>
        <w:shd w:val="clear" w:color="auto" w:fill="FFFFFF"/>
        <w:ind w:left="567"/>
        <w:rPr>
          <w:rFonts w:cs="Arial"/>
          <w:sz w:val="21"/>
          <w:szCs w:val="21"/>
          <w:lang w:val="en-AU"/>
        </w:rPr>
      </w:pPr>
      <w:r w:rsidRPr="007673BD">
        <w:rPr>
          <w:rFonts w:cs="Arial"/>
          <w:b/>
          <w:color w:val="C00000"/>
          <w:sz w:val="21"/>
          <w:szCs w:val="21"/>
          <w:lang w:val="en-AU"/>
        </w:rPr>
        <w:t>Note</w:t>
      </w:r>
      <w:r w:rsidRPr="007673BD">
        <w:rPr>
          <w:rFonts w:cs="Arial"/>
          <w:sz w:val="21"/>
          <w:szCs w:val="21"/>
          <w:lang w:val="en-AU"/>
        </w:rPr>
        <w:t xml:space="preserve">: </w:t>
      </w:r>
      <w:r w:rsidR="004B7200" w:rsidRPr="007673BD">
        <w:rPr>
          <w:rFonts w:cs="Arial"/>
          <w:sz w:val="21"/>
          <w:szCs w:val="21"/>
          <w:lang w:val="en-AU"/>
        </w:rPr>
        <w:t xml:space="preserve">“Like for like” replacement of </w:t>
      </w:r>
      <w:r w:rsidRPr="007673BD">
        <w:rPr>
          <w:rFonts w:cs="Arial"/>
          <w:sz w:val="21"/>
          <w:szCs w:val="21"/>
          <w:lang w:val="en-AU"/>
        </w:rPr>
        <w:t xml:space="preserve">the </w:t>
      </w:r>
      <w:r w:rsidR="004B7200" w:rsidRPr="007673BD">
        <w:rPr>
          <w:rFonts w:cs="Arial"/>
          <w:sz w:val="21"/>
          <w:szCs w:val="21"/>
          <w:lang w:val="en-AU"/>
        </w:rPr>
        <w:t xml:space="preserve">components of an asset </w:t>
      </w:r>
      <w:r w:rsidRPr="007673BD">
        <w:rPr>
          <w:rFonts w:cs="Arial"/>
          <w:sz w:val="21"/>
          <w:szCs w:val="21"/>
          <w:lang w:val="en-AU"/>
        </w:rPr>
        <w:t xml:space="preserve">are </w:t>
      </w:r>
      <w:r w:rsidR="004B7200" w:rsidRPr="007673BD">
        <w:rPr>
          <w:rFonts w:cs="Arial"/>
          <w:sz w:val="21"/>
          <w:szCs w:val="21"/>
          <w:lang w:val="en-AU"/>
        </w:rPr>
        <w:t xml:space="preserve">considered </w:t>
      </w:r>
      <w:r w:rsidRPr="007673BD">
        <w:rPr>
          <w:rFonts w:cs="Arial"/>
          <w:sz w:val="21"/>
          <w:szCs w:val="21"/>
          <w:lang w:val="en-AU"/>
        </w:rPr>
        <w:t>‘</w:t>
      </w:r>
      <w:r w:rsidR="004B7200" w:rsidRPr="007673BD">
        <w:rPr>
          <w:rFonts w:cs="Arial"/>
          <w:sz w:val="21"/>
          <w:szCs w:val="21"/>
          <w:lang w:val="en-AU"/>
        </w:rPr>
        <w:t>repairs and maintenance</w:t>
      </w:r>
      <w:r w:rsidRPr="007673BD">
        <w:rPr>
          <w:rFonts w:cs="Arial"/>
          <w:sz w:val="21"/>
          <w:szCs w:val="21"/>
          <w:lang w:val="en-AU"/>
        </w:rPr>
        <w:t>’</w:t>
      </w:r>
      <w:r w:rsidR="004B7200" w:rsidRPr="007673BD">
        <w:rPr>
          <w:rFonts w:cs="Arial"/>
          <w:sz w:val="21"/>
          <w:szCs w:val="21"/>
          <w:lang w:val="en-AU"/>
        </w:rPr>
        <w:t xml:space="preserve"> and the</w:t>
      </w:r>
      <w:r w:rsidRPr="007673BD">
        <w:rPr>
          <w:rFonts w:cs="Arial"/>
          <w:sz w:val="21"/>
          <w:szCs w:val="21"/>
          <w:lang w:val="en-AU"/>
        </w:rPr>
        <w:t>ir</w:t>
      </w:r>
      <w:r w:rsidR="004B7200" w:rsidRPr="007673BD">
        <w:rPr>
          <w:rFonts w:cs="Arial"/>
          <w:sz w:val="21"/>
          <w:szCs w:val="21"/>
          <w:lang w:val="en-AU"/>
        </w:rPr>
        <w:t xml:space="preserve"> cost should be expensed</w:t>
      </w:r>
      <w:r w:rsidRPr="007673BD">
        <w:rPr>
          <w:rFonts w:cs="Arial"/>
          <w:sz w:val="21"/>
          <w:szCs w:val="21"/>
          <w:lang w:val="en-AU"/>
        </w:rPr>
        <w:t>, rather than capitalised</w:t>
      </w:r>
      <w:r w:rsidR="004B7200" w:rsidRPr="007673BD">
        <w:rPr>
          <w:rFonts w:cs="Arial"/>
          <w:sz w:val="21"/>
          <w:szCs w:val="21"/>
          <w:lang w:val="en-AU"/>
        </w:rPr>
        <w:t>.</w:t>
      </w:r>
    </w:p>
    <w:p w14:paraId="58A6CEBC" w14:textId="184E7A3A" w:rsidR="00D630F3" w:rsidRPr="007673BD" w:rsidRDefault="004B7200" w:rsidP="00FD2482">
      <w:pPr>
        <w:numPr>
          <w:ilvl w:val="0"/>
          <w:numId w:val="6"/>
        </w:numPr>
        <w:shd w:val="clear" w:color="auto" w:fill="FFFFFF"/>
        <w:rPr>
          <w:rFonts w:cs="Arial"/>
          <w:sz w:val="21"/>
          <w:szCs w:val="21"/>
          <w:lang w:val="en-AU"/>
        </w:rPr>
      </w:pPr>
      <w:r w:rsidRPr="007673BD">
        <w:rPr>
          <w:rFonts w:cs="Arial"/>
          <w:sz w:val="21"/>
          <w:szCs w:val="21"/>
          <w:lang w:val="en-AU"/>
        </w:rPr>
        <w:t xml:space="preserve">Where </w:t>
      </w:r>
      <w:r w:rsidR="008C6E5F" w:rsidRPr="007673BD">
        <w:rPr>
          <w:rFonts w:cs="Arial"/>
          <w:sz w:val="21"/>
          <w:szCs w:val="21"/>
          <w:lang w:val="en-AU"/>
        </w:rPr>
        <w:t xml:space="preserve">subsequent </w:t>
      </w:r>
      <w:r w:rsidRPr="007673BD">
        <w:rPr>
          <w:rFonts w:cs="Arial"/>
          <w:sz w:val="21"/>
          <w:szCs w:val="21"/>
          <w:lang w:val="en-AU"/>
        </w:rPr>
        <w:t>expenditure</w:t>
      </w:r>
      <w:r w:rsidR="00FD2482" w:rsidRPr="007673BD">
        <w:rPr>
          <w:rFonts w:cs="Arial"/>
          <w:sz w:val="21"/>
          <w:szCs w:val="21"/>
          <w:lang w:val="en-AU"/>
        </w:rPr>
        <w:t xml:space="preserve"> on the asset i</w:t>
      </w:r>
      <w:r w:rsidR="008C6E5F" w:rsidRPr="007673BD">
        <w:rPr>
          <w:rFonts w:eastAsia="Times New Roman" w:cs="Arial"/>
          <w:sz w:val="21"/>
          <w:szCs w:val="21"/>
          <w:lang w:val="en-AU" w:eastAsia="en-AU"/>
        </w:rPr>
        <w:t xml:space="preserve">s likely to derive future economic benefit </w:t>
      </w:r>
      <w:r w:rsidR="00FD2482" w:rsidRPr="007673BD">
        <w:rPr>
          <w:rFonts w:eastAsia="Times New Roman" w:cs="Arial"/>
          <w:sz w:val="21"/>
          <w:szCs w:val="21"/>
          <w:lang w:val="en-AU" w:eastAsia="en-AU"/>
        </w:rPr>
        <w:t>for the agency</w:t>
      </w:r>
      <w:r w:rsidR="008C6E5F" w:rsidRPr="007673BD">
        <w:rPr>
          <w:rFonts w:eastAsia="Times New Roman" w:cs="Arial"/>
          <w:sz w:val="21"/>
          <w:szCs w:val="21"/>
          <w:lang w:val="en-AU" w:eastAsia="en-AU"/>
        </w:rPr>
        <w:t>, and can be reliably measured</w:t>
      </w:r>
      <w:r w:rsidRPr="007673BD">
        <w:rPr>
          <w:rFonts w:cs="Arial"/>
          <w:sz w:val="21"/>
          <w:szCs w:val="21"/>
          <w:lang w:val="en-AU"/>
        </w:rPr>
        <w:t xml:space="preserve">, </w:t>
      </w:r>
      <w:r w:rsidR="00FD2482" w:rsidRPr="007673BD">
        <w:rPr>
          <w:rFonts w:cs="Arial"/>
          <w:sz w:val="21"/>
          <w:szCs w:val="21"/>
          <w:lang w:val="en-AU"/>
        </w:rPr>
        <w:t>t</w:t>
      </w:r>
      <w:r w:rsidR="00AA4569" w:rsidRPr="007673BD">
        <w:rPr>
          <w:rFonts w:cs="Arial"/>
          <w:sz w:val="21"/>
          <w:szCs w:val="21"/>
          <w:lang w:val="en-AU"/>
        </w:rPr>
        <w:t>his kind of</w:t>
      </w:r>
      <w:r w:rsidRPr="007673BD">
        <w:rPr>
          <w:rFonts w:cs="Arial"/>
          <w:sz w:val="21"/>
          <w:szCs w:val="21"/>
          <w:lang w:val="en-AU"/>
        </w:rPr>
        <w:t xml:space="preserve"> expenditure should be capitalised</w:t>
      </w:r>
      <w:bookmarkStart w:id="17" w:name="_Ref436122082"/>
      <w:r w:rsidR="00FD2482" w:rsidRPr="007673BD">
        <w:rPr>
          <w:rStyle w:val="EndnoteReference"/>
          <w:rFonts w:cs="Arial"/>
          <w:sz w:val="21"/>
          <w:szCs w:val="21"/>
          <w:lang w:val="en-AU"/>
        </w:rPr>
        <w:endnoteReference w:id="2"/>
      </w:r>
      <w:bookmarkEnd w:id="17"/>
      <w:r w:rsidRPr="007673BD">
        <w:rPr>
          <w:rFonts w:cs="Arial"/>
          <w:sz w:val="21"/>
          <w:szCs w:val="21"/>
          <w:lang w:val="en-AU"/>
        </w:rPr>
        <w:t>.</w:t>
      </w:r>
      <w:r w:rsidR="00FD2482" w:rsidRPr="007673BD">
        <w:rPr>
          <w:rFonts w:cs="Arial"/>
          <w:sz w:val="21"/>
          <w:szCs w:val="21"/>
          <w:lang w:val="en-AU"/>
        </w:rPr>
        <w:t xml:space="preserve"> </w:t>
      </w:r>
    </w:p>
    <w:p w14:paraId="36600F40" w14:textId="290EF713" w:rsidR="00FD2482" w:rsidRPr="007673BD" w:rsidRDefault="00FD2482" w:rsidP="00FD2482">
      <w:pPr>
        <w:numPr>
          <w:ilvl w:val="0"/>
          <w:numId w:val="6"/>
        </w:numPr>
        <w:shd w:val="clear" w:color="auto" w:fill="FFFFFF"/>
        <w:rPr>
          <w:rFonts w:cs="Arial"/>
          <w:sz w:val="21"/>
          <w:szCs w:val="21"/>
          <w:lang w:val="en-AU"/>
        </w:rPr>
      </w:pPr>
      <w:r w:rsidRPr="007673BD">
        <w:rPr>
          <w:rFonts w:cs="Arial"/>
          <w:sz w:val="21"/>
          <w:szCs w:val="21"/>
          <w:lang w:val="en-AU"/>
        </w:rPr>
        <w:t>Generally, future economic benefit may be derived when</w:t>
      </w:r>
      <w:r w:rsidR="00D630F3" w:rsidRPr="007673BD">
        <w:rPr>
          <w:rFonts w:cs="Arial"/>
          <w:sz w:val="21"/>
          <w:szCs w:val="21"/>
          <w:lang w:val="en-AU"/>
        </w:rPr>
        <w:fldChar w:fldCharType="begin"/>
      </w:r>
      <w:r w:rsidR="00D630F3" w:rsidRPr="007673BD">
        <w:rPr>
          <w:rFonts w:cs="Arial"/>
          <w:sz w:val="21"/>
          <w:szCs w:val="21"/>
          <w:lang w:val="en-AU"/>
        </w:rPr>
        <w:instrText xml:space="preserve"> NOTEREF _Ref436122082 \f \h </w:instrText>
      </w:r>
      <w:r w:rsidR="00A25672" w:rsidRPr="007673BD">
        <w:rPr>
          <w:rFonts w:cs="Arial"/>
          <w:sz w:val="21"/>
          <w:szCs w:val="21"/>
          <w:lang w:val="en-AU"/>
        </w:rPr>
        <w:instrText xml:space="preserve"> \* MERGEFORMAT </w:instrText>
      </w:r>
      <w:r w:rsidR="00D630F3" w:rsidRPr="007673BD">
        <w:rPr>
          <w:rFonts w:cs="Arial"/>
          <w:sz w:val="21"/>
          <w:szCs w:val="21"/>
          <w:lang w:val="en-AU"/>
        </w:rPr>
      </w:r>
      <w:r w:rsidR="00D630F3" w:rsidRPr="007673BD">
        <w:rPr>
          <w:rFonts w:cs="Arial"/>
          <w:sz w:val="21"/>
          <w:szCs w:val="21"/>
          <w:lang w:val="en-AU"/>
        </w:rPr>
        <w:fldChar w:fldCharType="separate"/>
      </w:r>
      <w:r w:rsidR="00A1335C" w:rsidRPr="00A1335C">
        <w:rPr>
          <w:rStyle w:val="EndnoteReference"/>
          <w:sz w:val="21"/>
          <w:szCs w:val="21"/>
        </w:rPr>
        <w:t>1</w:t>
      </w:r>
      <w:r w:rsidR="00D630F3" w:rsidRPr="007673BD">
        <w:rPr>
          <w:rFonts w:cs="Arial"/>
          <w:sz w:val="21"/>
          <w:szCs w:val="21"/>
          <w:lang w:val="en-AU"/>
        </w:rPr>
        <w:fldChar w:fldCharType="end"/>
      </w:r>
      <w:r w:rsidRPr="007673BD">
        <w:rPr>
          <w:rFonts w:cs="Arial"/>
          <w:sz w:val="21"/>
          <w:szCs w:val="21"/>
          <w:lang w:val="en-AU"/>
        </w:rPr>
        <w:t>:</w:t>
      </w:r>
    </w:p>
    <w:p w14:paraId="3B227E0A" w14:textId="00ACAD01" w:rsidR="00FD2482" w:rsidRPr="007673BD" w:rsidRDefault="00D630F3" w:rsidP="00FD2482">
      <w:pPr>
        <w:numPr>
          <w:ilvl w:val="1"/>
          <w:numId w:val="6"/>
        </w:numPr>
        <w:shd w:val="clear" w:color="auto" w:fill="FFFFFF"/>
        <w:rPr>
          <w:rFonts w:cs="Arial"/>
          <w:sz w:val="21"/>
          <w:szCs w:val="21"/>
          <w:lang w:val="en-AU"/>
        </w:rPr>
      </w:pPr>
      <w:r w:rsidRPr="007673BD">
        <w:rPr>
          <w:rFonts w:cs="Arial"/>
          <w:sz w:val="21"/>
          <w:szCs w:val="21"/>
          <w:lang w:val="en-AU"/>
        </w:rPr>
        <w:t>an asset is e</w:t>
      </w:r>
      <w:r w:rsidR="00FD2482" w:rsidRPr="007673BD">
        <w:rPr>
          <w:rFonts w:cs="Arial"/>
          <w:sz w:val="21"/>
          <w:szCs w:val="21"/>
          <w:lang w:val="en-AU"/>
        </w:rPr>
        <w:t xml:space="preserve">nhanced - </w:t>
      </w:r>
      <w:r w:rsidRPr="007673BD">
        <w:rPr>
          <w:rFonts w:cs="Arial"/>
          <w:sz w:val="21"/>
          <w:szCs w:val="21"/>
          <w:lang w:val="en-AU"/>
        </w:rPr>
        <w:t>that is, subsequent expenditure results in an increase in the assets useful life, capacity, quality, or results in a reduction in operational costs</w:t>
      </w:r>
    </w:p>
    <w:p w14:paraId="2CF77CB1" w14:textId="63B832AA" w:rsidR="00D630F3" w:rsidRPr="007673BD" w:rsidRDefault="00767B60" w:rsidP="00FD2482">
      <w:pPr>
        <w:numPr>
          <w:ilvl w:val="1"/>
          <w:numId w:val="6"/>
        </w:numPr>
        <w:shd w:val="clear" w:color="auto" w:fill="FFFFFF"/>
        <w:rPr>
          <w:rFonts w:cs="Arial"/>
          <w:sz w:val="21"/>
          <w:szCs w:val="21"/>
          <w:lang w:val="en-AU"/>
        </w:rPr>
      </w:pPr>
      <w:r w:rsidRPr="007673BD">
        <w:rPr>
          <w:rFonts w:cs="Arial"/>
          <w:sz w:val="21"/>
          <w:szCs w:val="21"/>
          <w:lang w:val="en-AU"/>
        </w:rPr>
        <w:t>has major parts replaced (the replaced part should be derecognised and the replacement part capitalised as part of the fixed asset)</w:t>
      </w:r>
      <w:r w:rsidR="00D630F3" w:rsidRPr="007673BD">
        <w:rPr>
          <w:rFonts w:cs="Arial"/>
          <w:sz w:val="21"/>
          <w:szCs w:val="21"/>
          <w:lang w:val="en-AU"/>
        </w:rPr>
        <w:t xml:space="preserve"> </w:t>
      </w:r>
    </w:p>
    <w:p w14:paraId="712E469D" w14:textId="5CB56B60" w:rsidR="00D630F3" w:rsidRPr="007673BD" w:rsidRDefault="00D630F3" w:rsidP="00FD2482">
      <w:pPr>
        <w:numPr>
          <w:ilvl w:val="1"/>
          <w:numId w:val="6"/>
        </w:numPr>
        <w:shd w:val="clear" w:color="auto" w:fill="FFFFFF"/>
        <w:rPr>
          <w:rFonts w:cs="Arial"/>
          <w:sz w:val="21"/>
          <w:szCs w:val="21"/>
          <w:lang w:val="en-AU"/>
        </w:rPr>
      </w:pPr>
      <w:r w:rsidRPr="007673BD">
        <w:rPr>
          <w:rFonts w:cs="Arial"/>
          <w:sz w:val="21"/>
          <w:szCs w:val="21"/>
          <w:lang w:val="en-AU"/>
        </w:rPr>
        <w:t xml:space="preserve">an asset undergoes </w:t>
      </w:r>
      <w:r w:rsidR="00767B60" w:rsidRPr="007673BD">
        <w:rPr>
          <w:rFonts w:cs="Arial"/>
          <w:sz w:val="21"/>
          <w:szCs w:val="21"/>
          <w:lang w:val="en-AU"/>
        </w:rPr>
        <w:t>a</w:t>
      </w:r>
      <w:r w:rsidRPr="007673BD">
        <w:rPr>
          <w:rFonts w:cs="Arial"/>
          <w:sz w:val="21"/>
          <w:szCs w:val="21"/>
          <w:lang w:val="en-AU"/>
        </w:rPr>
        <w:t xml:space="preserve"> major inspection (regardless of whether any physical parts of the asset are replaced), required as a condition of using the asset</w:t>
      </w:r>
    </w:p>
    <w:p w14:paraId="79C182A1" w14:textId="1203219D" w:rsidR="00D630F3" w:rsidRPr="007673BD" w:rsidRDefault="00D630F3" w:rsidP="00FD2482">
      <w:pPr>
        <w:numPr>
          <w:ilvl w:val="1"/>
          <w:numId w:val="6"/>
        </w:numPr>
        <w:shd w:val="clear" w:color="auto" w:fill="FFFFFF"/>
        <w:rPr>
          <w:rFonts w:cs="Arial"/>
          <w:sz w:val="21"/>
          <w:szCs w:val="21"/>
          <w:lang w:val="en-AU"/>
        </w:rPr>
      </w:pPr>
      <w:r w:rsidRPr="007673BD">
        <w:rPr>
          <w:rFonts w:cs="Arial"/>
          <w:sz w:val="21"/>
          <w:szCs w:val="21"/>
          <w:lang w:val="en-AU"/>
        </w:rPr>
        <w:t>safety or environmental equipment are acquired in order to obtain future economic benefits from the existing asset.</w:t>
      </w:r>
    </w:p>
    <w:p w14:paraId="6B74F4FD" w14:textId="2B1A2B2A" w:rsidR="00AA4569" w:rsidRPr="007673BD" w:rsidRDefault="00AA4569" w:rsidP="00AA4569">
      <w:pPr>
        <w:pStyle w:val="ListParagraph"/>
        <w:shd w:val="clear" w:color="auto" w:fill="FFFFFF"/>
        <w:ind w:left="567"/>
        <w:rPr>
          <w:rFonts w:cs="Arial"/>
          <w:sz w:val="21"/>
          <w:szCs w:val="21"/>
          <w:lang w:val="en-AU"/>
        </w:rPr>
      </w:pPr>
      <w:r w:rsidRPr="007673BD">
        <w:rPr>
          <w:rFonts w:cs="Arial"/>
          <w:b/>
          <w:color w:val="C00000"/>
          <w:sz w:val="21"/>
          <w:szCs w:val="21"/>
          <w:lang w:val="en-AU"/>
        </w:rPr>
        <w:lastRenderedPageBreak/>
        <w:t>Note</w:t>
      </w:r>
      <w:r w:rsidRPr="007673BD">
        <w:rPr>
          <w:rFonts w:cs="Arial"/>
          <w:sz w:val="21"/>
          <w:szCs w:val="21"/>
          <w:lang w:val="en-AU"/>
        </w:rPr>
        <w:t xml:space="preserve">: </w:t>
      </w:r>
      <w:r w:rsidR="00D630F3" w:rsidRPr="007673BD">
        <w:rPr>
          <w:rFonts w:cs="Arial"/>
          <w:sz w:val="21"/>
          <w:szCs w:val="21"/>
          <w:lang w:val="en-AU"/>
        </w:rPr>
        <w:t>Day-to-day servicing</w:t>
      </w:r>
      <w:r w:rsidRPr="007673BD">
        <w:rPr>
          <w:rFonts w:cs="Arial"/>
          <w:sz w:val="21"/>
          <w:szCs w:val="21"/>
          <w:lang w:val="en-AU"/>
        </w:rPr>
        <w:t xml:space="preserve"> and maintenance </w:t>
      </w:r>
      <w:r w:rsidR="00D630F3" w:rsidRPr="007673BD">
        <w:rPr>
          <w:rFonts w:cs="Arial"/>
          <w:sz w:val="21"/>
          <w:szCs w:val="21"/>
          <w:lang w:val="en-AU"/>
        </w:rPr>
        <w:t>(</w:t>
      </w:r>
      <w:r w:rsidR="00767B60" w:rsidRPr="007673BD">
        <w:rPr>
          <w:rFonts w:cs="Arial"/>
          <w:sz w:val="21"/>
          <w:szCs w:val="21"/>
          <w:lang w:val="en-AU"/>
        </w:rPr>
        <w:t xml:space="preserve">in order to maintain the asset’s benefits </w:t>
      </w:r>
      <w:r w:rsidR="00D630F3" w:rsidRPr="007673BD">
        <w:rPr>
          <w:rFonts w:cs="Arial"/>
          <w:sz w:val="21"/>
          <w:szCs w:val="21"/>
          <w:lang w:val="en-AU"/>
        </w:rPr>
        <w:t xml:space="preserve">where expenditure comprises primarily of the costs of labour and minor parts) </w:t>
      </w:r>
      <w:r w:rsidRPr="007673BD">
        <w:rPr>
          <w:rFonts w:cs="Arial"/>
          <w:sz w:val="21"/>
          <w:szCs w:val="21"/>
          <w:lang w:val="en-AU"/>
        </w:rPr>
        <w:t>do not constitute an upgrade and should always be expensed.</w:t>
      </w:r>
    </w:p>
    <w:p w14:paraId="6B74F4FE" w14:textId="77777777" w:rsidR="004B7200" w:rsidRPr="007673BD" w:rsidRDefault="004B7200" w:rsidP="00A40A3D">
      <w:pPr>
        <w:numPr>
          <w:ilvl w:val="0"/>
          <w:numId w:val="6"/>
        </w:numPr>
        <w:shd w:val="clear" w:color="auto" w:fill="FFFFFF"/>
        <w:rPr>
          <w:rFonts w:cs="Arial"/>
          <w:sz w:val="21"/>
          <w:szCs w:val="21"/>
          <w:lang w:val="en-AU"/>
        </w:rPr>
      </w:pPr>
      <w:r w:rsidRPr="007673BD">
        <w:rPr>
          <w:rFonts w:cs="Arial"/>
          <w:sz w:val="21"/>
          <w:szCs w:val="21"/>
          <w:lang w:val="en-AU"/>
        </w:rPr>
        <w:t xml:space="preserve">Where an asset has been upgraded, and the gross value of the upgrade is AUD </w:t>
      </w:r>
      <w:r w:rsidR="00AA4569" w:rsidRPr="007673BD">
        <w:rPr>
          <w:rFonts w:cs="Arial"/>
          <w:sz w:val="21"/>
          <w:szCs w:val="21"/>
          <w:lang w:val="en-AU"/>
        </w:rPr>
        <w:t>$</w:t>
      </w:r>
      <w:r w:rsidRPr="007673BD">
        <w:rPr>
          <w:rFonts w:cs="Arial"/>
          <w:sz w:val="21"/>
          <w:szCs w:val="21"/>
          <w:lang w:val="en-AU"/>
        </w:rPr>
        <w:t xml:space="preserve">5,000 or more, it must be recorded in the FMIS </w:t>
      </w:r>
      <w:r w:rsidR="00B63A16" w:rsidRPr="007673BD">
        <w:rPr>
          <w:rFonts w:cs="Arial"/>
          <w:sz w:val="21"/>
          <w:szCs w:val="21"/>
          <w:lang w:val="en-AU"/>
        </w:rPr>
        <w:t>a</w:t>
      </w:r>
      <w:r w:rsidRPr="007673BD">
        <w:rPr>
          <w:rFonts w:cs="Arial"/>
          <w:sz w:val="21"/>
          <w:szCs w:val="21"/>
          <w:lang w:val="en-AU"/>
        </w:rPr>
        <w:t xml:space="preserve">sset </w:t>
      </w:r>
      <w:r w:rsidR="00B63A16" w:rsidRPr="007673BD">
        <w:rPr>
          <w:rFonts w:cs="Arial"/>
          <w:sz w:val="21"/>
          <w:szCs w:val="21"/>
          <w:lang w:val="en-AU"/>
        </w:rPr>
        <w:t>r</w:t>
      </w:r>
      <w:r w:rsidRPr="007673BD">
        <w:rPr>
          <w:rFonts w:cs="Arial"/>
          <w:sz w:val="21"/>
          <w:szCs w:val="21"/>
          <w:lang w:val="en-AU"/>
        </w:rPr>
        <w:t xml:space="preserve">egister. The value of an upgrade is to be added to the value of the original asset and not recorded as a separate item. Where an upgrade is less than AUD </w:t>
      </w:r>
      <w:r w:rsidR="00FB641F" w:rsidRPr="007673BD">
        <w:rPr>
          <w:rFonts w:cs="Arial"/>
          <w:sz w:val="21"/>
          <w:szCs w:val="21"/>
          <w:lang w:val="en-AU"/>
        </w:rPr>
        <w:t>$</w:t>
      </w:r>
      <w:r w:rsidRPr="007673BD">
        <w:rPr>
          <w:rFonts w:cs="Arial"/>
          <w:sz w:val="21"/>
          <w:szCs w:val="21"/>
          <w:lang w:val="en-AU"/>
        </w:rPr>
        <w:t>5,000 it should be treated as an operating expense.</w:t>
      </w:r>
    </w:p>
    <w:p w14:paraId="6B74F4FF" w14:textId="77777777" w:rsidR="004B7200" w:rsidRPr="007673BD" w:rsidRDefault="004B7200" w:rsidP="00A40A3D">
      <w:pPr>
        <w:numPr>
          <w:ilvl w:val="1"/>
          <w:numId w:val="6"/>
        </w:numPr>
        <w:shd w:val="clear" w:color="auto" w:fill="FFFFFF"/>
        <w:rPr>
          <w:rFonts w:cs="Arial"/>
          <w:sz w:val="21"/>
          <w:szCs w:val="21"/>
          <w:lang w:val="en-AU"/>
        </w:rPr>
      </w:pPr>
      <w:r w:rsidRPr="007673BD">
        <w:rPr>
          <w:rFonts w:cs="Arial"/>
          <w:sz w:val="21"/>
          <w:szCs w:val="21"/>
          <w:lang w:val="en-AU"/>
        </w:rPr>
        <w:t xml:space="preserve">Example: </w:t>
      </w:r>
      <w:r w:rsidR="00FB641F" w:rsidRPr="007673BD">
        <w:rPr>
          <w:rFonts w:cs="Arial"/>
          <w:sz w:val="21"/>
          <w:szCs w:val="21"/>
          <w:lang w:val="en-AU"/>
        </w:rPr>
        <w:t>A</w:t>
      </w:r>
      <w:r w:rsidR="0070774A" w:rsidRPr="007673BD">
        <w:rPr>
          <w:rFonts w:cs="Arial"/>
          <w:sz w:val="21"/>
          <w:szCs w:val="21"/>
          <w:lang w:val="en-AU"/>
        </w:rPr>
        <w:t xml:space="preserve"> new $2</w:t>
      </w:r>
      <w:r w:rsidRPr="007673BD">
        <w:rPr>
          <w:rFonts w:cs="Arial"/>
          <w:sz w:val="21"/>
          <w:szCs w:val="21"/>
          <w:lang w:val="en-AU"/>
        </w:rPr>
        <w:t>,</w:t>
      </w:r>
      <w:r w:rsidR="009F3875" w:rsidRPr="007673BD">
        <w:rPr>
          <w:rFonts w:cs="Arial"/>
          <w:sz w:val="21"/>
          <w:szCs w:val="21"/>
          <w:lang w:val="en-AU"/>
        </w:rPr>
        <w:t>5</w:t>
      </w:r>
      <w:r w:rsidRPr="007673BD">
        <w:rPr>
          <w:rFonts w:cs="Arial"/>
          <w:sz w:val="21"/>
          <w:szCs w:val="21"/>
          <w:lang w:val="en-AU"/>
        </w:rPr>
        <w:t xml:space="preserve">00 </w:t>
      </w:r>
      <w:r w:rsidR="0070774A" w:rsidRPr="007673BD">
        <w:rPr>
          <w:rFonts w:cs="Arial"/>
          <w:sz w:val="21"/>
          <w:szCs w:val="21"/>
          <w:lang w:val="en-AU"/>
        </w:rPr>
        <w:t>hard drive</w:t>
      </w:r>
      <w:r w:rsidRPr="007673BD">
        <w:rPr>
          <w:rFonts w:cs="Arial"/>
          <w:sz w:val="21"/>
          <w:szCs w:val="21"/>
          <w:lang w:val="en-AU"/>
        </w:rPr>
        <w:t xml:space="preserve"> for a </w:t>
      </w:r>
      <w:r w:rsidR="0070774A" w:rsidRPr="007673BD">
        <w:rPr>
          <w:rFonts w:cs="Arial"/>
          <w:sz w:val="21"/>
          <w:szCs w:val="21"/>
          <w:lang w:val="en-AU"/>
        </w:rPr>
        <w:t>server</w:t>
      </w:r>
      <w:r w:rsidRPr="007673BD">
        <w:rPr>
          <w:rFonts w:cs="Arial"/>
          <w:sz w:val="21"/>
          <w:szCs w:val="21"/>
          <w:lang w:val="en-AU"/>
        </w:rPr>
        <w:t xml:space="preserve"> would be considered an upgrade and capitalised </w:t>
      </w:r>
      <w:r w:rsidR="00FB641F" w:rsidRPr="007673BD">
        <w:rPr>
          <w:rFonts w:cs="Arial"/>
          <w:sz w:val="21"/>
          <w:szCs w:val="21"/>
          <w:lang w:val="en-AU"/>
        </w:rPr>
        <w:t xml:space="preserve">if </w:t>
      </w:r>
      <w:r w:rsidR="0070774A" w:rsidRPr="007673BD">
        <w:rPr>
          <w:rFonts w:cs="Arial"/>
          <w:sz w:val="21"/>
          <w:szCs w:val="21"/>
          <w:lang w:val="en-AU"/>
        </w:rPr>
        <w:t>the new hard drive</w:t>
      </w:r>
      <w:r w:rsidRPr="007673BD">
        <w:rPr>
          <w:rFonts w:cs="Arial"/>
          <w:sz w:val="21"/>
          <w:szCs w:val="21"/>
          <w:lang w:val="en-AU"/>
        </w:rPr>
        <w:t xml:space="preserve"> has extended the operating life of the </w:t>
      </w:r>
      <w:r w:rsidR="0070774A" w:rsidRPr="007673BD">
        <w:rPr>
          <w:rFonts w:cs="Arial"/>
          <w:sz w:val="21"/>
          <w:szCs w:val="21"/>
          <w:lang w:val="en-AU"/>
        </w:rPr>
        <w:t>serve</w:t>
      </w:r>
      <w:r w:rsidRPr="007673BD">
        <w:rPr>
          <w:rFonts w:cs="Arial"/>
          <w:sz w:val="21"/>
          <w:szCs w:val="21"/>
          <w:lang w:val="en-AU"/>
        </w:rPr>
        <w:t xml:space="preserve">r. However, a </w:t>
      </w:r>
      <w:r w:rsidR="0070774A" w:rsidRPr="007673BD">
        <w:rPr>
          <w:rFonts w:cs="Arial"/>
          <w:sz w:val="21"/>
          <w:szCs w:val="21"/>
          <w:lang w:val="en-AU"/>
        </w:rPr>
        <w:t>microchip</w:t>
      </w:r>
      <w:r w:rsidRPr="007673BD">
        <w:rPr>
          <w:rFonts w:cs="Arial"/>
          <w:sz w:val="21"/>
          <w:szCs w:val="21"/>
          <w:lang w:val="en-AU"/>
        </w:rPr>
        <w:t xml:space="preserve"> for the </w:t>
      </w:r>
      <w:r w:rsidR="0070774A" w:rsidRPr="007673BD">
        <w:rPr>
          <w:rFonts w:cs="Arial"/>
          <w:sz w:val="21"/>
          <w:szCs w:val="21"/>
          <w:lang w:val="en-AU"/>
        </w:rPr>
        <w:t>serve</w:t>
      </w:r>
      <w:r w:rsidRPr="007673BD">
        <w:rPr>
          <w:rFonts w:cs="Arial"/>
          <w:sz w:val="21"/>
          <w:szCs w:val="21"/>
          <w:lang w:val="en-AU"/>
        </w:rPr>
        <w:t>r is just restoring the unit back to its normal operating capacity and should be expensed as a repair or maintenance.</w:t>
      </w:r>
    </w:p>
    <w:p w14:paraId="6B74F500" w14:textId="77777777" w:rsidR="004B7200" w:rsidRPr="00AC3A52" w:rsidRDefault="004B7200" w:rsidP="00ED4539">
      <w:pPr>
        <w:pStyle w:val="Heading4"/>
        <w:rPr>
          <w:rFonts w:cs="Arial"/>
        </w:rPr>
      </w:pPr>
      <w:r w:rsidRPr="00AC3A52">
        <w:rPr>
          <w:rFonts w:cs="Arial"/>
        </w:rPr>
        <w:t>Revaluations</w:t>
      </w:r>
    </w:p>
    <w:p w14:paraId="6B74F501" w14:textId="733EC355" w:rsidR="004B7200" w:rsidRPr="007673BD" w:rsidRDefault="002A4FF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agency </w:t>
      </w:r>
      <w:r w:rsidR="001650A9" w:rsidRPr="007673BD">
        <w:rPr>
          <w:rFonts w:ascii="Arial" w:hAnsi="Arial" w:cs="Arial"/>
          <w:sz w:val="21"/>
          <w:szCs w:val="21"/>
        </w:rPr>
        <w:t>must</w:t>
      </w:r>
      <w:r w:rsidR="004B7200" w:rsidRPr="007673BD">
        <w:rPr>
          <w:rFonts w:ascii="Arial" w:hAnsi="Arial" w:cs="Arial"/>
          <w:sz w:val="21"/>
          <w:szCs w:val="21"/>
        </w:rPr>
        <w:t xml:space="preserve"> re-assess the </w:t>
      </w:r>
      <w:hyperlink w:anchor="CarryingAmount" w:history="1">
        <w:r w:rsidR="004B7200" w:rsidRPr="007673BD">
          <w:rPr>
            <w:rStyle w:val="Hyperlink"/>
            <w:rFonts w:ascii="Arial" w:hAnsi="Arial" w:cs="Arial"/>
            <w:i/>
            <w:sz w:val="21"/>
            <w:szCs w:val="21"/>
          </w:rPr>
          <w:t>carrying amount</w:t>
        </w:r>
      </w:hyperlink>
      <w:r w:rsidR="004B7200" w:rsidRPr="007673BD">
        <w:rPr>
          <w:rFonts w:ascii="Arial" w:hAnsi="Arial" w:cs="Arial"/>
          <w:sz w:val="21"/>
          <w:szCs w:val="21"/>
        </w:rPr>
        <w:t xml:space="preserve"> of its assets to their fair value</w:t>
      </w:r>
      <w:r w:rsidRPr="007673BD">
        <w:rPr>
          <w:rFonts w:ascii="Arial" w:hAnsi="Arial" w:cs="Arial"/>
          <w:sz w:val="21"/>
          <w:szCs w:val="21"/>
          <w:vertAlign w:val="superscript"/>
        </w:rPr>
        <w:fldChar w:fldCharType="begin"/>
      </w:r>
      <w:r w:rsidRPr="007673BD">
        <w:rPr>
          <w:rFonts w:ascii="Arial" w:hAnsi="Arial" w:cs="Arial"/>
          <w:sz w:val="21"/>
          <w:szCs w:val="21"/>
          <w:vertAlign w:val="superscript"/>
        </w:rPr>
        <w:instrText xml:space="preserve"> NOTEREF _Ref408907514 \f \h  \* MERGEFORMAT </w:instrText>
      </w:r>
      <w:r w:rsidRPr="007673BD">
        <w:rPr>
          <w:rFonts w:ascii="Arial" w:hAnsi="Arial" w:cs="Arial"/>
          <w:sz w:val="21"/>
          <w:szCs w:val="21"/>
          <w:vertAlign w:val="superscript"/>
        </w:rPr>
      </w:r>
      <w:r w:rsidRPr="007673BD">
        <w:rPr>
          <w:rFonts w:ascii="Arial" w:hAnsi="Arial" w:cs="Arial"/>
          <w:sz w:val="21"/>
          <w:szCs w:val="21"/>
          <w:vertAlign w:val="superscript"/>
        </w:rPr>
        <w:fldChar w:fldCharType="separate"/>
      </w:r>
      <w:r w:rsidR="00A1335C" w:rsidRPr="00A1335C">
        <w:rPr>
          <w:rStyle w:val="EndnoteReference"/>
          <w:rFonts w:ascii="Arial" w:hAnsi="Arial" w:cs="Arial"/>
          <w:sz w:val="21"/>
          <w:szCs w:val="21"/>
        </w:rPr>
        <w:t>16</w:t>
      </w:r>
      <w:r w:rsidRPr="007673BD">
        <w:rPr>
          <w:rFonts w:ascii="Arial" w:hAnsi="Arial" w:cs="Arial"/>
          <w:sz w:val="21"/>
          <w:szCs w:val="21"/>
          <w:vertAlign w:val="superscript"/>
        </w:rPr>
        <w:fldChar w:fldCharType="end"/>
      </w:r>
      <w:r w:rsidR="00A213D6" w:rsidRPr="007673BD">
        <w:rPr>
          <w:rFonts w:ascii="Arial" w:hAnsi="Arial" w:cs="Arial"/>
          <w:sz w:val="21"/>
          <w:szCs w:val="21"/>
          <w:vertAlign w:val="superscript"/>
        </w:rPr>
        <w:t>,</w:t>
      </w:r>
      <w:bookmarkStart w:id="18" w:name="_Ref417370197"/>
      <w:r w:rsidR="00A213D6" w:rsidRPr="007673BD">
        <w:rPr>
          <w:rStyle w:val="EndnoteReference"/>
          <w:rFonts w:ascii="Arial" w:hAnsi="Arial" w:cs="Arial"/>
          <w:sz w:val="21"/>
          <w:szCs w:val="21"/>
        </w:rPr>
        <w:endnoteReference w:id="3"/>
      </w:r>
      <w:bookmarkEnd w:id="18"/>
      <w:r w:rsidR="001650A9" w:rsidRPr="007673BD">
        <w:rPr>
          <w:rFonts w:ascii="Arial" w:hAnsi="Arial" w:cs="Arial"/>
          <w:sz w:val="21"/>
          <w:szCs w:val="21"/>
        </w:rPr>
        <w:t xml:space="preserve"> on a </w:t>
      </w:r>
      <w:r w:rsidR="009B024C" w:rsidRPr="007673BD">
        <w:rPr>
          <w:rFonts w:ascii="Arial" w:hAnsi="Arial" w:cs="Arial"/>
          <w:sz w:val="21"/>
          <w:szCs w:val="21"/>
        </w:rPr>
        <w:t>three-</w:t>
      </w:r>
      <w:r w:rsidR="001650A9" w:rsidRPr="007673BD">
        <w:rPr>
          <w:rFonts w:ascii="Arial" w:hAnsi="Arial" w:cs="Arial"/>
          <w:sz w:val="21"/>
          <w:szCs w:val="21"/>
        </w:rPr>
        <w:t>year cyclical method.</w:t>
      </w:r>
      <w:r w:rsidR="004B7200" w:rsidRPr="007673BD">
        <w:rPr>
          <w:rFonts w:ascii="Arial" w:hAnsi="Arial" w:cs="Arial"/>
          <w:sz w:val="21"/>
          <w:szCs w:val="21"/>
        </w:rPr>
        <w:t xml:space="preserve"> </w:t>
      </w:r>
      <w:r w:rsidRPr="007673BD">
        <w:rPr>
          <w:rFonts w:ascii="Arial" w:hAnsi="Arial" w:cs="Arial"/>
          <w:sz w:val="21"/>
          <w:szCs w:val="21"/>
        </w:rPr>
        <w:t>If</w:t>
      </w:r>
      <w:r w:rsidR="004B7200" w:rsidRPr="007673BD">
        <w:rPr>
          <w:rFonts w:ascii="Arial" w:hAnsi="Arial" w:cs="Arial"/>
          <w:sz w:val="21"/>
          <w:szCs w:val="21"/>
        </w:rPr>
        <w:t xml:space="preserve"> there is no market based evidence of fair value</w:t>
      </w:r>
      <w:r w:rsidR="009B024C" w:rsidRPr="007673BD">
        <w:rPr>
          <w:rFonts w:ascii="Arial" w:hAnsi="Arial" w:cs="Arial"/>
          <w:sz w:val="21"/>
          <w:szCs w:val="21"/>
        </w:rPr>
        <w:t>;</w:t>
      </w:r>
      <w:r w:rsidR="004B7200" w:rsidRPr="007673BD">
        <w:rPr>
          <w:rFonts w:ascii="Arial" w:hAnsi="Arial" w:cs="Arial"/>
          <w:sz w:val="21"/>
          <w:szCs w:val="21"/>
        </w:rPr>
        <w:t xml:space="preserve"> fair value is estimated using depreciated replacement cost.</w:t>
      </w:r>
    </w:p>
    <w:p w14:paraId="6B74F502" w14:textId="77777777"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For specialist items/groups of assets, fair value may be estimated using a depreciated replacement cost approach </w:t>
      </w:r>
      <w:r w:rsidR="00C56B98" w:rsidRPr="007673BD">
        <w:rPr>
          <w:rFonts w:ascii="Arial" w:hAnsi="Arial" w:cs="Arial"/>
          <w:sz w:val="21"/>
          <w:szCs w:val="21"/>
        </w:rPr>
        <w:t xml:space="preserve">in order </w:t>
      </w:r>
      <w:r w:rsidRPr="007673BD">
        <w:rPr>
          <w:rFonts w:ascii="Arial" w:hAnsi="Arial" w:cs="Arial"/>
          <w:sz w:val="21"/>
          <w:szCs w:val="21"/>
        </w:rPr>
        <w:t xml:space="preserve">to recognise significant delivery, installation, </w:t>
      </w:r>
      <w:r w:rsidR="00C56B98" w:rsidRPr="007673BD">
        <w:rPr>
          <w:rFonts w:ascii="Arial" w:hAnsi="Arial" w:cs="Arial"/>
          <w:sz w:val="21"/>
          <w:szCs w:val="21"/>
        </w:rPr>
        <w:t xml:space="preserve">and </w:t>
      </w:r>
      <w:r w:rsidRPr="007673BD">
        <w:rPr>
          <w:rFonts w:ascii="Arial" w:hAnsi="Arial" w:cs="Arial"/>
          <w:sz w:val="21"/>
          <w:szCs w:val="21"/>
        </w:rPr>
        <w:t>inspection</w:t>
      </w:r>
      <w:r w:rsidR="00C56B98" w:rsidRPr="007673BD">
        <w:rPr>
          <w:rFonts w:ascii="Arial" w:hAnsi="Arial" w:cs="Arial"/>
          <w:sz w:val="21"/>
          <w:szCs w:val="21"/>
        </w:rPr>
        <w:t xml:space="preserve"> </w:t>
      </w:r>
      <w:r w:rsidRPr="007673BD">
        <w:rPr>
          <w:rFonts w:ascii="Arial" w:hAnsi="Arial" w:cs="Arial"/>
          <w:sz w:val="21"/>
          <w:szCs w:val="21"/>
        </w:rPr>
        <w:t>costs</w:t>
      </w:r>
      <w:r w:rsidR="00C56B98" w:rsidRPr="007673BD">
        <w:rPr>
          <w:rFonts w:ascii="Arial" w:hAnsi="Arial" w:cs="Arial"/>
          <w:sz w:val="21"/>
          <w:szCs w:val="21"/>
        </w:rPr>
        <w:t xml:space="preserve"> often</w:t>
      </w:r>
      <w:r w:rsidRPr="007673BD">
        <w:rPr>
          <w:rFonts w:ascii="Arial" w:hAnsi="Arial" w:cs="Arial"/>
          <w:sz w:val="21"/>
          <w:szCs w:val="21"/>
        </w:rPr>
        <w:t xml:space="preserve"> </w:t>
      </w:r>
      <w:r w:rsidR="00C56B98" w:rsidRPr="007673BD">
        <w:rPr>
          <w:rFonts w:ascii="Arial" w:hAnsi="Arial" w:cs="Arial"/>
          <w:sz w:val="21"/>
          <w:szCs w:val="21"/>
        </w:rPr>
        <w:t>associated with</w:t>
      </w:r>
      <w:r w:rsidRPr="007673BD">
        <w:rPr>
          <w:rFonts w:ascii="Arial" w:hAnsi="Arial" w:cs="Arial"/>
          <w:sz w:val="21"/>
          <w:szCs w:val="21"/>
        </w:rPr>
        <w:t xml:space="preserve"> such assets, </w:t>
      </w:r>
      <w:r w:rsidR="00C56B98" w:rsidRPr="007673BD">
        <w:rPr>
          <w:rFonts w:ascii="Arial" w:hAnsi="Arial" w:cs="Arial"/>
          <w:sz w:val="21"/>
          <w:szCs w:val="21"/>
        </w:rPr>
        <w:t xml:space="preserve">but </w:t>
      </w:r>
      <w:r w:rsidRPr="007673BD">
        <w:rPr>
          <w:rFonts w:ascii="Arial" w:hAnsi="Arial" w:cs="Arial"/>
          <w:sz w:val="21"/>
          <w:szCs w:val="21"/>
        </w:rPr>
        <w:t xml:space="preserve">not </w:t>
      </w:r>
      <w:r w:rsidR="007C397B" w:rsidRPr="007673BD">
        <w:rPr>
          <w:rFonts w:ascii="Arial" w:hAnsi="Arial" w:cs="Arial"/>
          <w:sz w:val="21"/>
          <w:szCs w:val="21"/>
        </w:rPr>
        <w:t xml:space="preserve">necessarily </w:t>
      </w:r>
      <w:r w:rsidRPr="007673BD">
        <w:rPr>
          <w:rFonts w:ascii="Arial" w:hAnsi="Arial" w:cs="Arial"/>
          <w:sz w:val="21"/>
          <w:szCs w:val="21"/>
        </w:rPr>
        <w:t>reflected in the commercial market value.</w:t>
      </w:r>
    </w:p>
    <w:p w14:paraId="6B74F503" w14:textId="45D00F45" w:rsidR="004B7200" w:rsidRPr="007673BD" w:rsidRDefault="007C397B"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To avoid selective revaluation of assets, all the items </w:t>
      </w:r>
      <w:r w:rsidR="004B7200" w:rsidRPr="007673BD">
        <w:rPr>
          <w:rFonts w:ascii="Arial" w:hAnsi="Arial" w:cs="Arial"/>
          <w:sz w:val="21"/>
          <w:szCs w:val="21"/>
        </w:rPr>
        <w:t>within an asset class</w:t>
      </w:r>
      <w:r w:rsidR="00C56B98" w:rsidRPr="007673BD">
        <w:rPr>
          <w:rFonts w:ascii="Arial" w:hAnsi="Arial" w:cs="Arial"/>
          <w:sz w:val="21"/>
          <w:szCs w:val="21"/>
        </w:rPr>
        <w:t xml:space="preserve"> </w:t>
      </w:r>
      <w:r w:rsidR="004B7200" w:rsidRPr="007673BD">
        <w:rPr>
          <w:rFonts w:ascii="Arial" w:hAnsi="Arial" w:cs="Arial"/>
          <w:sz w:val="21"/>
          <w:szCs w:val="21"/>
        </w:rPr>
        <w:t xml:space="preserve">must be </w:t>
      </w:r>
      <w:r w:rsidRPr="007673BD">
        <w:rPr>
          <w:rFonts w:ascii="Arial" w:hAnsi="Arial" w:cs="Arial"/>
          <w:sz w:val="21"/>
          <w:szCs w:val="21"/>
        </w:rPr>
        <w:t>revalued simultaneously</w:t>
      </w:r>
      <w:r w:rsidR="00C56B98" w:rsidRPr="007673BD">
        <w:rPr>
          <w:rFonts w:ascii="Arial" w:hAnsi="Arial" w:cs="Arial"/>
          <w:sz w:val="21"/>
          <w:szCs w:val="21"/>
        </w:rPr>
        <w:fldChar w:fldCharType="begin"/>
      </w:r>
      <w:r w:rsidR="00C56B98" w:rsidRPr="007673BD">
        <w:rPr>
          <w:rFonts w:ascii="Arial" w:hAnsi="Arial" w:cs="Arial"/>
          <w:sz w:val="21"/>
          <w:szCs w:val="21"/>
        </w:rPr>
        <w:instrText xml:space="preserve"> NOTEREF _Ref408907514 \f \h  \* MERGEFORMAT </w:instrText>
      </w:r>
      <w:r w:rsidR="00C56B98" w:rsidRPr="007673BD">
        <w:rPr>
          <w:rFonts w:ascii="Arial" w:hAnsi="Arial" w:cs="Arial"/>
          <w:sz w:val="21"/>
          <w:szCs w:val="21"/>
        </w:rPr>
      </w:r>
      <w:r w:rsidR="00C56B98" w:rsidRPr="007673BD">
        <w:rPr>
          <w:rFonts w:ascii="Arial" w:hAnsi="Arial" w:cs="Arial"/>
          <w:sz w:val="21"/>
          <w:szCs w:val="21"/>
        </w:rPr>
        <w:fldChar w:fldCharType="separate"/>
      </w:r>
      <w:r w:rsidR="00A1335C" w:rsidRPr="00A1335C">
        <w:rPr>
          <w:rStyle w:val="EndnoteReference"/>
          <w:rFonts w:ascii="Arial" w:hAnsi="Arial" w:cs="Arial"/>
          <w:sz w:val="21"/>
          <w:szCs w:val="21"/>
        </w:rPr>
        <w:t>16</w:t>
      </w:r>
      <w:r w:rsidR="00C56B98" w:rsidRPr="007673BD">
        <w:rPr>
          <w:rFonts w:ascii="Arial" w:hAnsi="Arial" w:cs="Arial"/>
          <w:sz w:val="21"/>
          <w:szCs w:val="21"/>
        </w:rPr>
        <w:fldChar w:fldCharType="end"/>
      </w:r>
      <w:r w:rsidR="004B7200" w:rsidRPr="007673BD">
        <w:rPr>
          <w:rFonts w:ascii="Arial" w:hAnsi="Arial" w:cs="Arial"/>
          <w:sz w:val="21"/>
          <w:szCs w:val="21"/>
        </w:rPr>
        <w:t xml:space="preserve">. In the context of an asset class revaluation, the carrying value of individual assets </w:t>
      </w:r>
      <w:r w:rsidRPr="007673BD">
        <w:rPr>
          <w:rFonts w:ascii="Arial" w:hAnsi="Arial" w:cs="Arial"/>
          <w:sz w:val="21"/>
          <w:szCs w:val="21"/>
        </w:rPr>
        <w:t xml:space="preserve">may </w:t>
      </w:r>
      <w:r w:rsidR="004B7200" w:rsidRPr="007673BD">
        <w:rPr>
          <w:rFonts w:ascii="Arial" w:hAnsi="Arial" w:cs="Arial"/>
          <w:sz w:val="21"/>
          <w:szCs w:val="21"/>
        </w:rPr>
        <w:t>be increased, decreased or remain unchanged.</w:t>
      </w:r>
    </w:p>
    <w:p w14:paraId="6B74F504" w14:textId="77777777" w:rsidR="004B7200" w:rsidRPr="007673BD" w:rsidRDefault="0009307A"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Accordingly, the agency</w:t>
      </w:r>
      <w:r w:rsidR="004B7200" w:rsidRPr="007673BD">
        <w:rPr>
          <w:rFonts w:ascii="Arial" w:hAnsi="Arial" w:cs="Arial"/>
          <w:sz w:val="21"/>
          <w:szCs w:val="21"/>
        </w:rPr>
        <w:t xml:space="preserve"> has in place a three</w:t>
      </w:r>
      <w:r w:rsidRPr="007673BD">
        <w:rPr>
          <w:rFonts w:ascii="Arial" w:hAnsi="Arial" w:cs="Arial"/>
          <w:sz w:val="21"/>
          <w:szCs w:val="21"/>
        </w:rPr>
        <w:t>-</w:t>
      </w:r>
      <w:r w:rsidR="004B7200" w:rsidRPr="007673BD">
        <w:rPr>
          <w:rFonts w:ascii="Arial" w:hAnsi="Arial" w:cs="Arial"/>
          <w:sz w:val="21"/>
          <w:szCs w:val="21"/>
        </w:rPr>
        <w:t>year cyclical revaluatio</w:t>
      </w:r>
      <w:r w:rsidR="001650A9" w:rsidRPr="007673BD">
        <w:rPr>
          <w:rFonts w:ascii="Arial" w:hAnsi="Arial" w:cs="Arial"/>
          <w:sz w:val="21"/>
          <w:szCs w:val="21"/>
        </w:rPr>
        <w:t xml:space="preserve">n program of all asset classes </w:t>
      </w:r>
      <w:r w:rsidR="004B7200" w:rsidRPr="007673BD">
        <w:rPr>
          <w:rFonts w:ascii="Arial" w:hAnsi="Arial" w:cs="Arial"/>
          <w:sz w:val="21"/>
          <w:szCs w:val="21"/>
        </w:rPr>
        <w:t>undertaken by an independent commercial valuer</w:t>
      </w:r>
      <w:r w:rsidRPr="007673BD">
        <w:rPr>
          <w:rFonts w:ascii="Arial" w:hAnsi="Arial" w:cs="Arial"/>
          <w:sz w:val="21"/>
          <w:szCs w:val="21"/>
        </w:rPr>
        <w:t>.</w:t>
      </w:r>
      <w:r w:rsidR="004B7200" w:rsidRPr="007673BD">
        <w:rPr>
          <w:rFonts w:ascii="Arial" w:hAnsi="Arial" w:cs="Arial"/>
          <w:sz w:val="21"/>
          <w:szCs w:val="21"/>
        </w:rPr>
        <w:t xml:space="preserve"> </w:t>
      </w:r>
      <w:r w:rsidRPr="007673BD">
        <w:rPr>
          <w:rFonts w:ascii="Arial" w:hAnsi="Arial" w:cs="Arial"/>
          <w:sz w:val="21"/>
          <w:szCs w:val="21"/>
        </w:rPr>
        <w:t>I</w:t>
      </w:r>
      <w:r w:rsidR="004B7200" w:rsidRPr="007673BD">
        <w:rPr>
          <w:rFonts w:ascii="Arial" w:hAnsi="Arial" w:cs="Arial"/>
          <w:sz w:val="21"/>
          <w:szCs w:val="21"/>
        </w:rPr>
        <w:t>nput</w:t>
      </w:r>
      <w:r w:rsidRPr="007673BD">
        <w:rPr>
          <w:rFonts w:ascii="Arial" w:hAnsi="Arial" w:cs="Arial"/>
          <w:sz w:val="21"/>
          <w:szCs w:val="21"/>
        </w:rPr>
        <w:t xml:space="preserve"> from work areas</w:t>
      </w:r>
      <w:r w:rsidR="004B7200" w:rsidRPr="007673BD">
        <w:rPr>
          <w:rFonts w:ascii="Arial" w:hAnsi="Arial" w:cs="Arial"/>
          <w:sz w:val="21"/>
          <w:szCs w:val="21"/>
        </w:rPr>
        <w:t xml:space="preserve"> may be </w:t>
      </w:r>
      <w:r w:rsidRPr="007673BD">
        <w:rPr>
          <w:rFonts w:ascii="Arial" w:hAnsi="Arial" w:cs="Arial"/>
          <w:sz w:val="21"/>
          <w:szCs w:val="21"/>
        </w:rPr>
        <w:t xml:space="preserve">requested </w:t>
      </w:r>
      <w:r w:rsidR="004B7200" w:rsidRPr="007673BD">
        <w:rPr>
          <w:rFonts w:ascii="Arial" w:hAnsi="Arial" w:cs="Arial"/>
          <w:sz w:val="21"/>
          <w:szCs w:val="21"/>
        </w:rPr>
        <w:t xml:space="preserve">in the revaluation process through </w:t>
      </w:r>
      <w:r w:rsidRPr="007673BD">
        <w:rPr>
          <w:rFonts w:ascii="Arial" w:hAnsi="Arial" w:cs="Arial"/>
          <w:sz w:val="21"/>
          <w:szCs w:val="21"/>
        </w:rPr>
        <w:t xml:space="preserve">provision of </w:t>
      </w:r>
      <w:r w:rsidR="004B7200" w:rsidRPr="007673BD">
        <w:rPr>
          <w:rFonts w:ascii="Arial" w:hAnsi="Arial" w:cs="Arial"/>
          <w:sz w:val="21"/>
          <w:szCs w:val="21"/>
        </w:rPr>
        <w:t xml:space="preserve">advice on operating conditions, commenting on market conditions, and/or taking digital </w:t>
      </w:r>
      <w:r w:rsidRPr="007673BD">
        <w:rPr>
          <w:rFonts w:ascii="Arial" w:hAnsi="Arial" w:cs="Arial"/>
          <w:sz w:val="21"/>
          <w:szCs w:val="21"/>
        </w:rPr>
        <w:t xml:space="preserve">images </w:t>
      </w:r>
      <w:r w:rsidR="004B7200" w:rsidRPr="007673BD">
        <w:rPr>
          <w:rFonts w:ascii="Arial" w:hAnsi="Arial" w:cs="Arial"/>
          <w:sz w:val="21"/>
          <w:szCs w:val="21"/>
        </w:rPr>
        <w:t>of particular assets</w:t>
      </w:r>
      <w:r w:rsidR="005D4BB6" w:rsidRPr="007673BD">
        <w:rPr>
          <w:rFonts w:ascii="Arial" w:hAnsi="Arial" w:cs="Arial"/>
          <w:sz w:val="21"/>
          <w:szCs w:val="21"/>
        </w:rPr>
        <w:t>.</w:t>
      </w:r>
    </w:p>
    <w:p w14:paraId="6B74F505" w14:textId="77777777"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bookmarkStart w:id="19" w:name="_Ref409159809"/>
      <w:r w:rsidRPr="007673BD">
        <w:rPr>
          <w:rFonts w:ascii="Arial" w:hAnsi="Arial" w:cs="Arial"/>
          <w:sz w:val="21"/>
          <w:szCs w:val="21"/>
        </w:rPr>
        <w:t xml:space="preserve">Following completion of the independent </w:t>
      </w:r>
      <w:r w:rsidR="0009307A" w:rsidRPr="007673BD">
        <w:rPr>
          <w:rFonts w:ascii="Arial" w:hAnsi="Arial" w:cs="Arial"/>
          <w:sz w:val="21"/>
          <w:szCs w:val="21"/>
        </w:rPr>
        <w:t>revaluation</w:t>
      </w:r>
      <w:r w:rsidRPr="007673BD">
        <w:rPr>
          <w:rFonts w:ascii="Arial" w:hAnsi="Arial" w:cs="Arial"/>
          <w:sz w:val="21"/>
          <w:szCs w:val="21"/>
        </w:rPr>
        <w:t xml:space="preserve">, </w:t>
      </w:r>
      <w:r w:rsidR="0009307A" w:rsidRPr="007673BD">
        <w:rPr>
          <w:rFonts w:ascii="Arial" w:hAnsi="Arial" w:cs="Arial"/>
          <w:sz w:val="21"/>
          <w:szCs w:val="21"/>
        </w:rPr>
        <w:t xml:space="preserve">the </w:t>
      </w:r>
      <w:r w:rsidRPr="007673BD">
        <w:rPr>
          <w:rFonts w:ascii="Arial" w:hAnsi="Arial" w:cs="Arial"/>
          <w:sz w:val="21"/>
          <w:szCs w:val="21"/>
        </w:rPr>
        <w:t xml:space="preserve">Finance </w:t>
      </w:r>
      <w:r w:rsidR="008C328C" w:rsidRPr="007673BD">
        <w:rPr>
          <w:rFonts w:ascii="Arial" w:hAnsi="Arial" w:cs="Arial"/>
          <w:sz w:val="21"/>
          <w:szCs w:val="21"/>
        </w:rPr>
        <w:t xml:space="preserve">section </w:t>
      </w:r>
      <w:r w:rsidRPr="007673BD">
        <w:rPr>
          <w:rFonts w:ascii="Arial" w:hAnsi="Arial" w:cs="Arial"/>
          <w:sz w:val="21"/>
          <w:szCs w:val="21"/>
        </w:rPr>
        <w:t xml:space="preserve">will centrally adjust any revised asset values in the FMIS </w:t>
      </w:r>
      <w:r w:rsidR="0009307A" w:rsidRPr="007673BD">
        <w:rPr>
          <w:rFonts w:ascii="Arial" w:hAnsi="Arial" w:cs="Arial"/>
          <w:sz w:val="21"/>
          <w:szCs w:val="21"/>
        </w:rPr>
        <w:t>a</w:t>
      </w:r>
      <w:r w:rsidRPr="007673BD">
        <w:rPr>
          <w:rFonts w:ascii="Arial" w:hAnsi="Arial" w:cs="Arial"/>
          <w:sz w:val="21"/>
          <w:szCs w:val="21"/>
        </w:rPr>
        <w:t xml:space="preserve">sset </w:t>
      </w:r>
      <w:r w:rsidR="0009307A" w:rsidRPr="007673BD">
        <w:rPr>
          <w:rFonts w:ascii="Arial" w:hAnsi="Arial" w:cs="Arial"/>
          <w:sz w:val="21"/>
          <w:szCs w:val="21"/>
        </w:rPr>
        <w:t>r</w:t>
      </w:r>
      <w:r w:rsidRPr="007673BD">
        <w:rPr>
          <w:rFonts w:ascii="Arial" w:hAnsi="Arial" w:cs="Arial"/>
          <w:sz w:val="21"/>
          <w:szCs w:val="21"/>
        </w:rPr>
        <w:t>egister.</w:t>
      </w:r>
      <w:bookmarkEnd w:id="19"/>
    </w:p>
    <w:p w14:paraId="1AA97BEC" w14:textId="01DCD96E" w:rsidR="00A25672" w:rsidRPr="007673BD" w:rsidRDefault="00A25672" w:rsidP="00CE5F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Intangible assets are not revalued. These assets are valued at cost, due to the absence of an active market</w:t>
      </w:r>
      <w:bookmarkStart w:id="20" w:name="_Ref415237508"/>
      <w:r w:rsidRPr="007673BD">
        <w:rPr>
          <w:rStyle w:val="EndnoteReference"/>
          <w:rFonts w:ascii="Arial" w:hAnsi="Arial" w:cs="Arial"/>
          <w:sz w:val="21"/>
          <w:szCs w:val="21"/>
        </w:rPr>
        <w:endnoteReference w:id="4"/>
      </w:r>
      <w:bookmarkEnd w:id="20"/>
      <w:r w:rsidRPr="007673BD">
        <w:rPr>
          <w:rFonts w:ascii="Arial" w:hAnsi="Arial" w:cs="Arial"/>
          <w:sz w:val="21"/>
          <w:szCs w:val="21"/>
          <w:vertAlign w:val="superscript"/>
        </w:rPr>
        <w:t>,</w:t>
      </w:r>
      <w:r w:rsidRPr="007673BD">
        <w:rPr>
          <w:rFonts w:ascii="Arial" w:hAnsi="Arial" w:cs="Arial"/>
          <w:sz w:val="21"/>
          <w:szCs w:val="21"/>
        </w:rPr>
        <w:fldChar w:fldCharType="begin"/>
      </w:r>
      <w:r w:rsidRPr="007673BD">
        <w:rPr>
          <w:rFonts w:ascii="Arial" w:hAnsi="Arial" w:cs="Arial"/>
          <w:sz w:val="21"/>
          <w:szCs w:val="21"/>
          <w:vertAlign w:val="superscript"/>
        </w:rPr>
        <w:instrText xml:space="preserve"> NOTEREF _Ref417379638 \f \h </w:instrText>
      </w:r>
      <w:r w:rsidRPr="007673BD">
        <w:rPr>
          <w:rFonts w:ascii="Arial" w:hAnsi="Arial" w:cs="Arial"/>
          <w:sz w:val="21"/>
          <w:szCs w:val="21"/>
        </w:rPr>
        <w:instrText xml:space="preserve"> \* MERGEFORMAT </w:instrText>
      </w:r>
      <w:r w:rsidRPr="007673BD">
        <w:rPr>
          <w:rFonts w:ascii="Arial" w:hAnsi="Arial" w:cs="Arial"/>
          <w:sz w:val="21"/>
          <w:szCs w:val="21"/>
        </w:rPr>
      </w:r>
      <w:r w:rsidRPr="007673BD">
        <w:rPr>
          <w:rFonts w:ascii="Arial" w:hAnsi="Arial" w:cs="Arial"/>
          <w:sz w:val="21"/>
          <w:szCs w:val="21"/>
        </w:rPr>
        <w:fldChar w:fldCharType="separate"/>
      </w:r>
      <w:r w:rsidR="00A1335C" w:rsidRPr="00A1335C">
        <w:rPr>
          <w:rStyle w:val="EndnoteReference"/>
          <w:rFonts w:ascii="Arial" w:hAnsi="Arial" w:cs="Arial"/>
          <w:sz w:val="21"/>
          <w:szCs w:val="21"/>
        </w:rPr>
        <w:t>9</w:t>
      </w:r>
      <w:r w:rsidRPr="007673BD">
        <w:rPr>
          <w:rFonts w:ascii="Arial" w:hAnsi="Arial" w:cs="Arial"/>
          <w:sz w:val="21"/>
          <w:szCs w:val="21"/>
        </w:rPr>
        <w:fldChar w:fldCharType="end"/>
      </w:r>
      <w:r w:rsidRPr="007673BD">
        <w:rPr>
          <w:rFonts w:ascii="Arial" w:hAnsi="Arial" w:cs="Arial"/>
          <w:sz w:val="21"/>
          <w:szCs w:val="21"/>
        </w:rPr>
        <w:t>.</w:t>
      </w:r>
    </w:p>
    <w:p w14:paraId="6B74F507" w14:textId="77777777" w:rsidR="004B7200" w:rsidRPr="00AC3A52" w:rsidRDefault="004B7200" w:rsidP="00ED4539">
      <w:pPr>
        <w:pStyle w:val="Heading4"/>
        <w:rPr>
          <w:rFonts w:cs="Arial"/>
        </w:rPr>
      </w:pPr>
      <w:r w:rsidRPr="00AC3A52">
        <w:rPr>
          <w:rFonts w:cs="Arial"/>
        </w:rPr>
        <w:t xml:space="preserve">Fair </w:t>
      </w:r>
      <w:r w:rsidR="00ED4539" w:rsidRPr="00AC3A52">
        <w:rPr>
          <w:rFonts w:cs="Arial"/>
        </w:rPr>
        <w:t>v</w:t>
      </w:r>
      <w:r w:rsidRPr="00AC3A52">
        <w:rPr>
          <w:rFonts w:cs="Arial"/>
        </w:rPr>
        <w:t xml:space="preserve">alue </w:t>
      </w:r>
      <w:r w:rsidR="00ED4539" w:rsidRPr="00AC3A52">
        <w:rPr>
          <w:rFonts w:cs="Arial"/>
        </w:rPr>
        <w:t>m</w:t>
      </w:r>
      <w:r w:rsidRPr="00AC3A52">
        <w:rPr>
          <w:rFonts w:cs="Arial"/>
        </w:rPr>
        <w:t>easurement</w:t>
      </w:r>
    </w:p>
    <w:p w14:paraId="6B74F508" w14:textId="7FB401F4" w:rsidR="00760CC9" w:rsidRPr="007673BD" w:rsidRDefault="004B7200" w:rsidP="00F65283">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AASB 13 </w:t>
      </w:r>
      <w:r w:rsidR="001F7F99" w:rsidRPr="007673BD">
        <w:rPr>
          <w:rFonts w:ascii="Arial" w:hAnsi="Arial" w:cs="Arial"/>
          <w:sz w:val="21"/>
          <w:szCs w:val="21"/>
        </w:rPr>
        <w:t>‘</w:t>
      </w:r>
      <w:r w:rsidRPr="007673BD">
        <w:rPr>
          <w:rFonts w:ascii="Arial" w:hAnsi="Arial" w:cs="Arial"/>
          <w:sz w:val="21"/>
          <w:szCs w:val="21"/>
        </w:rPr>
        <w:t>Fair Value Measurement</w:t>
      </w:r>
      <w:r w:rsidR="001F7F99" w:rsidRPr="007673BD">
        <w:rPr>
          <w:rFonts w:ascii="Arial" w:hAnsi="Arial" w:cs="Arial"/>
          <w:sz w:val="21"/>
          <w:szCs w:val="21"/>
        </w:rPr>
        <w:t>’</w:t>
      </w:r>
      <w:r w:rsidRPr="007673BD">
        <w:rPr>
          <w:rFonts w:ascii="Arial" w:hAnsi="Arial" w:cs="Arial"/>
          <w:sz w:val="21"/>
          <w:szCs w:val="21"/>
        </w:rPr>
        <w:t xml:space="preserve"> establishes a single, principles-based framework for measurement </w:t>
      </w:r>
      <w:r w:rsidR="001F7F99" w:rsidRPr="007673BD">
        <w:rPr>
          <w:rFonts w:ascii="Arial" w:hAnsi="Arial" w:cs="Arial"/>
          <w:sz w:val="21"/>
          <w:szCs w:val="21"/>
        </w:rPr>
        <w:t xml:space="preserve">of fair value </w:t>
      </w:r>
      <w:r w:rsidRPr="007673BD">
        <w:rPr>
          <w:rFonts w:ascii="Arial" w:hAnsi="Arial" w:cs="Arial"/>
          <w:sz w:val="21"/>
          <w:szCs w:val="21"/>
        </w:rPr>
        <w:t xml:space="preserve">when it is required </w:t>
      </w:r>
      <w:r w:rsidR="001F7F99" w:rsidRPr="007673BD">
        <w:rPr>
          <w:rFonts w:ascii="Arial" w:hAnsi="Arial" w:cs="Arial"/>
          <w:sz w:val="21"/>
          <w:szCs w:val="21"/>
        </w:rPr>
        <w:t xml:space="preserve">/ </w:t>
      </w:r>
      <w:r w:rsidRPr="007673BD">
        <w:rPr>
          <w:rFonts w:ascii="Arial" w:hAnsi="Arial" w:cs="Arial"/>
          <w:sz w:val="21"/>
          <w:szCs w:val="21"/>
        </w:rPr>
        <w:t>permitted by another Australian Accounting Standard</w:t>
      </w:r>
      <w:r w:rsidR="001F7F99" w:rsidRPr="007673BD">
        <w:rPr>
          <w:rFonts w:ascii="Arial" w:hAnsi="Arial" w:cs="Arial"/>
          <w:sz w:val="21"/>
          <w:szCs w:val="21"/>
        </w:rPr>
        <w:t xml:space="preserve">. It also </w:t>
      </w:r>
      <w:r w:rsidRPr="007673BD">
        <w:rPr>
          <w:rFonts w:ascii="Arial" w:hAnsi="Arial" w:cs="Arial"/>
          <w:sz w:val="21"/>
          <w:szCs w:val="21"/>
        </w:rPr>
        <w:t xml:space="preserve">clarifies that </w:t>
      </w:r>
      <w:r w:rsidR="00760CC9" w:rsidRPr="007673BD">
        <w:rPr>
          <w:rFonts w:ascii="Arial" w:hAnsi="Arial" w:cs="Arial"/>
          <w:sz w:val="21"/>
          <w:szCs w:val="21"/>
        </w:rPr>
        <w:t>‘</w:t>
      </w:r>
      <w:r w:rsidRPr="007673BD">
        <w:rPr>
          <w:rFonts w:ascii="Arial" w:hAnsi="Arial" w:cs="Arial"/>
          <w:sz w:val="21"/>
          <w:szCs w:val="21"/>
        </w:rPr>
        <w:t>fair value</w:t>
      </w:r>
      <w:r w:rsidR="00760CC9" w:rsidRPr="007673BD">
        <w:rPr>
          <w:rFonts w:ascii="Arial" w:hAnsi="Arial" w:cs="Arial"/>
          <w:sz w:val="21"/>
          <w:szCs w:val="21"/>
        </w:rPr>
        <w:t>’</w:t>
      </w:r>
      <w:r w:rsidRPr="007673BD">
        <w:rPr>
          <w:rFonts w:ascii="Arial" w:hAnsi="Arial" w:cs="Arial"/>
          <w:sz w:val="21"/>
          <w:szCs w:val="21"/>
        </w:rPr>
        <w:t xml:space="preserve"> is </w:t>
      </w:r>
      <w:r w:rsidR="00760CC9" w:rsidRPr="007673BD">
        <w:rPr>
          <w:rFonts w:ascii="Arial" w:hAnsi="Arial" w:cs="Arial"/>
          <w:sz w:val="21"/>
          <w:szCs w:val="21"/>
        </w:rPr>
        <w:t xml:space="preserve">the </w:t>
      </w:r>
      <w:r w:rsidRPr="007673BD">
        <w:rPr>
          <w:rFonts w:ascii="Arial" w:hAnsi="Arial" w:cs="Arial"/>
          <w:sz w:val="21"/>
          <w:szCs w:val="21"/>
        </w:rPr>
        <w:t>current exit price</w:t>
      </w:r>
      <w:r w:rsidR="00760CC9" w:rsidRPr="007673BD">
        <w:rPr>
          <w:rFonts w:ascii="Arial" w:hAnsi="Arial" w:cs="Arial"/>
          <w:sz w:val="21"/>
          <w:szCs w:val="21"/>
        </w:rPr>
        <w:t xml:space="preserve"> (the price that would be received to sell an asset</w:t>
      </w:r>
      <w:r w:rsidR="00C130EC" w:rsidRPr="007673BD">
        <w:rPr>
          <w:rFonts w:ascii="Arial" w:hAnsi="Arial" w:cs="Arial"/>
          <w:sz w:val="21"/>
          <w:szCs w:val="21"/>
        </w:rPr>
        <w:t>,</w:t>
      </w:r>
      <w:r w:rsidR="00760CC9" w:rsidRPr="007673BD">
        <w:rPr>
          <w:rFonts w:ascii="Arial" w:hAnsi="Arial" w:cs="Arial"/>
          <w:sz w:val="21"/>
          <w:szCs w:val="21"/>
        </w:rPr>
        <w:t xml:space="preserve"> or paid to transfer a liability</w:t>
      </w:r>
      <w:r w:rsidR="00F55FD7" w:rsidRPr="007673BD">
        <w:rPr>
          <w:rFonts w:ascii="Arial" w:hAnsi="Arial" w:cs="Arial"/>
          <w:sz w:val="21"/>
          <w:szCs w:val="21"/>
        </w:rPr>
        <w:fldChar w:fldCharType="begin"/>
      </w:r>
      <w:r w:rsidR="00F55FD7" w:rsidRPr="007673BD">
        <w:rPr>
          <w:rFonts w:ascii="Arial" w:hAnsi="Arial" w:cs="Arial"/>
          <w:sz w:val="21"/>
          <w:szCs w:val="21"/>
        </w:rPr>
        <w:instrText xml:space="preserve"> NOTEREF _Ref417379738 \f \h  \* MERGEFORMAT </w:instrText>
      </w:r>
      <w:r w:rsidR="00F55FD7" w:rsidRPr="007673BD">
        <w:rPr>
          <w:rFonts w:ascii="Arial" w:hAnsi="Arial" w:cs="Arial"/>
          <w:sz w:val="21"/>
          <w:szCs w:val="21"/>
        </w:rPr>
      </w:r>
      <w:r w:rsidR="00F55FD7" w:rsidRPr="007673BD">
        <w:rPr>
          <w:rFonts w:ascii="Arial" w:hAnsi="Arial" w:cs="Arial"/>
          <w:sz w:val="21"/>
          <w:szCs w:val="21"/>
        </w:rPr>
        <w:fldChar w:fldCharType="separate"/>
      </w:r>
      <w:r w:rsidR="00A1335C" w:rsidRPr="00A1335C">
        <w:rPr>
          <w:rStyle w:val="EndnoteReference"/>
          <w:rFonts w:ascii="Arial" w:hAnsi="Arial" w:cs="Arial"/>
          <w:sz w:val="21"/>
          <w:szCs w:val="21"/>
        </w:rPr>
        <w:t>12</w:t>
      </w:r>
      <w:r w:rsidR="00F55FD7" w:rsidRPr="007673BD">
        <w:rPr>
          <w:rFonts w:ascii="Arial" w:hAnsi="Arial" w:cs="Arial"/>
          <w:sz w:val="21"/>
          <w:szCs w:val="21"/>
        </w:rPr>
        <w:fldChar w:fldCharType="end"/>
      </w:r>
      <w:r w:rsidR="00760CC9" w:rsidRPr="007673BD">
        <w:rPr>
          <w:rFonts w:ascii="Arial" w:hAnsi="Arial" w:cs="Arial"/>
          <w:sz w:val="21"/>
          <w:szCs w:val="21"/>
        </w:rPr>
        <w:t>)</w:t>
      </w:r>
      <w:r w:rsidR="00F65283" w:rsidRPr="007673BD">
        <w:rPr>
          <w:rFonts w:ascii="Arial" w:hAnsi="Arial" w:cs="Arial"/>
          <w:sz w:val="21"/>
          <w:szCs w:val="21"/>
        </w:rPr>
        <w:t xml:space="preserve">, </w:t>
      </w:r>
      <w:r w:rsidR="00760CC9" w:rsidRPr="007673BD">
        <w:rPr>
          <w:rFonts w:ascii="Arial" w:hAnsi="Arial" w:cs="Arial"/>
          <w:sz w:val="21"/>
          <w:szCs w:val="21"/>
        </w:rPr>
        <w:t>rather than</w:t>
      </w:r>
      <w:r w:rsidR="00F65283" w:rsidRPr="007673BD">
        <w:rPr>
          <w:rFonts w:ascii="Arial" w:hAnsi="Arial" w:cs="Arial"/>
          <w:sz w:val="21"/>
          <w:szCs w:val="21"/>
        </w:rPr>
        <w:t xml:space="preserve"> an entry price</w:t>
      </w:r>
      <w:r w:rsidR="00760CC9" w:rsidRPr="007673BD">
        <w:rPr>
          <w:rFonts w:ascii="Arial" w:hAnsi="Arial" w:cs="Arial"/>
          <w:sz w:val="21"/>
          <w:szCs w:val="21"/>
        </w:rPr>
        <w:t xml:space="preserve"> (the price paid to acquire the asset</w:t>
      </w:r>
      <w:r w:rsidR="00C130EC" w:rsidRPr="007673BD">
        <w:rPr>
          <w:rFonts w:ascii="Arial" w:hAnsi="Arial" w:cs="Arial"/>
          <w:sz w:val="21"/>
          <w:szCs w:val="21"/>
        </w:rPr>
        <w:t>,</w:t>
      </w:r>
      <w:r w:rsidR="00760CC9" w:rsidRPr="007673BD">
        <w:rPr>
          <w:rFonts w:ascii="Arial" w:hAnsi="Arial" w:cs="Arial"/>
          <w:sz w:val="21"/>
          <w:szCs w:val="21"/>
        </w:rPr>
        <w:t xml:space="preserve"> or received to assume a liability</w:t>
      </w:r>
      <w:r w:rsidR="00F55FD7" w:rsidRPr="007673BD">
        <w:rPr>
          <w:rFonts w:ascii="Arial" w:hAnsi="Arial" w:cs="Arial"/>
          <w:sz w:val="21"/>
          <w:szCs w:val="21"/>
        </w:rPr>
        <w:fldChar w:fldCharType="begin"/>
      </w:r>
      <w:r w:rsidR="00F55FD7" w:rsidRPr="007673BD">
        <w:rPr>
          <w:rFonts w:ascii="Arial" w:hAnsi="Arial" w:cs="Arial"/>
          <w:sz w:val="21"/>
          <w:szCs w:val="21"/>
        </w:rPr>
        <w:instrText xml:space="preserve"> NOTEREF _Ref417379738 \f \h  \* MERGEFORMAT </w:instrText>
      </w:r>
      <w:r w:rsidR="00F55FD7" w:rsidRPr="007673BD">
        <w:rPr>
          <w:rFonts w:ascii="Arial" w:hAnsi="Arial" w:cs="Arial"/>
          <w:sz w:val="21"/>
          <w:szCs w:val="21"/>
        </w:rPr>
      </w:r>
      <w:r w:rsidR="00F55FD7" w:rsidRPr="007673BD">
        <w:rPr>
          <w:rFonts w:ascii="Arial" w:hAnsi="Arial" w:cs="Arial"/>
          <w:sz w:val="21"/>
          <w:szCs w:val="21"/>
        </w:rPr>
        <w:fldChar w:fldCharType="separate"/>
      </w:r>
      <w:r w:rsidR="00A1335C" w:rsidRPr="00A1335C">
        <w:rPr>
          <w:rStyle w:val="EndnoteReference"/>
          <w:rFonts w:ascii="Arial" w:hAnsi="Arial" w:cs="Arial"/>
          <w:sz w:val="21"/>
          <w:szCs w:val="21"/>
        </w:rPr>
        <w:t>12</w:t>
      </w:r>
      <w:r w:rsidR="00F55FD7" w:rsidRPr="007673BD">
        <w:rPr>
          <w:rFonts w:ascii="Arial" w:hAnsi="Arial" w:cs="Arial"/>
          <w:sz w:val="21"/>
          <w:szCs w:val="21"/>
        </w:rPr>
        <w:fldChar w:fldCharType="end"/>
      </w:r>
      <w:r w:rsidR="00760CC9" w:rsidRPr="007673BD">
        <w:rPr>
          <w:rFonts w:ascii="Arial" w:hAnsi="Arial" w:cs="Arial"/>
          <w:sz w:val="21"/>
          <w:szCs w:val="21"/>
        </w:rPr>
        <w:t>)</w:t>
      </w:r>
      <w:r w:rsidRPr="007673BD">
        <w:rPr>
          <w:rFonts w:ascii="Arial" w:hAnsi="Arial" w:cs="Arial"/>
          <w:sz w:val="21"/>
          <w:szCs w:val="21"/>
        </w:rPr>
        <w:t>.</w:t>
      </w:r>
      <w:r w:rsidR="00F65283" w:rsidRPr="007673BD">
        <w:rPr>
          <w:rFonts w:ascii="Arial" w:hAnsi="Arial" w:cs="Arial"/>
          <w:color w:val="000000"/>
          <w:sz w:val="21"/>
          <w:szCs w:val="21"/>
        </w:rPr>
        <w:t xml:space="preserve"> </w:t>
      </w:r>
    </w:p>
    <w:p w14:paraId="6B74F509" w14:textId="77777777" w:rsidR="004B7200" w:rsidRPr="007673BD" w:rsidRDefault="001F7F99" w:rsidP="00F65283">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In order to comply with t</w:t>
      </w:r>
      <w:r w:rsidR="004B7200" w:rsidRPr="007673BD">
        <w:rPr>
          <w:rFonts w:ascii="Arial" w:hAnsi="Arial" w:cs="Arial"/>
          <w:color w:val="000000"/>
          <w:sz w:val="21"/>
          <w:szCs w:val="21"/>
        </w:rPr>
        <w:t xml:space="preserve">he </w:t>
      </w:r>
      <w:r w:rsidR="00760CC9" w:rsidRPr="007673BD">
        <w:rPr>
          <w:rFonts w:ascii="Arial" w:hAnsi="Arial" w:cs="Arial"/>
          <w:color w:val="000000"/>
          <w:sz w:val="21"/>
          <w:szCs w:val="21"/>
        </w:rPr>
        <w:t>framework</w:t>
      </w:r>
      <w:r w:rsidR="005E33C2" w:rsidRPr="007673BD">
        <w:rPr>
          <w:rFonts w:ascii="Arial" w:hAnsi="Arial" w:cs="Arial"/>
          <w:color w:val="000000"/>
          <w:sz w:val="21"/>
          <w:szCs w:val="21"/>
        </w:rPr>
        <w:t xml:space="preserve"> for measurement of fair value</w:t>
      </w:r>
      <w:r w:rsidR="0054210C" w:rsidRPr="007673BD">
        <w:rPr>
          <w:rFonts w:ascii="Arial" w:hAnsi="Arial" w:cs="Arial"/>
          <w:color w:val="000000"/>
          <w:sz w:val="21"/>
          <w:szCs w:val="21"/>
        </w:rPr>
        <w:t>,</w:t>
      </w:r>
      <w:r w:rsidR="00F65283" w:rsidRPr="007673BD">
        <w:rPr>
          <w:rFonts w:ascii="Arial" w:hAnsi="Arial" w:cs="Arial"/>
          <w:color w:val="000000"/>
          <w:sz w:val="21"/>
          <w:szCs w:val="21"/>
        </w:rPr>
        <w:t xml:space="preserve"> </w:t>
      </w:r>
      <w:r w:rsidR="004B7200" w:rsidRPr="007673BD">
        <w:rPr>
          <w:rFonts w:ascii="Arial" w:hAnsi="Arial" w:cs="Arial"/>
          <w:color w:val="000000"/>
          <w:sz w:val="21"/>
          <w:szCs w:val="21"/>
        </w:rPr>
        <w:t>specific</w:t>
      </w:r>
      <w:r w:rsidR="00F65283" w:rsidRPr="007673BD">
        <w:rPr>
          <w:rFonts w:ascii="Arial" w:hAnsi="Arial" w:cs="Arial"/>
          <w:color w:val="000000"/>
          <w:sz w:val="21"/>
          <w:szCs w:val="21"/>
        </w:rPr>
        <w:t>ally</w:t>
      </w:r>
      <w:r w:rsidRPr="007673BD">
        <w:rPr>
          <w:rFonts w:ascii="Arial" w:hAnsi="Arial" w:cs="Arial"/>
          <w:color w:val="000000"/>
          <w:sz w:val="21"/>
          <w:szCs w:val="21"/>
        </w:rPr>
        <w:t xml:space="preserve"> the</w:t>
      </w:r>
      <w:r w:rsidR="004B7200" w:rsidRPr="007673BD">
        <w:rPr>
          <w:rFonts w:ascii="Arial" w:hAnsi="Arial" w:cs="Arial"/>
          <w:color w:val="000000"/>
          <w:sz w:val="21"/>
          <w:szCs w:val="21"/>
        </w:rPr>
        <w:t xml:space="preserve"> requirements relating to highest and best use, valuation premise, and the principal (or, in its absence, the most advantageous) market</w:t>
      </w:r>
      <w:r w:rsidR="00760CC9" w:rsidRPr="007673BD">
        <w:rPr>
          <w:rFonts w:ascii="Arial" w:hAnsi="Arial" w:cs="Arial"/>
          <w:color w:val="000000"/>
          <w:sz w:val="21"/>
          <w:szCs w:val="21"/>
        </w:rPr>
        <w:t xml:space="preserve">, </w:t>
      </w:r>
      <w:r w:rsidRPr="007673BD">
        <w:rPr>
          <w:rFonts w:ascii="Arial" w:hAnsi="Arial" w:cs="Arial"/>
          <w:color w:val="000000"/>
          <w:sz w:val="21"/>
          <w:szCs w:val="21"/>
        </w:rPr>
        <w:t>the agency</w:t>
      </w:r>
      <w:r w:rsidR="004B7200" w:rsidRPr="007673BD">
        <w:rPr>
          <w:rFonts w:ascii="Arial" w:hAnsi="Arial" w:cs="Arial"/>
          <w:color w:val="000000"/>
          <w:sz w:val="21"/>
          <w:szCs w:val="21"/>
        </w:rPr>
        <w:t xml:space="preserve"> and their appraisers </w:t>
      </w:r>
      <w:r w:rsidRPr="007673BD">
        <w:rPr>
          <w:rFonts w:ascii="Arial" w:hAnsi="Arial" w:cs="Arial"/>
          <w:color w:val="000000"/>
          <w:sz w:val="21"/>
          <w:szCs w:val="21"/>
        </w:rPr>
        <w:t>must reassess</w:t>
      </w:r>
      <w:r w:rsidR="004B7200" w:rsidRPr="007673BD">
        <w:rPr>
          <w:rFonts w:ascii="Arial" w:hAnsi="Arial" w:cs="Arial"/>
          <w:color w:val="000000"/>
          <w:sz w:val="21"/>
          <w:szCs w:val="21"/>
        </w:rPr>
        <w:t xml:space="preserve"> and reconsider the methods, assumptions, processes and procedures for determining fair value.</w:t>
      </w:r>
    </w:p>
    <w:p w14:paraId="6B74F50A" w14:textId="77777777" w:rsidR="004B7200" w:rsidRPr="007673BD" w:rsidRDefault="004B7200" w:rsidP="00760CC9">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The exit price objective of a fair value measurement applies regardless of the </w:t>
      </w:r>
      <w:r w:rsidR="00C130EC" w:rsidRPr="007673BD">
        <w:rPr>
          <w:rFonts w:cs="Arial"/>
          <w:color w:val="000000"/>
          <w:sz w:val="21"/>
          <w:szCs w:val="21"/>
          <w:lang w:val="en-AU"/>
        </w:rPr>
        <w:t>agency’s</w:t>
      </w:r>
      <w:r w:rsidRPr="007673BD">
        <w:rPr>
          <w:rFonts w:cs="Arial"/>
          <w:color w:val="000000"/>
          <w:sz w:val="21"/>
          <w:szCs w:val="21"/>
          <w:lang w:val="en-AU"/>
        </w:rPr>
        <w:t xml:space="preserve"> intent and/or ability to sell the asset or transfer the liability at the measurement date. </w:t>
      </w:r>
    </w:p>
    <w:p w14:paraId="6B74F50B" w14:textId="7CE1F7A4" w:rsidR="004B7200" w:rsidRPr="007673BD" w:rsidRDefault="009020FD" w:rsidP="009020FD">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Fair value (t</w:t>
      </w:r>
      <w:r w:rsidR="004B7200" w:rsidRPr="007673BD">
        <w:rPr>
          <w:rFonts w:cs="Arial"/>
          <w:color w:val="000000"/>
          <w:sz w:val="21"/>
          <w:szCs w:val="21"/>
          <w:lang w:val="en-AU"/>
        </w:rPr>
        <w:t>he price in the exit market</w:t>
      </w:r>
      <w:r w:rsidRPr="007673BD">
        <w:rPr>
          <w:rFonts w:cs="Arial"/>
          <w:color w:val="000000"/>
          <w:sz w:val="21"/>
          <w:szCs w:val="21"/>
          <w:lang w:val="en-AU"/>
        </w:rPr>
        <w:t>)</w:t>
      </w:r>
      <w:r w:rsidR="004B7200" w:rsidRPr="007673BD">
        <w:rPr>
          <w:rFonts w:cs="Arial"/>
          <w:color w:val="000000"/>
          <w:sz w:val="21"/>
          <w:szCs w:val="21"/>
          <w:lang w:val="en-AU"/>
        </w:rPr>
        <w:t xml:space="preserve"> should not be adjusted for transaction costs. </w:t>
      </w:r>
      <w:r w:rsidRPr="007673BD">
        <w:rPr>
          <w:rFonts w:cs="Arial"/>
          <w:color w:val="000000"/>
          <w:sz w:val="21"/>
          <w:szCs w:val="21"/>
          <w:lang w:val="en-AU"/>
        </w:rPr>
        <w:t>A</w:t>
      </w:r>
      <w:r w:rsidR="004B7200" w:rsidRPr="007673BD">
        <w:rPr>
          <w:rFonts w:cs="Arial"/>
          <w:color w:val="000000"/>
          <w:sz w:val="21"/>
          <w:szCs w:val="21"/>
          <w:lang w:val="en-AU"/>
        </w:rPr>
        <w:t>ddition</w:t>
      </w:r>
      <w:r w:rsidRPr="007673BD">
        <w:rPr>
          <w:rFonts w:cs="Arial"/>
          <w:color w:val="000000"/>
          <w:sz w:val="21"/>
          <w:szCs w:val="21"/>
          <w:lang w:val="en-AU"/>
        </w:rPr>
        <w:t>ally</w:t>
      </w:r>
      <w:r w:rsidR="004B7200" w:rsidRPr="007673BD">
        <w:rPr>
          <w:rFonts w:cs="Arial"/>
          <w:color w:val="000000"/>
          <w:sz w:val="21"/>
          <w:szCs w:val="21"/>
          <w:lang w:val="en-AU"/>
        </w:rPr>
        <w:t xml:space="preserve">, </w:t>
      </w:r>
      <w:r w:rsidRPr="007673BD">
        <w:rPr>
          <w:rFonts w:cs="Arial"/>
          <w:color w:val="000000"/>
          <w:sz w:val="21"/>
          <w:szCs w:val="21"/>
          <w:lang w:val="en-AU"/>
        </w:rPr>
        <w:t xml:space="preserve">as </w:t>
      </w:r>
      <w:r w:rsidR="004B7200" w:rsidRPr="007673BD">
        <w:rPr>
          <w:rFonts w:cs="Arial"/>
          <w:color w:val="000000"/>
          <w:sz w:val="21"/>
          <w:szCs w:val="21"/>
          <w:lang w:val="en-AU"/>
        </w:rPr>
        <w:t xml:space="preserve">fair value is a market-based measurement, </w:t>
      </w:r>
      <w:r w:rsidR="008F5A37" w:rsidRPr="007673BD">
        <w:rPr>
          <w:rFonts w:cs="Arial"/>
          <w:color w:val="000000"/>
          <w:sz w:val="21"/>
          <w:szCs w:val="21"/>
          <w:lang w:val="en-AU"/>
        </w:rPr>
        <w:t>(</w:t>
      </w:r>
      <w:r w:rsidR="004B7200" w:rsidRPr="007673BD">
        <w:rPr>
          <w:rFonts w:cs="Arial"/>
          <w:color w:val="000000"/>
          <w:sz w:val="21"/>
          <w:szCs w:val="21"/>
          <w:lang w:val="en-AU"/>
        </w:rPr>
        <w:t>not an entity-specific measurement</w:t>
      </w:r>
      <w:r w:rsidR="008F5A37" w:rsidRPr="007673BD">
        <w:rPr>
          <w:rFonts w:cs="Arial"/>
          <w:color w:val="000000"/>
          <w:sz w:val="21"/>
          <w:szCs w:val="21"/>
          <w:lang w:val="en-AU"/>
        </w:rPr>
        <w:t>)</w:t>
      </w:r>
      <w:r w:rsidR="004B7200" w:rsidRPr="007673BD">
        <w:rPr>
          <w:rFonts w:cs="Arial"/>
          <w:color w:val="000000"/>
          <w:sz w:val="21"/>
          <w:szCs w:val="21"/>
          <w:lang w:val="en-AU"/>
        </w:rPr>
        <w:t xml:space="preserve">, </w:t>
      </w:r>
      <w:r w:rsidRPr="007673BD">
        <w:rPr>
          <w:rFonts w:cs="Arial"/>
          <w:color w:val="000000"/>
          <w:sz w:val="21"/>
          <w:szCs w:val="21"/>
          <w:lang w:val="en-AU"/>
        </w:rPr>
        <w:t>it</w:t>
      </w:r>
      <w:r w:rsidR="004B7200" w:rsidRPr="007673BD">
        <w:rPr>
          <w:rFonts w:cs="Arial"/>
          <w:color w:val="000000"/>
          <w:sz w:val="21"/>
          <w:szCs w:val="21"/>
          <w:lang w:val="en-AU"/>
        </w:rPr>
        <w:t xml:space="preserve"> is </w:t>
      </w:r>
      <w:r w:rsidRPr="007673BD">
        <w:rPr>
          <w:rFonts w:cs="Arial"/>
          <w:color w:val="000000"/>
          <w:sz w:val="21"/>
          <w:szCs w:val="21"/>
          <w:lang w:val="en-AU"/>
        </w:rPr>
        <w:t xml:space="preserve">to be </w:t>
      </w:r>
      <w:r w:rsidR="004B7200" w:rsidRPr="007673BD">
        <w:rPr>
          <w:rFonts w:cs="Arial"/>
          <w:color w:val="000000"/>
          <w:sz w:val="21"/>
          <w:szCs w:val="21"/>
          <w:lang w:val="en-AU"/>
        </w:rPr>
        <w:t xml:space="preserve">determined on the assumptions that market participants would use in pricing the asset or liability. </w:t>
      </w:r>
    </w:p>
    <w:p w14:paraId="6B74F50C" w14:textId="77777777" w:rsidR="004B7200" w:rsidRPr="007673BD" w:rsidRDefault="004B7200" w:rsidP="00760CC9">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eastAsiaTheme="minorHAnsi" w:hAnsi="Arial" w:cs="Arial"/>
          <w:color w:val="000000"/>
          <w:sz w:val="21"/>
          <w:szCs w:val="21"/>
        </w:rPr>
        <w:t>The objective of a fair value measurement does not change based on the level of activity in the exit market or the valuation technique(s) used. That is, fair value remains a market-</w:t>
      </w:r>
      <w:r w:rsidRPr="007673BD">
        <w:rPr>
          <w:rFonts w:ascii="Arial" w:eastAsiaTheme="minorHAnsi" w:hAnsi="Arial" w:cs="Arial"/>
          <w:color w:val="000000"/>
          <w:sz w:val="21"/>
          <w:szCs w:val="21"/>
        </w:rPr>
        <w:lastRenderedPageBreak/>
        <w:t>based exit price that considers the current market conditions as at the measurement date, even if there has been a significant decrease in the volume and level of activity for the asset or liability.</w:t>
      </w:r>
    </w:p>
    <w:p w14:paraId="6B74F50D" w14:textId="3D336527" w:rsidR="004B7200" w:rsidRPr="007673BD" w:rsidRDefault="009020FD" w:rsidP="00A02850">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The agency’s</w:t>
      </w:r>
      <w:r w:rsidR="004B7200" w:rsidRPr="007673BD">
        <w:rPr>
          <w:rFonts w:ascii="Arial" w:hAnsi="Arial" w:cs="Arial"/>
          <w:sz w:val="21"/>
          <w:szCs w:val="21"/>
        </w:rPr>
        <w:t xml:space="preserve"> current use of an asset is presumed to be its highest and best use, unless market or other factors suggest that a different use by market participants would maximise its value</w:t>
      </w:r>
      <w:r w:rsidR="00F55FD7" w:rsidRPr="007673BD">
        <w:rPr>
          <w:rFonts w:ascii="Arial" w:hAnsi="Arial" w:cs="Arial"/>
          <w:sz w:val="21"/>
          <w:szCs w:val="21"/>
        </w:rPr>
        <w:fldChar w:fldCharType="begin"/>
      </w:r>
      <w:r w:rsidR="00F55FD7" w:rsidRPr="007673BD">
        <w:rPr>
          <w:rFonts w:ascii="Arial" w:hAnsi="Arial" w:cs="Arial"/>
          <w:sz w:val="21"/>
          <w:szCs w:val="21"/>
        </w:rPr>
        <w:instrText xml:space="preserve"> NOTEREF _Ref417379738 \f \h  \* MERGEFORMAT </w:instrText>
      </w:r>
      <w:r w:rsidR="00F55FD7" w:rsidRPr="007673BD">
        <w:rPr>
          <w:rFonts w:ascii="Arial" w:hAnsi="Arial" w:cs="Arial"/>
          <w:sz w:val="21"/>
          <w:szCs w:val="21"/>
        </w:rPr>
      </w:r>
      <w:r w:rsidR="00F55FD7" w:rsidRPr="007673BD">
        <w:rPr>
          <w:rFonts w:ascii="Arial" w:hAnsi="Arial" w:cs="Arial"/>
          <w:sz w:val="21"/>
          <w:szCs w:val="21"/>
        </w:rPr>
        <w:fldChar w:fldCharType="separate"/>
      </w:r>
      <w:r w:rsidR="00A1335C" w:rsidRPr="00A1335C">
        <w:rPr>
          <w:rStyle w:val="EndnoteReference"/>
          <w:rFonts w:ascii="Arial" w:hAnsi="Arial" w:cs="Arial"/>
          <w:sz w:val="21"/>
          <w:szCs w:val="21"/>
        </w:rPr>
        <w:t>12</w:t>
      </w:r>
      <w:r w:rsidR="00F55FD7" w:rsidRPr="007673BD">
        <w:rPr>
          <w:rFonts w:ascii="Arial" w:hAnsi="Arial" w:cs="Arial"/>
          <w:sz w:val="21"/>
          <w:szCs w:val="21"/>
        </w:rPr>
        <w:fldChar w:fldCharType="end"/>
      </w:r>
      <w:r w:rsidR="004B7200" w:rsidRPr="007673BD">
        <w:rPr>
          <w:rFonts w:ascii="Arial" w:hAnsi="Arial" w:cs="Arial"/>
          <w:sz w:val="21"/>
          <w:szCs w:val="21"/>
        </w:rPr>
        <w:t xml:space="preserve">. If such factors exist, </w:t>
      </w:r>
      <w:r w:rsidRPr="007673BD">
        <w:rPr>
          <w:rFonts w:ascii="Arial" w:hAnsi="Arial" w:cs="Arial"/>
          <w:sz w:val="21"/>
          <w:szCs w:val="21"/>
        </w:rPr>
        <w:t xml:space="preserve">the agency </w:t>
      </w:r>
      <w:r w:rsidR="004B7200" w:rsidRPr="007673BD">
        <w:rPr>
          <w:rFonts w:ascii="Arial" w:hAnsi="Arial" w:cs="Arial"/>
          <w:sz w:val="21"/>
          <w:szCs w:val="21"/>
        </w:rPr>
        <w:t xml:space="preserve">is required to consider all relevant information in determining whether the highest and best use of an asset is different from its current use </w:t>
      </w:r>
      <w:r w:rsidRPr="007673BD">
        <w:rPr>
          <w:rFonts w:ascii="Arial" w:hAnsi="Arial" w:cs="Arial"/>
          <w:sz w:val="21"/>
          <w:szCs w:val="21"/>
        </w:rPr>
        <w:t xml:space="preserve">as </w:t>
      </w:r>
      <w:r w:rsidR="004B7200" w:rsidRPr="007673BD">
        <w:rPr>
          <w:rFonts w:ascii="Arial" w:hAnsi="Arial" w:cs="Arial"/>
          <w:sz w:val="21"/>
          <w:szCs w:val="21"/>
        </w:rPr>
        <w:t xml:space="preserve">at </w:t>
      </w:r>
      <w:r w:rsidRPr="007673BD">
        <w:rPr>
          <w:rFonts w:ascii="Arial" w:hAnsi="Arial" w:cs="Arial"/>
          <w:sz w:val="21"/>
          <w:szCs w:val="21"/>
        </w:rPr>
        <w:t xml:space="preserve">the </w:t>
      </w:r>
      <w:r w:rsidR="004B7200" w:rsidRPr="007673BD">
        <w:rPr>
          <w:rFonts w:ascii="Arial" w:hAnsi="Arial" w:cs="Arial"/>
          <w:sz w:val="21"/>
          <w:szCs w:val="21"/>
        </w:rPr>
        <w:t>measurement date.</w:t>
      </w:r>
    </w:p>
    <w:p w14:paraId="6B74F50E" w14:textId="77777777" w:rsidR="00EA772E" w:rsidRPr="007673BD" w:rsidRDefault="004B7200" w:rsidP="00A02850">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 xml:space="preserve">A fair value measurement of a non-financial asset takes into account a market participant’s ability to generate economic benefits by </w:t>
      </w:r>
      <w:r w:rsidR="00EA772E" w:rsidRPr="007673BD">
        <w:rPr>
          <w:rFonts w:ascii="Arial" w:hAnsi="Arial" w:cs="Arial"/>
          <w:color w:val="000000"/>
          <w:sz w:val="21"/>
          <w:szCs w:val="21"/>
        </w:rPr>
        <w:t xml:space="preserve">either </w:t>
      </w:r>
      <w:r w:rsidRPr="007673BD">
        <w:rPr>
          <w:rFonts w:ascii="Arial" w:hAnsi="Arial" w:cs="Arial"/>
          <w:color w:val="000000"/>
          <w:sz w:val="21"/>
          <w:szCs w:val="21"/>
        </w:rPr>
        <w:t>using the asset in its highest and best use</w:t>
      </w:r>
      <w:r w:rsidR="00EA772E" w:rsidRPr="007673BD">
        <w:rPr>
          <w:rFonts w:ascii="Arial" w:hAnsi="Arial" w:cs="Arial"/>
          <w:color w:val="000000"/>
          <w:sz w:val="21"/>
          <w:szCs w:val="21"/>
        </w:rPr>
        <w:t>,</w:t>
      </w:r>
      <w:r w:rsidRPr="007673BD">
        <w:rPr>
          <w:rFonts w:ascii="Arial" w:hAnsi="Arial" w:cs="Arial"/>
          <w:color w:val="000000"/>
          <w:sz w:val="21"/>
          <w:szCs w:val="21"/>
        </w:rPr>
        <w:t xml:space="preserve"> or by selling it to another market participant that would use the asset in its highest and best use. </w:t>
      </w:r>
    </w:p>
    <w:p w14:paraId="6B74F50F" w14:textId="77777777" w:rsidR="004B7200" w:rsidRPr="007673BD" w:rsidRDefault="004B7200" w:rsidP="00A02850">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The highest and best use of a non-financial asset takes into account the use of the asset that is physically possible, legally permissible and financially feasible, as follows:</w:t>
      </w:r>
    </w:p>
    <w:p w14:paraId="6B74F510" w14:textId="77777777" w:rsidR="004B7200" w:rsidRPr="007673BD" w:rsidRDefault="004B7200" w:rsidP="00A02850">
      <w:pPr>
        <w:pStyle w:val="ListParagraph"/>
        <w:numPr>
          <w:ilvl w:val="1"/>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A use that is physically possible takes into account the physical characteristics of the asset that market participants would take into account when pricing the asset (e.g. the location or size of a property). </w:t>
      </w:r>
    </w:p>
    <w:p w14:paraId="6B74F511" w14:textId="77777777" w:rsidR="004B7200" w:rsidRPr="007673BD" w:rsidRDefault="004B7200" w:rsidP="00A02850">
      <w:pPr>
        <w:pStyle w:val="ListParagraph"/>
        <w:numPr>
          <w:ilvl w:val="1"/>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A use that is legally permissible takes into account any legal restrictions on the use of the asset that market participants would take into account when pricing the asset (e.g. the zoning regulations applicable to a property or an obligation to provide a particular service with the asset). </w:t>
      </w:r>
    </w:p>
    <w:p w14:paraId="6B74F512" w14:textId="77777777" w:rsidR="004B7200" w:rsidRPr="007673BD" w:rsidRDefault="004B7200" w:rsidP="00A02850">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A use that is financially feasible takes into account whether a use of the asset that is physically possible and legally permissible generates adequate income or cash flows</w:t>
      </w:r>
      <w:r w:rsidR="00EA772E" w:rsidRPr="007673BD">
        <w:rPr>
          <w:rFonts w:ascii="Arial" w:hAnsi="Arial" w:cs="Arial"/>
          <w:color w:val="000000"/>
          <w:sz w:val="21"/>
          <w:szCs w:val="21"/>
        </w:rPr>
        <w:t>,</w:t>
      </w:r>
      <w:r w:rsidRPr="007673BD">
        <w:rPr>
          <w:rFonts w:ascii="Arial" w:hAnsi="Arial" w:cs="Arial"/>
          <w:color w:val="000000"/>
          <w:sz w:val="21"/>
          <w:szCs w:val="21"/>
        </w:rPr>
        <w:t xml:space="preserve"> (taking into account the costs of converting the asset to that use)</w:t>
      </w:r>
      <w:r w:rsidR="00EA772E" w:rsidRPr="007673BD">
        <w:rPr>
          <w:rFonts w:ascii="Arial" w:hAnsi="Arial" w:cs="Arial"/>
          <w:color w:val="000000"/>
          <w:sz w:val="21"/>
          <w:szCs w:val="21"/>
        </w:rPr>
        <w:t>,</w:t>
      </w:r>
      <w:r w:rsidRPr="007673BD">
        <w:rPr>
          <w:rFonts w:ascii="Arial" w:hAnsi="Arial" w:cs="Arial"/>
          <w:color w:val="000000"/>
          <w:sz w:val="21"/>
          <w:szCs w:val="21"/>
        </w:rPr>
        <w:t xml:space="preserve"> to produce an investment return that market participants would require from an investment in that asset put to that use.</w:t>
      </w:r>
    </w:p>
    <w:p w14:paraId="6B74F513" w14:textId="7C35513B" w:rsidR="002C5CE0" w:rsidRPr="007673BD" w:rsidRDefault="002C5CE0" w:rsidP="002C5CE0">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Following completion of th</w:t>
      </w:r>
      <w:r w:rsidR="004D0C2F" w:rsidRPr="007673BD">
        <w:rPr>
          <w:rFonts w:ascii="Arial" w:hAnsi="Arial" w:cs="Arial"/>
          <w:sz w:val="21"/>
          <w:szCs w:val="21"/>
        </w:rPr>
        <w:t>e independent revaluation, the F</w:t>
      </w:r>
      <w:r w:rsidRPr="007673BD">
        <w:rPr>
          <w:rFonts w:ascii="Arial" w:hAnsi="Arial" w:cs="Arial"/>
          <w:sz w:val="21"/>
          <w:szCs w:val="21"/>
        </w:rPr>
        <w:t>inance section will centrally adjust any revised asset values in the FMIS asset register, and include the resultant revaluation values within the financial statements each year.</w:t>
      </w:r>
    </w:p>
    <w:p w14:paraId="6B74F514" w14:textId="77777777" w:rsidR="004B7200" w:rsidRPr="007673BD" w:rsidRDefault="00EA772E" w:rsidP="00A02850">
      <w:pPr>
        <w:pStyle w:val="Default"/>
        <w:numPr>
          <w:ilvl w:val="0"/>
          <w:numId w:val="6"/>
        </w:numPr>
        <w:spacing w:after="120"/>
        <w:rPr>
          <w:rFonts w:ascii="Arial" w:hAnsi="Arial" w:cs="Arial"/>
          <w:sz w:val="21"/>
          <w:szCs w:val="21"/>
        </w:rPr>
      </w:pPr>
      <w:bookmarkStart w:id="21" w:name="_Ref415238804"/>
      <w:r w:rsidRPr="007673BD">
        <w:rPr>
          <w:rFonts w:ascii="Arial" w:hAnsi="Arial" w:cs="Arial"/>
          <w:sz w:val="21"/>
          <w:szCs w:val="21"/>
        </w:rPr>
        <w:t>The agency must</w:t>
      </w:r>
      <w:r w:rsidR="004B7200" w:rsidRPr="007673BD">
        <w:rPr>
          <w:rFonts w:ascii="Arial" w:hAnsi="Arial" w:cs="Arial"/>
          <w:sz w:val="21"/>
          <w:szCs w:val="21"/>
        </w:rPr>
        <w:t xml:space="preserve"> prepare valuations based on AASB 13 each financial year. The determination of the valuation technique(s) to be used requires significant judgement and will be dependent on the specific characteristics of the asset or liability being measured</w:t>
      </w:r>
      <w:r w:rsidRPr="007673BD">
        <w:rPr>
          <w:rFonts w:ascii="Arial" w:hAnsi="Arial" w:cs="Arial"/>
          <w:sz w:val="21"/>
          <w:szCs w:val="21"/>
        </w:rPr>
        <w:t>,</w:t>
      </w:r>
      <w:r w:rsidR="004B7200" w:rsidRPr="007673BD">
        <w:rPr>
          <w:rFonts w:ascii="Arial" w:hAnsi="Arial" w:cs="Arial"/>
          <w:sz w:val="21"/>
          <w:szCs w:val="21"/>
        </w:rPr>
        <w:t xml:space="preserve"> and the principal (or most advantageous) market in which market participants would transact for the asset or liability.</w:t>
      </w:r>
      <w:bookmarkEnd w:id="21"/>
      <w:r w:rsidR="004B7200" w:rsidRPr="007673BD">
        <w:rPr>
          <w:rFonts w:ascii="Arial" w:hAnsi="Arial" w:cs="Arial"/>
          <w:sz w:val="21"/>
          <w:szCs w:val="21"/>
        </w:rPr>
        <w:t xml:space="preserve"> </w:t>
      </w:r>
    </w:p>
    <w:p w14:paraId="6B74F515" w14:textId="77777777" w:rsidR="004B7200" w:rsidRPr="007673BD" w:rsidRDefault="004B7200" w:rsidP="000621E8">
      <w:pPr>
        <w:pStyle w:val="NormalWeb"/>
        <w:numPr>
          <w:ilvl w:val="0"/>
          <w:numId w:val="6"/>
        </w:numPr>
        <w:shd w:val="clear" w:color="auto" w:fill="FFFFFF"/>
        <w:spacing w:before="0" w:beforeAutospacing="0" w:after="0" w:afterAutospacing="0"/>
        <w:rPr>
          <w:rFonts w:ascii="Arial" w:hAnsi="Arial" w:cs="Arial"/>
          <w:sz w:val="21"/>
          <w:szCs w:val="21"/>
        </w:rPr>
      </w:pPr>
      <w:r w:rsidRPr="007673BD">
        <w:rPr>
          <w:rFonts w:ascii="Arial" w:hAnsi="Arial" w:cs="Arial"/>
          <w:color w:val="000000"/>
          <w:sz w:val="21"/>
          <w:szCs w:val="21"/>
        </w:rPr>
        <w:t>AASB 13 recognises three valuation approaches to measure fair value:</w:t>
      </w:r>
    </w:p>
    <w:p w14:paraId="6B74F516" w14:textId="77777777" w:rsidR="004B7200" w:rsidRPr="007673BD" w:rsidRDefault="004B7200" w:rsidP="00A02850">
      <w:pPr>
        <w:pStyle w:val="ListParagraph"/>
        <w:numPr>
          <w:ilvl w:val="1"/>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Market approach: based on market transactions involving identical or similar assets or liabilities. </w:t>
      </w:r>
    </w:p>
    <w:p w14:paraId="6B74F517" w14:textId="77777777" w:rsidR="004B7200" w:rsidRPr="007673BD" w:rsidRDefault="004B7200" w:rsidP="00A02850">
      <w:pPr>
        <w:pStyle w:val="ListParagraph"/>
        <w:numPr>
          <w:ilvl w:val="1"/>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Income approach: based on future amounts (e.g., cash flows or income and expenses) that are converted (discounted) to a single present amount. </w:t>
      </w:r>
    </w:p>
    <w:p w14:paraId="6B74F518" w14:textId="77777777" w:rsidR="004B7200" w:rsidRPr="007673BD" w:rsidRDefault="004B7200" w:rsidP="00A02850">
      <w:pPr>
        <w:pStyle w:val="ListParagraph"/>
        <w:numPr>
          <w:ilvl w:val="1"/>
          <w:numId w:val="6"/>
        </w:numPr>
        <w:autoSpaceDE w:val="0"/>
        <w:autoSpaceDN w:val="0"/>
        <w:adjustRightInd w:val="0"/>
        <w:contextualSpacing w:val="0"/>
        <w:rPr>
          <w:rFonts w:cs="Arial"/>
          <w:color w:val="000000"/>
          <w:sz w:val="21"/>
          <w:szCs w:val="21"/>
          <w:lang w:val="en-AU"/>
        </w:rPr>
      </w:pPr>
      <w:r w:rsidRPr="007673BD">
        <w:rPr>
          <w:rFonts w:eastAsiaTheme="minorHAnsi" w:cs="Arial"/>
          <w:color w:val="000000"/>
          <w:sz w:val="21"/>
          <w:szCs w:val="21"/>
          <w:lang w:val="en-AU"/>
        </w:rPr>
        <w:t>Cost approach: based on the amount required to replace the service potential of an asset.</w:t>
      </w:r>
    </w:p>
    <w:p w14:paraId="6B74F519" w14:textId="730D177B" w:rsidR="003F7587" w:rsidRPr="007673BD" w:rsidRDefault="006A564E" w:rsidP="000D6DE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For consistency and comparability, the ‘</w:t>
      </w:r>
      <w:r w:rsidR="000D6DED" w:rsidRPr="007673BD">
        <w:rPr>
          <w:rFonts w:ascii="Arial" w:hAnsi="Arial" w:cs="Arial"/>
          <w:sz w:val="21"/>
          <w:szCs w:val="21"/>
        </w:rPr>
        <w:t>f</w:t>
      </w:r>
      <w:r w:rsidRPr="007673BD">
        <w:rPr>
          <w:rFonts w:ascii="Arial" w:hAnsi="Arial" w:cs="Arial"/>
          <w:sz w:val="21"/>
          <w:szCs w:val="21"/>
        </w:rPr>
        <w:t>air value hierarchy’ (</w:t>
      </w:r>
      <w:r w:rsidR="00D16412" w:rsidRPr="007673BD">
        <w:rPr>
          <w:rFonts w:ascii="Arial" w:hAnsi="Arial" w:cs="Arial"/>
          <w:sz w:val="21"/>
          <w:szCs w:val="21"/>
        </w:rPr>
        <w:fldChar w:fldCharType="begin"/>
      </w:r>
      <w:r w:rsidR="00D16412" w:rsidRPr="007673BD">
        <w:rPr>
          <w:rFonts w:ascii="Arial" w:hAnsi="Arial" w:cs="Arial"/>
          <w:sz w:val="21"/>
          <w:szCs w:val="21"/>
        </w:rPr>
        <w:instrText xml:space="preserve"> REF _Ref409422071 \h  \* MERGEFORMAT </w:instrText>
      </w:r>
      <w:r w:rsidR="00D16412" w:rsidRPr="007673BD">
        <w:rPr>
          <w:rFonts w:ascii="Arial" w:hAnsi="Arial" w:cs="Arial"/>
          <w:sz w:val="21"/>
          <w:szCs w:val="21"/>
        </w:rPr>
      </w:r>
      <w:r w:rsidR="00D16412" w:rsidRPr="007673BD">
        <w:rPr>
          <w:rFonts w:ascii="Arial" w:hAnsi="Arial" w:cs="Arial"/>
          <w:sz w:val="21"/>
          <w:szCs w:val="21"/>
        </w:rPr>
        <w:fldChar w:fldCharType="separate"/>
      </w:r>
      <w:r w:rsidR="00A1335C" w:rsidRPr="00A1335C">
        <w:rPr>
          <w:rFonts w:ascii="Arial" w:hAnsi="Arial" w:cs="Arial"/>
          <w:sz w:val="21"/>
          <w:szCs w:val="21"/>
        </w:rPr>
        <w:t xml:space="preserve">Table </w:t>
      </w:r>
      <w:r w:rsidR="00A1335C" w:rsidRPr="00A1335C">
        <w:rPr>
          <w:rFonts w:ascii="Arial" w:hAnsi="Arial" w:cs="Arial"/>
          <w:noProof/>
          <w:sz w:val="21"/>
          <w:szCs w:val="21"/>
        </w:rPr>
        <w:t>3</w:t>
      </w:r>
      <w:r w:rsidR="00D16412" w:rsidRPr="007673BD">
        <w:rPr>
          <w:rFonts w:ascii="Arial" w:hAnsi="Arial" w:cs="Arial"/>
          <w:sz w:val="21"/>
          <w:szCs w:val="21"/>
        </w:rPr>
        <w:fldChar w:fldCharType="end"/>
      </w:r>
      <w:r w:rsidRPr="007673BD">
        <w:rPr>
          <w:rFonts w:ascii="Arial" w:hAnsi="Arial" w:cs="Arial"/>
          <w:sz w:val="21"/>
          <w:szCs w:val="21"/>
        </w:rPr>
        <w:t>) is to be used to prioritise the inputs in a fair value measurement</w:t>
      </w:r>
      <w:r w:rsidR="00F55FD7" w:rsidRPr="007673BD">
        <w:rPr>
          <w:rFonts w:ascii="Arial" w:hAnsi="Arial" w:cs="Arial"/>
          <w:sz w:val="21"/>
          <w:szCs w:val="21"/>
        </w:rPr>
        <w:fldChar w:fldCharType="begin"/>
      </w:r>
      <w:r w:rsidR="00F55FD7" w:rsidRPr="007673BD">
        <w:rPr>
          <w:rFonts w:ascii="Arial" w:hAnsi="Arial" w:cs="Arial"/>
          <w:sz w:val="21"/>
          <w:szCs w:val="21"/>
        </w:rPr>
        <w:instrText xml:space="preserve"> NOTEREF _Ref417379738 \f \h  \* MERGEFORMAT </w:instrText>
      </w:r>
      <w:r w:rsidR="00F55FD7" w:rsidRPr="007673BD">
        <w:rPr>
          <w:rFonts w:ascii="Arial" w:hAnsi="Arial" w:cs="Arial"/>
          <w:sz w:val="21"/>
          <w:szCs w:val="21"/>
        </w:rPr>
      </w:r>
      <w:r w:rsidR="00F55FD7" w:rsidRPr="007673BD">
        <w:rPr>
          <w:rFonts w:ascii="Arial" w:hAnsi="Arial" w:cs="Arial"/>
          <w:sz w:val="21"/>
          <w:szCs w:val="21"/>
        </w:rPr>
        <w:fldChar w:fldCharType="separate"/>
      </w:r>
      <w:r w:rsidR="00A1335C" w:rsidRPr="00A1335C">
        <w:rPr>
          <w:rStyle w:val="EndnoteReference"/>
          <w:rFonts w:ascii="Arial" w:hAnsi="Arial" w:cs="Arial"/>
          <w:sz w:val="21"/>
          <w:szCs w:val="21"/>
        </w:rPr>
        <w:t>12</w:t>
      </w:r>
      <w:r w:rsidR="00F55FD7" w:rsidRPr="007673BD">
        <w:rPr>
          <w:rFonts w:ascii="Arial" w:hAnsi="Arial" w:cs="Arial"/>
          <w:sz w:val="21"/>
          <w:szCs w:val="21"/>
        </w:rPr>
        <w:fldChar w:fldCharType="end"/>
      </w:r>
      <w:r w:rsidRPr="007673BD">
        <w:rPr>
          <w:rFonts w:ascii="Arial" w:hAnsi="Arial" w:cs="Arial"/>
          <w:sz w:val="21"/>
          <w:szCs w:val="21"/>
        </w:rPr>
        <w:t>.</w:t>
      </w:r>
      <w:r w:rsidR="000D6DED" w:rsidRPr="007673BD">
        <w:rPr>
          <w:rFonts w:ascii="Arial" w:hAnsi="Arial" w:cs="Arial"/>
          <w:sz w:val="21"/>
          <w:szCs w:val="21"/>
        </w:rPr>
        <w:t xml:space="preserve"> This </w:t>
      </w:r>
      <w:r w:rsidR="004B7200" w:rsidRPr="007673BD">
        <w:rPr>
          <w:rFonts w:ascii="Arial" w:hAnsi="Arial" w:cs="Arial"/>
          <w:color w:val="000000"/>
          <w:sz w:val="21"/>
          <w:szCs w:val="21"/>
        </w:rPr>
        <w:t>maximise</w:t>
      </w:r>
      <w:r w:rsidR="000D6DED" w:rsidRPr="007673BD">
        <w:rPr>
          <w:rFonts w:ascii="Arial" w:hAnsi="Arial" w:cs="Arial"/>
          <w:color w:val="000000"/>
          <w:sz w:val="21"/>
          <w:szCs w:val="21"/>
        </w:rPr>
        <w:t>s</w:t>
      </w:r>
      <w:r w:rsidR="004B7200" w:rsidRPr="007673BD">
        <w:rPr>
          <w:rFonts w:ascii="Arial" w:hAnsi="Arial" w:cs="Arial"/>
          <w:color w:val="000000"/>
          <w:sz w:val="21"/>
          <w:szCs w:val="21"/>
        </w:rPr>
        <w:t xml:space="preserve"> the use of relevant observable inputs</w:t>
      </w:r>
      <w:r w:rsidR="000D6DED" w:rsidRPr="007673BD">
        <w:rPr>
          <w:rFonts w:ascii="Arial" w:hAnsi="Arial" w:cs="Arial"/>
          <w:color w:val="000000"/>
          <w:sz w:val="21"/>
          <w:szCs w:val="21"/>
        </w:rPr>
        <w:t>,</w:t>
      </w:r>
      <w:r w:rsidR="004B7200" w:rsidRPr="007673BD">
        <w:rPr>
          <w:rFonts w:ascii="Arial" w:hAnsi="Arial" w:cs="Arial"/>
          <w:color w:val="000000"/>
          <w:sz w:val="21"/>
          <w:szCs w:val="21"/>
        </w:rPr>
        <w:t xml:space="preserve"> and minimise the use of unobservable inputs. The inputs used in measuring fair value drive categorisation of the fair value measurement (as a whole) within the fair value hierarchy. </w:t>
      </w:r>
    </w:p>
    <w:p w14:paraId="6B74F51A" w14:textId="77777777" w:rsidR="004B7200" w:rsidRPr="007673BD" w:rsidRDefault="003F7587" w:rsidP="000D6DE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In order to provide users with insight into the reliability of the fair value measurement, s</w:t>
      </w:r>
      <w:r w:rsidR="004B7200" w:rsidRPr="007673BD">
        <w:rPr>
          <w:rFonts w:ascii="Arial" w:hAnsi="Arial" w:cs="Arial"/>
          <w:color w:val="000000"/>
          <w:sz w:val="21"/>
          <w:szCs w:val="21"/>
        </w:rPr>
        <w:t>ignificant differences in disclosure requirements apply to fair value measurements categorised within each level of the hierarchy.</w:t>
      </w:r>
    </w:p>
    <w:p w14:paraId="6B74F51B" w14:textId="6A2D096B" w:rsidR="00D16412" w:rsidRPr="00AC3A52" w:rsidRDefault="00D16412" w:rsidP="00D16412">
      <w:pPr>
        <w:pStyle w:val="Caption"/>
        <w:keepNext/>
        <w:spacing w:before="120" w:after="0"/>
        <w:rPr>
          <w:rFonts w:cs="Arial"/>
        </w:rPr>
      </w:pPr>
      <w:bookmarkStart w:id="22" w:name="_Ref409422071"/>
      <w:r w:rsidRPr="00BD2B73">
        <w:rPr>
          <w:rFonts w:cs="Arial"/>
        </w:rPr>
        <w:lastRenderedPageBreak/>
        <w:t xml:space="preserve">Table </w:t>
      </w:r>
      <w:r w:rsidR="00EC5075" w:rsidRPr="00575808">
        <w:rPr>
          <w:rFonts w:cs="Arial"/>
        </w:rPr>
        <w:fldChar w:fldCharType="begin"/>
      </w:r>
      <w:r w:rsidR="00EC5075" w:rsidRPr="00AC3A52">
        <w:rPr>
          <w:rFonts w:cs="Arial"/>
        </w:rPr>
        <w:instrText xml:space="preserve"> SEQ Table \* ARABIC </w:instrText>
      </w:r>
      <w:r w:rsidR="00EC5075" w:rsidRPr="00575808">
        <w:rPr>
          <w:rFonts w:cs="Arial"/>
        </w:rPr>
        <w:fldChar w:fldCharType="separate"/>
      </w:r>
      <w:r w:rsidR="00A1335C">
        <w:rPr>
          <w:rFonts w:cs="Arial"/>
          <w:noProof/>
        </w:rPr>
        <w:t>3</w:t>
      </w:r>
      <w:r w:rsidR="00EC5075" w:rsidRPr="00575808">
        <w:rPr>
          <w:rFonts w:cs="Arial"/>
        </w:rPr>
        <w:fldChar w:fldCharType="end"/>
      </w:r>
      <w:bookmarkEnd w:id="22"/>
      <w:r w:rsidRPr="005773B6">
        <w:rPr>
          <w:rFonts w:cs="Arial"/>
          <w:b w:val="0"/>
        </w:rPr>
        <w:t xml:space="preserve">: The fair value hierarchy which </w:t>
      </w:r>
      <w:r w:rsidRPr="00234956">
        <w:rPr>
          <w:rFonts w:cs="Arial"/>
          <w:b w:val="0"/>
          <w:lang w:val="en-AU"/>
        </w:rPr>
        <w:t xml:space="preserve">prioritises </w:t>
      </w:r>
      <w:r w:rsidRPr="007056D1">
        <w:rPr>
          <w:rFonts w:cs="Arial"/>
          <w:b w:val="0"/>
        </w:rPr>
        <w:t>observable inputs</w:t>
      </w:r>
    </w:p>
    <w:tbl>
      <w:tblPr>
        <w:tblStyle w:val="TableGrid"/>
        <w:tblW w:w="8941" w:type="dxa"/>
        <w:tblInd w:w="108"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ayout w:type="fixed"/>
        <w:tblLook w:val="04A0" w:firstRow="1" w:lastRow="0" w:firstColumn="1" w:lastColumn="0" w:noHBand="0" w:noVBand="1"/>
        <w:tblDescription w:val="A table explaining the three leves of the 'fair value heirarchy'"/>
      </w:tblPr>
      <w:tblGrid>
        <w:gridCol w:w="862"/>
        <w:gridCol w:w="1026"/>
        <w:gridCol w:w="7053"/>
      </w:tblGrid>
      <w:tr w:rsidR="00B41504" w:rsidRPr="00AC3A52" w14:paraId="6B74F51F" w14:textId="77777777" w:rsidTr="00394475">
        <w:trPr>
          <w:trHeight w:val="602"/>
          <w:tblHeader/>
        </w:trPr>
        <w:tc>
          <w:tcPr>
            <w:tcW w:w="862" w:type="dxa"/>
            <w:vMerge w:val="restart"/>
            <w:shd w:val="clear" w:color="auto" w:fill="BDD6EE" w:themeFill="accent1" w:themeFillTint="66"/>
          </w:tcPr>
          <w:p w14:paraId="6B74F51C" w14:textId="77777777" w:rsidR="00B41504" w:rsidRPr="00AC3A52" w:rsidRDefault="00D16412" w:rsidP="00394475">
            <w:pPr>
              <w:pStyle w:val="NormalWeb"/>
              <w:spacing w:before="0" w:beforeAutospacing="0" w:after="0" w:afterAutospacing="0"/>
              <w:jc w:val="center"/>
              <w:rPr>
                <w:rFonts w:ascii="Arial" w:hAnsi="Arial" w:cs="Arial"/>
                <w:sz w:val="22"/>
                <w:szCs w:val="22"/>
              </w:rPr>
            </w:pPr>
            <w:r w:rsidRPr="00AC3A52">
              <w:rPr>
                <w:rFonts w:ascii="Arial" w:hAnsi="Arial" w:cs="Arial"/>
                <w:noProof/>
                <w:sz w:val="22"/>
                <w:szCs w:val="22"/>
              </w:rPr>
              <mc:AlternateContent>
                <mc:Choice Requires="wpg">
                  <w:drawing>
                    <wp:inline distT="0" distB="0" distL="0" distR="0" wp14:anchorId="496B9184" wp14:editId="418E586D">
                      <wp:extent cx="358445" cy="1071349"/>
                      <wp:effectExtent l="19050" t="19050" r="41910" b="14605"/>
                      <wp:docPr id="4" name="Group 4" descr="arrow to indicate priority"/>
                      <wp:cNvGraphicFramePr/>
                      <a:graphic xmlns:a="http://schemas.openxmlformats.org/drawingml/2006/main">
                        <a:graphicData uri="http://schemas.microsoft.com/office/word/2010/wordprocessingGroup">
                          <wpg:wgp>
                            <wpg:cNvGrpSpPr/>
                            <wpg:grpSpPr>
                              <a:xfrm>
                                <a:off x="0" y="0"/>
                                <a:ext cx="358445" cy="1071349"/>
                                <a:chOff x="0" y="0"/>
                                <a:chExt cx="358445" cy="1227753"/>
                              </a:xfrm>
                            </wpg:grpSpPr>
                            <wps:wsp>
                              <wps:cNvPr id="2" name="Up Arrow 2"/>
                              <wps:cNvSpPr/>
                              <wps:spPr>
                                <a:xfrm>
                                  <a:off x="0" y="0"/>
                                  <a:ext cx="358445" cy="1227184"/>
                                </a:xfrm>
                                <a:prstGeom prst="upArrow">
                                  <a:avLst>
                                    <a:gd name="adj1" fmla="val 50000"/>
                                    <a:gd name="adj2" fmla="val 49314"/>
                                  </a:avLst>
                                </a:prstGeom>
                                <a:ln w="9525"/>
                              </wps:spPr>
                              <wps:style>
                                <a:lnRef idx="2">
                                  <a:schemeClr val="accent1">
                                    <a:shade val="50000"/>
                                  </a:schemeClr>
                                </a:lnRef>
                                <a:fillRef idx="1">
                                  <a:schemeClr val="accent1"/>
                                </a:fillRef>
                                <a:effectRef idx="0">
                                  <a:schemeClr val="accent1"/>
                                </a:effectRef>
                                <a:fontRef idx="minor">
                                  <a:schemeClr val="lt1"/>
                                </a:fontRef>
                              </wps:style>
                              <wps:txbx>
                                <w:txbxContent>
                                  <w:p w14:paraId="6B74F79C" w14:textId="77777777" w:rsidR="000F1D48" w:rsidRPr="00D16412" w:rsidRDefault="000F1D48" w:rsidP="00D16412">
                                    <w:pPr>
                                      <w:spacing w:after="0"/>
                                      <w:jc w:val="center"/>
                                      <w:rPr>
                                        <w:sz w:val="16"/>
                                        <w:szCs w:val="16"/>
                                      </w:rPr>
                                    </w:pP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wps:wsp>
                              <wps:cNvPr id="307" name="Text Box 2"/>
                              <wps:cNvSpPr txBox="1">
                                <a:spLocks noChangeArrowheads="1"/>
                              </wps:cNvSpPr>
                              <wps:spPr bwMode="auto">
                                <a:xfrm rot="16200000">
                                  <a:off x="-402608" y="511791"/>
                                  <a:ext cx="1163955" cy="267970"/>
                                </a:xfrm>
                                <a:prstGeom prst="rect">
                                  <a:avLst/>
                                </a:prstGeom>
                                <a:noFill/>
                                <a:ln w="9525">
                                  <a:noFill/>
                                  <a:miter lim="800000"/>
                                  <a:headEnd/>
                                  <a:tailEnd/>
                                </a:ln>
                              </wps:spPr>
                              <wps:txbx>
                                <w:txbxContent>
                                  <w:p w14:paraId="6B74F79D" w14:textId="77777777" w:rsidR="000F1D48" w:rsidRPr="00D16412" w:rsidRDefault="000F1D48" w:rsidP="00B63A16">
                                    <w:pPr>
                                      <w:spacing w:after="0"/>
                                      <w:jc w:val="center"/>
                                      <w:rPr>
                                        <w:b/>
                                        <w:color w:val="FFFFFF" w:themeColor="background1"/>
                                        <w:sz w:val="20"/>
                                        <w:szCs w:val="20"/>
                                      </w:rPr>
                                    </w:pPr>
                                    <w:r w:rsidRPr="00D16412">
                                      <w:rPr>
                                        <w:b/>
                                        <w:color w:val="FFFFFF" w:themeColor="background1"/>
                                        <w:sz w:val="20"/>
                                        <w:szCs w:val="20"/>
                                      </w:rPr>
                                      <w:t>Priority</w:t>
                                    </w:r>
                                  </w:p>
                                </w:txbxContent>
                              </wps:txbx>
                              <wps:bodyPr rot="0" vert="horz" wrap="square" lIns="91440" tIns="45720" rIns="91440" bIns="45720" anchor="t" anchorCtr="0">
                                <a:noAutofit/>
                              </wps:bodyPr>
                            </wps:wsp>
                          </wpg:wgp>
                        </a:graphicData>
                      </a:graphic>
                    </wp:inline>
                  </w:drawing>
                </mc:Choice>
                <mc:Fallback>
                  <w:pict>
                    <v:group w14:anchorId="496B9184" id="Group 4" o:spid="_x0000_s1026" alt="arrow to indicate priority" style="width:28.2pt;height:84.35pt;mso-position-horizontal-relative:char;mso-position-vertical-relative:line" coordsize="3584,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7" type="#_x0000_t68" style="position:absolute;width:3584;height:122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PS8UA&#10;AADaAAAADwAAAGRycy9kb3ducmV2LnhtbESPQWvCQBSE74X+h+UVvIhu9FBKdBOkRW0PWpKK50f2&#10;maTNvo3ZVVN/vSsUehxm5htmnvamEWfqXG1ZwWQcgSAurK65VLD7Wo5eQDiPrLGxTAp+yUGaPD7M&#10;Mdb2whmdc1+KAGEXo4LK+zaW0hUVGXRj2xIH72A7gz7IrpS6w0uAm0ZOo+hZGqw5LFTY0mtFxU9+&#10;Mgo+7Xr/nQ3dtV1t3oaUHbfXD39SavDUL2YgPPX+P/zXftcKp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s9LxQAAANoAAAAPAAAAAAAAAAAAAAAAAJgCAABkcnMv&#10;ZG93bnJldi54bWxQSwUGAAAAAAQABAD1AAAAigMAAAAA&#10;" adj="3111" fillcolor="#5b9bd5 [3204]" strokecolor="#1f4d78 [1604]">
                        <v:textbox style="layout-flow:vertical;mso-layout-flow-alt:bottom-to-top">
                          <w:txbxContent>
                            <w:p w14:paraId="6B74F79C" w14:textId="77777777" w:rsidR="000F1D48" w:rsidRPr="00D16412" w:rsidRDefault="000F1D48" w:rsidP="00D16412">
                              <w:pPr>
                                <w:spacing w:after="0"/>
                                <w:jc w:val="center"/>
                                <w:rPr>
                                  <w:sz w:val="16"/>
                                  <w:szCs w:val="16"/>
                                </w:rPr>
                              </w:pPr>
                            </w:p>
                          </w:txbxContent>
                        </v:textbox>
                      </v:shape>
                      <v:shapetype id="_x0000_t202" coordsize="21600,21600" o:spt="202" path="m,l,21600r21600,l21600,xe">
                        <v:stroke joinstyle="miter"/>
                        <v:path gradientshapeok="t" o:connecttype="rect"/>
                      </v:shapetype>
                      <v:shape id="Text Box 2" o:spid="_x0000_s1028" type="#_x0000_t202" style="position:absolute;left:-4027;top:5117;width:11640;height:26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Q6sIA&#10;AADcAAAADwAAAGRycy9kb3ducmV2LnhtbESPQWvCQBSE74L/YXmFXqTuWqktqauoRfBqbO+P7DMJ&#10;zb4N2adJ/n23UOhxmJlvmPV28I26UxfrwBYWcwOKuAiu5tLC5+X49AYqCrLDJjBZGCnCdjOdrDFz&#10;oecz3XMpVYJwzNBCJdJmWseiIo9xHlri5F1D51GS7ErtOuwT3Df62ZiV9lhzWqiwpUNFxXd+8xbk&#10;Q+rgvmbmGs79y3485VH70drHh2H3DkpokP/wX/vkLCzNK/yeSUd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VDqwgAAANwAAAAPAAAAAAAAAAAAAAAAAJgCAABkcnMvZG93&#10;bnJldi54bWxQSwUGAAAAAAQABAD1AAAAhwMAAAAA&#10;" filled="f" stroked="f">
                        <v:textbox>
                          <w:txbxContent>
                            <w:p w14:paraId="6B74F79D" w14:textId="77777777" w:rsidR="000F1D48" w:rsidRPr="00D16412" w:rsidRDefault="000F1D48" w:rsidP="00B63A16">
                              <w:pPr>
                                <w:spacing w:after="0"/>
                                <w:jc w:val="center"/>
                                <w:rPr>
                                  <w:b/>
                                  <w:color w:val="FFFFFF" w:themeColor="background1"/>
                                  <w:sz w:val="20"/>
                                  <w:szCs w:val="20"/>
                                </w:rPr>
                              </w:pPr>
                              <w:r w:rsidRPr="00D16412">
                                <w:rPr>
                                  <w:b/>
                                  <w:color w:val="FFFFFF" w:themeColor="background1"/>
                                  <w:sz w:val="20"/>
                                  <w:szCs w:val="20"/>
                                </w:rPr>
                                <w:t>Priority</w:t>
                              </w:r>
                            </w:p>
                          </w:txbxContent>
                        </v:textbox>
                      </v:shape>
                      <w10:anchorlock/>
                    </v:group>
                  </w:pict>
                </mc:Fallback>
              </mc:AlternateContent>
            </w:r>
          </w:p>
        </w:tc>
        <w:tc>
          <w:tcPr>
            <w:tcW w:w="1026" w:type="dxa"/>
            <w:shd w:val="clear" w:color="auto" w:fill="BDD6EE" w:themeFill="accent1" w:themeFillTint="66"/>
          </w:tcPr>
          <w:p w14:paraId="6B74F51D"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sz w:val="21"/>
                <w:szCs w:val="21"/>
              </w:rPr>
              <w:t>Level 1</w:t>
            </w:r>
          </w:p>
        </w:tc>
        <w:tc>
          <w:tcPr>
            <w:tcW w:w="7053" w:type="dxa"/>
          </w:tcPr>
          <w:p w14:paraId="6B74F51E"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color w:val="000000"/>
                <w:sz w:val="21"/>
                <w:szCs w:val="21"/>
              </w:rPr>
              <w:t>Quoted prices, which are not adjusted, in an active market for identical assets and liabilities that the entity can access at the measurement date</w:t>
            </w:r>
          </w:p>
        </w:tc>
      </w:tr>
      <w:tr w:rsidR="00B41504" w:rsidRPr="00AC3A52" w14:paraId="6B74F523" w14:textId="77777777" w:rsidTr="00394475">
        <w:trPr>
          <w:trHeight w:val="419"/>
          <w:tblHeader/>
        </w:trPr>
        <w:tc>
          <w:tcPr>
            <w:tcW w:w="862" w:type="dxa"/>
            <w:vMerge/>
            <w:shd w:val="clear" w:color="auto" w:fill="BDD6EE" w:themeFill="accent1" w:themeFillTint="66"/>
          </w:tcPr>
          <w:p w14:paraId="6B74F520" w14:textId="77777777" w:rsidR="00B41504" w:rsidRPr="00AC3A52" w:rsidRDefault="00B41504" w:rsidP="00A40A3D">
            <w:pPr>
              <w:pStyle w:val="NormalWeb"/>
              <w:spacing w:before="0" w:beforeAutospacing="0" w:after="120" w:afterAutospacing="0"/>
              <w:rPr>
                <w:rFonts w:ascii="Arial" w:hAnsi="Arial" w:cs="Arial"/>
                <w:sz w:val="22"/>
                <w:szCs w:val="22"/>
              </w:rPr>
            </w:pPr>
          </w:p>
        </w:tc>
        <w:tc>
          <w:tcPr>
            <w:tcW w:w="1026" w:type="dxa"/>
            <w:shd w:val="clear" w:color="auto" w:fill="BDD6EE" w:themeFill="accent1" w:themeFillTint="66"/>
          </w:tcPr>
          <w:p w14:paraId="6B74F521"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sz w:val="21"/>
                <w:szCs w:val="21"/>
              </w:rPr>
              <w:t>Level 2</w:t>
            </w:r>
          </w:p>
        </w:tc>
        <w:tc>
          <w:tcPr>
            <w:tcW w:w="7053" w:type="dxa"/>
          </w:tcPr>
          <w:p w14:paraId="6B74F522"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color w:val="000000"/>
                <w:sz w:val="21"/>
                <w:szCs w:val="21"/>
              </w:rPr>
              <w:t>Inputs, other than quoted prices in Level 1, that are observable, either directly or indirectly</w:t>
            </w:r>
          </w:p>
        </w:tc>
      </w:tr>
      <w:tr w:rsidR="00B41504" w:rsidRPr="00AC3A52" w14:paraId="6B74F527" w14:textId="77777777" w:rsidTr="00394475">
        <w:trPr>
          <w:trHeight w:val="63"/>
          <w:tblHeader/>
        </w:trPr>
        <w:tc>
          <w:tcPr>
            <w:tcW w:w="862" w:type="dxa"/>
            <w:vMerge/>
            <w:shd w:val="clear" w:color="auto" w:fill="BDD6EE" w:themeFill="accent1" w:themeFillTint="66"/>
          </w:tcPr>
          <w:p w14:paraId="6B74F524" w14:textId="77777777" w:rsidR="00B41504" w:rsidRPr="00AC3A52" w:rsidRDefault="00B41504" w:rsidP="00A40A3D">
            <w:pPr>
              <w:pStyle w:val="NormalWeb"/>
              <w:spacing w:before="0" w:beforeAutospacing="0" w:after="120" w:afterAutospacing="0"/>
              <w:rPr>
                <w:rFonts w:ascii="Arial" w:hAnsi="Arial" w:cs="Arial"/>
                <w:sz w:val="22"/>
                <w:szCs w:val="22"/>
              </w:rPr>
            </w:pPr>
          </w:p>
        </w:tc>
        <w:tc>
          <w:tcPr>
            <w:tcW w:w="1026" w:type="dxa"/>
            <w:shd w:val="clear" w:color="auto" w:fill="BDD6EE" w:themeFill="accent1" w:themeFillTint="66"/>
          </w:tcPr>
          <w:p w14:paraId="6B74F525"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sz w:val="21"/>
                <w:szCs w:val="21"/>
              </w:rPr>
              <w:t>Level 3</w:t>
            </w:r>
          </w:p>
        </w:tc>
        <w:tc>
          <w:tcPr>
            <w:tcW w:w="7053" w:type="dxa"/>
          </w:tcPr>
          <w:p w14:paraId="6B74F526" w14:textId="77777777" w:rsidR="00B41504" w:rsidRPr="007673BD" w:rsidRDefault="00B41504" w:rsidP="00A40A3D">
            <w:pPr>
              <w:pStyle w:val="NormalWeb"/>
              <w:spacing w:before="0" w:beforeAutospacing="0" w:after="120" w:afterAutospacing="0"/>
              <w:rPr>
                <w:rFonts w:ascii="Arial" w:hAnsi="Arial" w:cs="Arial"/>
                <w:sz w:val="21"/>
                <w:szCs w:val="21"/>
              </w:rPr>
            </w:pPr>
            <w:r w:rsidRPr="007673BD">
              <w:rPr>
                <w:rFonts w:ascii="Arial" w:hAnsi="Arial" w:cs="Arial"/>
                <w:color w:val="000000"/>
                <w:sz w:val="21"/>
                <w:szCs w:val="21"/>
              </w:rPr>
              <w:t>Unobservable inputs</w:t>
            </w:r>
          </w:p>
        </w:tc>
      </w:tr>
    </w:tbl>
    <w:p w14:paraId="6B74F528" w14:textId="77777777" w:rsidR="004B7200" w:rsidRPr="007673BD" w:rsidRDefault="004B7200" w:rsidP="00A02850">
      <w:pPr>
        <w:pStyle w:val="ListParagraph"/>
        <w:numPr>
          <w:ilvl w:val="0"/>
          <w:numId w:val="6"/>
        </w:numPr>
        <w:autoSpaceDE w:val="0"/>
        <w:autoSpaceDN w:val="0"/>
        <w:adjustRightInd w:val="0"/>
        <w:spacing w:before="120"/>
        <w:contextualSpacing w:val="0"/>
        <w:rPr>
          <w:rFonts w:cs="Arial"/>
          <w:color w:val="000000"/>
          <w:sz w:val="21"/>
          <w:szCs w:val="21"/>
          <w:lang w:val="en-AU"/>
        </w:rPr>
      </w:pPr>
      <w:r w:rsidRPr="007673BD">
        <w:rPr>
          <w:rFonts w:cs="Arial"/>
          <w:color w:val="000000"/>
          <w:sz w:val="21"/>
          <w:szCs w:val="21"/>
          <w:lang w:val="en-AU"/>
        </w:rPr>
        <w:t>Regardless of whether the valuation was compiled internally or externally, management should review and understand the inputs used in the valuation to determine the</w:t>
      </w:r>
      <w:r w:rsidR="003F7587" w:rsidRPr="007673BD">
        <w:rPr>
          <w:rFonts w:cs="Arial"/>
          <w:color w:val="000000"/>
          <w:sz w:val="21"/>
          <w:szCs w:val="21"/>
          <w:lang w:val="en-AU"/>
        </w:rPr>
        <w:t>ir</w:t>
      </w:r>
      <w:r w:rsidRPr="007673BD">
        <w:rPr>
          <w:rFonts w:cs="Arial"/>
          <w:color w:val="000000"/>
          <w:sz w:val="21"/>
          <w:szCs w:val="21"/>
          <w:lang w:val="en-AU"/>
        </w:rPr>
        <w:t xml:space="preserve"> appropriate classification in the fair value hierarchy. </w:t>
      </w:r>
    </w:p>
    <w:p w14:paraId="6B74F529" w14:textId="77777777" w:rsidR="004B7200" w:rsidRPr="007673BD" w:rsidRDefault="004B7200" w:rsidP="00A02850">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A quoted price will not be considered </w:t>
      </w:r>
      <w:r w:rsidR="003F7587" w:rsidRPr="007673BD">
        <w:rPr>
          <w:rFonts w:cs="Arial"/>
          <w:color w:val="000000"/>
          <w:sz w:val="21"/>
          <w:szCs w:val="21"/>
          <w:lang w:val="en-AU"/>
        </w:rPr>
        <w:t>‘</w:t>
      </w:r>
      <w:r w:rsidRPr="007673BD">
        <w:rPr>
          <w:rFonts w:cs="Arial"/>
          <w:color w:val="000000"/>
          <w:sz w:val="21"/>
          <w:szCs w:val="21"/>
          <w:lang w:val="en-AU"/>
        </w:rPr>
        <w:t>level 1</w:t>
      </w:r>
      <w:r w:rsidR="003F7587" w:rsidRPr="007673BD">
        <w:rPr>
          <w:rFonts w:cs="Arial"/>
          <w:color w:val="000000"/>
          <w:sz w:val="21"/>
          <w:szCs w:val="21"/>
          <w:lang w:val="en-AU"/>
        </w:rPr>
        <w:t>’</w:t>
      </w:r>
      <w:r w:rsidRPr="007673BD">
        <w:rPr>
          <w:rFonts w:cs="Arial"/>
          <w:color w:val="000000"/>
          <w:sz w:val="21"/>
          <w:szCs w:val="21"/>
          <w:lang w:val="en-AU"/>
        </w:rPr>
        <w:t xml:space="preserve"> unless the market for the asset is active</w:t>
      </w:r>
      <w:r w:rsidR="003F7587" w:rsidRPr="007673BD">
        <w:rPr>
          <w:rFonts w:cs="Arial"/>
          <w:color w:val="000000"/>
          <w:sz w:val="21"/>
          <w:szCs w:val="21"/>
          <w:lang w:val="en-AU"/>
        </w:rPr>
        <w:t>,</w:t>
      </w:r>
      <w:r w:rsidRPr="007673BD">
        <w:rPr>
          <w:rFonts w:cs="Arial"/>
          <w:color w:val="000000"/>
          <w:sz w:val="21"/>
          <w:szCs w:val="21"/>
          <w:lang w:val="en-AU"/>
        </w:rPr>
        <w:t xml:space="preserve"> and the quoted price is for an asset </w:t>
      </w:r>
      <w:r w:rsidR="003F7587" w:rsidRPr="007673BD">
        <w:rPr>
          <w:rFonts w:cs="Arial"/>
          <w:color w:val="000000"/>
          <w:sz w:val="21"/>
          <w:szCs w:val="21"/>
          <w:lang w:val="en-AU"/>
        </w:rPr>
        <w:t xml:space="preserve">identical </w:t>
      </w:r>
      <w:r w:rsidRPr="007673BD">
        <w:rPr>
          <w:rFonts w:cs="Arial"/>
          <w:color w:val="000000"/>
          <w:sz w:val="21"/>
          <w:szCs w:val="21"/>
          <w:lang w:val="en-AU"/>
        </w:rPr>
        <w:t xml:space="preserve">to that being valued. In most cases, fair value measurements of non-financial assets would be categorised as level 2 or 3 on the basis that it is rare for identical assets to be actively traded. </w:t>
      </w:r>
    </w:p>
    <w:p w14:paraId="6B74F52A" w14:textId="77777777" w:rsidR="004B7200" w:rsidRPr="007673BD" w:rsidRDefault="004B7200" w:rsidP="00A02850">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Level 2 inputs include quoted prices (in non-active markets or in active markets for similar, but not identical assets or liabilities), observable inputs other than quoted prices and inputs that are not directly observable, but are corroborated by observable market data. </w:t>
      </w:r>
    </w:p>
    <w:p w14:paraId="6B74F52B" w14:textId="77777777" w:rsidR="004B7200" w:rsidRPr="007673BD" w:rsidRDefault="004B7200" w:rsidP="00A02850">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However, when an observable input is adjusted to reflect differences between the asset being valued and the observed transaction, depending on the significance of the adjustment it may cause the measurement to be categorised as a Level 3 measurement instead of a Level 2 measurement. </w:t>
      </w:r>
    </w:p>
    <w:p w14:paraId="6B74F52C" w14:textId="77777777" w:rsidR="004B7200" w:rsidRPr="007673BD" w:rsidRDefault="004B7200" w:rsidP="00A02850">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Where the valuation is based on unobservable inputs, categorisation will be in level 3 of the fair value hierarchy. </w:t>
      </w:r>
      <w:r w:rsidR="00D149D9" w:rsidRPr="007673BD">
        <w:rPr>
          <w:rFonts w:cs="Arial"/>
          <w:color w:val="000000"/>
          <w:sz w:val="21"/>
          <w:szCs w:val="21"/>
          <w:lang w:val="en-AU"/>
        </w:rPr>
        <w:t>An e</w:t>
      </w:r>
      <w:r w:rsidRPr="007673BD">
        <w:rPr>
          <w:rFonts w:cs="Arial"/>
          <w:color w:val="000000"/>
          <w:sz w:val="21"/>
          <w:szCs w:val="21"/>
          <w:lang w:val="en-AU"/>
        </w:rPr>
        <w:t xml:space="preserve">xample of </w:t>
      </w:r>
      <w:r w:rsidR="00D149D9" w:rsidRPr="007673BD">
        <w:rPr>
          <w:rFonts w:cs="Arial"/>
          <w:color w:val="000000"/>
          <w:sz w:val="21"/>
          <w:szCs w:val="21"/>
          <w:lang w:val="en-AU"/>
        </w:rPr>
        <w:t>unobservable input-based valuation</w:t>
      </w:r>
      <w:r w:rsidRPr="007673BD">
        <w:rPr>
          <w:rFonts w:cs="Arial"/>
          <w:color w:val="000000"/>
          <w:sz w:val="21"/>
          <w:szCs w:val="21"/>
          <w:lang w:val="en-AU"/>
        </w:rPr>
        <w:t xml:space="preserve"> may include </w:t>
      </w:r>
      <w:r w:rsidR="00D149D9" w:rsidRPr="007673BD">
        <w:rPr>
          <w:rFonts w:cs="Arial"/>
          <w:color w:val="000000"/>
          <w:sz w:val="21"/>
          <w:szCs w:val="21"/>
          <w:lang w:val="en-AU"/>
        </w:rPr>
        <w:t xml:space="preserve">for </w:t>
      </w:r>
      <w:r w:rsidRPr="007673BD">
        <w:rPr>
          <w:rFonts w:cs="Arial"/>
          <w:color w:val="000000"/>
          <w:sz w:val="21"/>
          <w:szCs w:val="21"/>
          <w:lang w:val="en-AU"/>
        </w:rPr>
        <w:t xml:space="preserve">transport and utility infrastructure </w:t>
      </w:r>
      <w:r w:rsidR="00D149D9" w:rsidRPr="007673BD">
        <w:rPr>
          <w:rFonts w:cs="Arial"/>
          <w:color w:val="000000"/>
          <w:sz w:val="21"/>
          <w:szCs w:val="21"/>
          <w:lang w:val="en-AU"/>
        </w:rPr>
        <w:t>(</w:t>
      </w:r>
      <w:r w:rsidRPr="007673BD">
        <w:rPr>
          <w:rFonts w:cs="Arial"/>
          <w:color w:val="000000"/>
          <w:sz w:val="21"/>
          <w:szCs w:val="21"/>
          <w:lang w:val="en-AU"/>
        </w:rPr>
        <w:t>such as electricity, gas and ports</w:t>
      </w:r>
      <w:r w:rsidR="00D149D9" w:rsidRPr="007673BD">
        <w:rPr>
          <w:rFonts w:cs="Arial"/>
          <w:color w:val="000000"/>
          <w:sz w:val="21"/>
          <w:szCs w:val="21"/>
          <w:lang w:val="en-AU"/>
        </w:rPr>
        <w:t>)</w:t>
      </w:r>
      <w:r w:rsidRPr="007673BD">
        <w:rPr>
          <w:rFonts w:cs="Arial"/>
          <w:color w:val="000000"/>
          <w:sz w:val="21"/>
          <w:szCs w:val="21"/>
          <w:lang w:val="en-AU"/>
        </w:rPr>
        <w:t xml:space="preserve"> which could be valued based on the income approach</w:t>
      </w:r>
      <w:r w:rsidR="00D149D9" w:rsidRPr="007673BD">
        <w:rPr>
          <w:rFonts w:cs="Arial"/>
          <w:color w:val="000000"/>
          <w:sz w:val="21"/>
          <w:szCs w:val="21"/>
          <w:lang w:val="en-AU"/>
        </w:rPr>
        <w:t>,</w:t>
      </w:r>
      <w:r w:rsidRPr="007673BD">
        <w:rPr>
          <w:rFonts w:cs="Arial"/>
          <w:color w:val="000000"/>
          <w:sz w:val="21"/>
          <w:szCs w:val="21"/>
          <w:lang w:val="en-AU"/>
        </w:rPr>
        <w:t xml:space="preserve"> using a discounted cash flow method. </w:t>
      </w:r>
    </w:p>
    <w:p w14:paraId="6B74F52D" w14:textId="77777777" w:rsidR="004B7200" w:rsidRPr="007673BD" w:rsidRDefault="004B7200" w:rsidP="00A02850">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color w:val="000000"/>
          <w:sz w:val="21"/>
          <w:szCs w:val="21"/>
        </w:rPr>
        <w:t xml:space="preserve">When selecting the most appropriate inputs to a fair value measurement from multiple available values, those that maximise the use of observable data, rather than unobservable data, must be selected. Care should, therefore, be taken in using a cost approach to measure fair value without appropriate consideration of the available observable inputs. Even in a market that is inactive, a </w:t>
      </w:r>
      <w:r w:rsidR="00D149D9" w:rsidRPr="007673BD">
        <w:rPr>
          <w:rFonts w:ascii="Arial" w:hAnsi="Arial" w:cs="Arial"/>
          <w:color w:val="000000"/>
          <w:sz w:val="21"/>
          <w:szCs w:val="21"/>
        </w:rPr>
        <w:t xml:space="preserve">not-for-profit </w:t>
      </w:r>
      <w:r w:rsidRPr="007673BD">
        <w:rPr>
          <w:rFonts w:ascii="Arial" w:hAnsi="Arial" w:cs="Arial"/>
          <w:color w:val="000000"/>
          <w:sz w:val="21"/>
          <w:szCs w:val="21"/>
        </w:rPr>
        <w:t xml:space="preserve">or public sector entity should not presume that the transactions in that market do not represent fair value or that the market is not orderly. </w:t>
      </w:r>
      <w:r w:rsidR="00D149D9" w:rsidRPr="007673BD">
        <w:rPr>
          <w:rFonts w:ascii="Arial" w:hAnsi="Arial" w:cs="Arial"/>
          <w:color w:val="000000"/>
          <w:sz w:val="21"/>
          <w:szCs w:val="21"/>
        </w:rPr>
        <w:t xml:space="preserve">Accordingly, the agency </w:t>
      </w:r>
      <w:r w:rsidRPr="007673BD">
        <w:rPr>
          <w:rFonts w:ascii="Arial" w:hAnsi="Arial" w:cs="Arial"/>
          <w:color w:val="000000"/>
          <w:sz w:val="21"/>
          <w:szCs w:val="21"/>
        </w:rPr>
        <w:t>will need to consider the individual facts and circumstances in making this assessment.</w:t>
      </w:r>
    </w:p>
    <w:p w14:paraId="6B74F52E" w14:textId="77777777" w:rsidR="004B7200" w:rsidRPr="005773B6" w:rsidRDefault="004B7200" w:rsidP="004C511C">
      <w:pPr>
        <w:pStyle w:val="Heading4"/>
        <w:rPr>
          <w:rFonts w:cs="Arial"/>
        </w:rPr>
      </w:pPr>
      <w:r w:rsidRPr="0055665E">
        <w:rPr>
          <w:rFonts w:cs="Arial"/>
        </w:rPr>
        <w:t xml:space="preserve">Asset </w:t>
      </w:r>
      <w:r w:rsidR="004C511C" w:rsidRPr="0055665E">
        <w:rPr>
          <w:rFonts w:cs="Arial"/>
        </w:rPr>
        <w:t>i</w:t>
      </w:r>
      <w:r w:rsidRPr="00BD2B73">
        <w:rPr>
          <w:rFonts w:cs="Arial"/>
        </w:rPr>
        <w:t xml:space="preserve">mpairment and </w:t>
      </w:r>
      <w:r w:rsidR="004C511C" w:rsidRPr="00BD2B73">
        <w:rPr>
          <w:rFonts w:cs="Arial"/>
        </w:rPr>
        <w:t>u</w:t>
      </w:r>
      <w:r w:rsidRPr="00575808">
        <w:rPr>
          <w:rFonts w:cs="Arial"/>
        </w:rPr>
        <w:t xml:space="preserve">seful </w:t>
      </w:r>
      <w:r w:rsidR="004C511C" w:rsidRPr="00575808">
        <w:rPr>
          <w:rFonts w:cs="Arial"/>
        </w:rPr>
        <w:t>l</w:t>
      </w:r>
      <w:r w:rsidRPr="005773B6">
        <w:rPr>
          <w:rFonts w:cs="Arial"/>
        </w:rPr>
        <w:t>ife</w:t>
      </w:r>
    </w:p>
    <w:p w14:paraId="6B74F52F" w14:textId="54F6945D" w:rsidR="004B7200" w:rsidRPr="007673BD" w:rsidRDefault="00D149D9"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agency </w:t>
      </w:r>
      <w:r w:rsidR="004B7200" w:rsidRPr="007673BD">
        <w:rPr>
          <w:rFonts w:ascii="Arial" w:hAnsi="Arial" w:cs="Arial"/>
          <w:sz w:val="21"/>
          <w:szCs w:val="21"/>
        </w:rPr>
        <w:t xml:space="preserve">must assess whether its </w:t>
      </w:r>
      <w:r w:rsidR="00677EE6" w:rsidRPr="007673BD">
        <w:rPr>
          <w:rFonts w:ascii="Arial" w:hAnsi="Arial" w:cs="Arial"/>
          <w:sz w:val="21"/>
          <w:szCs w:val="21"/>
        </w:rPr>
        <w:t xml:space="preserve">non-financial </w:t>
      </w:r>
      <w:r w:rsidR="004B7200" w:rsidRPr="007673BD">
        <w:rPr>
          <w:rFonts w:ascii="Arial" w:hAnsi="Arial" w:cs="Arial"/>
          <w:sz w:val="21"/>
          <w:szCs w:val="21"/>
        </w:rPr>
        <w:t>assets</w:t>
      </w:r>
      <w:r w:rsidR="00677EE6" w:rsidRPr="007673BD">
        <w:rPr>
          <w:rFonts w:ascii="Arial" w:hAnsi="Arial" w:cs="Arial"/>
          <w:sz w:val="21"/>
          <w:szCs w:val="21"/>
        </w:rPr>
        <w:t xml:space="preserve"> (other than inventories)</w:t>
      </w:r>
      <w:r w:rsidR="004B7200" w:rsidRPr="007673BD">
        <w:rPr>
          <w:rFonts w:ascii="Arial" w:hAnsi="Arial" w:cs="Arial"/>
          <w:sz w:val="21"/>
          <w:szCs w:val="21"/>
        </w:rPr>
        <w:t xml:space="preserve"> are impaired (i.e.</w:t>
      </w:r>
      <w:r w:rsidRPr="007673BD">
        <w:rPr>
          <w:rFonts w:ascii="Arial" w:hAnsi="Arial" w:cs="Arial"/>
          <w:sz w:val="21"/>
          <w:szCs w:val="21"/>
        </w:rPr>
        <w:t>,</w:t>
      </w:r>
      <w:r w:rsidR="004B7200" w:rsidRPr="007673BD">
        <w:rPr>
          <w:rFonts w:ascii="Arial" w:hAnsi="Arial" w:cs="Arial"/>
          <w:sz w:val="21"/>
          <w:szCs w:val="21"/>
        </w:rPr>
        <w:t xml:space="preserve"> </w:t>
      </w:r>
      <w:r w:rsidRPr="007673BD">
        <w:rPr>
          <w:rFonts w:ascii="Arial" w:hAnsi="Arial" w:cs="Arial"/>
          <w:sz w:val="21"/>
          <w:szCs w:val="21"/>
        </w:rPr>
        <w:t xml:space="preserve">where </w:t>
      </w:r>
      <w:r w:rsidR="004B7200" w:rsidRPr="007673BD">
        <w:rPr>
          <w:rFonts w:ascii="Arial" w:hAnsi="Arial" w:cs="Arial"/>
          <w:sz w:val="21"/>
          <w:szCs w:val="21"/>
        </w:rPr>
        <w:t>assets are recorded in the asset register at higher than their recoverable amount)</w:t>
      </w:r>
      <w:bookmarkStart w:id="23" w:name="_Ref409429297"/>
      <w:r w:rsidRPr="007673BD">
        <w:rPr>
          <w:rStyle w:val="EndnoteReference"/>
          <w:rFonts w:ascii="Arial" w:hAnsi="Arial" w:cs="Arial"/>
          <w:sz w:val="21"/>
          <w:szCs w:val="21"/>
        </w:rPr>
        <w:endnoteReference w:id="5"/>
      </w:r>
      <w:bookmarkEnd w:id="23"/>
      <w:r w:rsidR="004B7200" w:rsidRPr="007673BD">
        <w:rPr>
          <w:rFonts w:ascii="Arial" w:hAnsi="Arial" w:cs="Arial"/>
          <w:sz w:val="21"/>
          <w:szCs w:val="21"/>
        </w:rPr>
        <w:t xml:space="preserve">. </w:t>
      </w:r>
      <w:r w:rsidR="00677EE6" w:rsidRPr="007673BD">
        <w:rPr>
          <w:rFonts w:ascii="Arial" w:hAnsi="Arial" w:cs="Arial"/>
          <w:sz w:val="21"/>
          <w:szCs w:val="21"/>
        </w:rPr>
        <w:t xml:space="preserve"> The ‘r</w:t>
      </w:r>
      <w:r w:rsidR="004B7200" w:rsidRPr="007673BD">
        <w:rPr>
          <w:rFonts w:ascii="Arial" w:hAnsi="Arial" w:cs="Arial"/>
          <w:sz w:val="21"/>
          <w:szCs w:val="21"/>
        </w:rPr>
        <w:t>ecoverable amount</w:t>
      </w:r>
      <w:r w:rsidR="00677EE6" w:rsidRPr="007673BD">
        <w:rPr>
          <w:rFonts w:ascii="Arial" w:hAnsi="Arial" w:cs="Arial"/>
          <w:sz w:val="21"/>
          <w:szCs w:val="21"/>
        </w:rPr>
        <w:t>’</w:t>
      </w:r>
      <w:r w:rsidR="004B7200" w:rsidRPr="007673BD">
        <w:rPr>
          <w:rFonts w:ascii="Arial" w:hAnsi="Arial" w:cs="Arial"/>
          <w:sz w:val="21"/>
          <w:szCs w:val="21"/>
        </w:rPr>
        <w:t xml:space="preserve"> </w:t>
      </w:r>
      <w:r w:rsidR="00677EE6" w:rsidRPr="007673BD">
        <w:rPr>
          <w:rFonts w:ascii="Arial" w:hAnsi="Arial" w:cs="Arial"/>
          <w:sz w:val="21"/>
          <w:szCs w:val="21"/>
        </w:rPr>
        <w:t xml:space="preserve">of an asset </w:t>
      </w:r>
      <w:r w:rsidR="004B7200" w:rsidRPr="007673BD">
        <w:rPr>
          <w:rFonts w:ascii="Arial" w:hAnsi="Arial" w:cs="Arial"/>
          <w:sz w:val="21"/>
          <w:szCs w:val="21"/>
        </w:rPr>
        <w:t xml:space="preserve">is defined as the higher of </w:t>
      </w:r>
      <w:r w:rsidR="00677EE6" w:rsidRPr="007673BD">
        <w:rPr>
          <w:rFonts w:ascii="Arial" w:hAnsi="Arial" w:cs="Arial"/>
          <w:sz w:val="21"/>
          <w:szCs w:val="21"/>
        </w:rPr>
        <w:t xml:space="preserve">its </w:t>
      </w:r>
      <w:r w:rsidR="004B7200" w:rsidRPr="007673BD">
        <w:rPr>
          <w:rFonts w:ascii="Arial" w:hAnsi="Arial" w:cs="Arial"/>
          <w:sz w:val="21"/>
          <w:szCs w:val="21"/>
        </w:rPr>
        <w:t>fair value</w:t>
      </w:r>
      <w:r w:rsidR="00677EE6" w:rsidRPr="007673BD">
        <w:rPr>
          <w:rFonts w:ascii="Arial" w:hAnsi="Arial" w:cs="Arial"/>
          <w:sz w:val="21"/>
          <w:szCs w:val="21"/>
        </w:rPr>
        <w:t>,</w:t>
      </w:r>
      <w:r w:rsidR="004B7200" w:rsidRPr="007673BD">
        <w:rPr>
          <w:rFonts w:ascii="Arial" w:hAnsi="Arial" w:cs="Arial"/>
          <w:sz w:val="21"/>
          <w:szCs w:val="21"/>
        </w:rPr>
        <w:t xml:space="preserve"> less disposal costs (</w:t>
      </w:r>
      <w:r w:rsidR="008F6F81" w:rsidRPr="007673BD">
        <w:rPr>
          <w:rFonts w:ascii="Arial" w:hAnsi="Arial" w:cs="Arial"/>
          <w:sz w:val="21"/>
          <w:szCs w:val="21"/>
        </w:rPr>
        <w:t>costs directly attributable to the disposal of an asset or cash-generating unit under review and other cash-generating units</w:t>
      </w:r>
      <w:r w:rsidR="004B7200" w:rsidRPr="007673BD">
        <w:rPr>
          <w:rFonts w:ascii="Arial" w:hAnsi="Arial" w:cs="Arial"/>
          <w:sz w:val="21"/>
          <w:szCs w:val="21"/>
        </w:rPr>
        <w:t xml:space="preserve">) and </w:t>
      </w:r>
      <w:r w:rsidR="00C90D4F" w:rsidRPr="007673BD">
        <w:rPr>
          <w:rFonts w:ascii="Arial" w:hAnsi="Arial" w:cs="Arial"/>
          <w:sz w:val="21"/>
          <w:szCs w:val="21"/>
        </w:rPr>
        <w:t xml:space="preserve">its </w:t>
      </w:r>
      <w:r w:rsidR="004B7200" w:rsidRPr="007673BD">
        <w:rPr>
          <w:rFonts w:ascii="Arial" w:hAnsi="Arial" w:cs="Arial"/>
          <w:sz w:val="21"/>
          <w:szCs w:val="21"/>
        </w:rPr>
        <w:t>value in use (an estimate of the present value of the future cash flows expected from an asset)</w:t>
      </w:r>
      <w:r w:rsidR="00C90D4F" w:rsidRPr="007673BD">
        <w:rPr>
          <w:rFonts w:ascii="Arial" w:hAnsi="Arial" w:cs="Arial"/>
          <w:sz w:val="21"/>
          <w:szCs w:val="21"/>
        </w:rPr>
        <w:fldChar w:fldCharType="begin"/>
      </w:r>
      <w:r w:rsidR="00C90D4F" w:rsidRPr="007673BD">
        <w:rPr>
          <w:rFonts w:ascii="Arial" w:hAnsi="Arial" w:cs="Arial"/>
          <w:sz w:val="21"/>
          <w:szCs w:val="21"/>
        </w:rPr>
        <w:instrText xml:space="preserve"> NOTEREF _Ref409429297 \f \h  \* MERGEFORMAT </w:instrText>
      </w:r>
      <w:r w:rsidR="00C90D4F" w:rsidRPr="007673BD">
        <w:rPr>
          <w:rFonts w:ascii="Arial" w:hAnsi="Arial" w:cs="Arial"/>
          <w:sz w:val="21"/>
          <w:szCs w:val="21"/>
        </w:rPr>
      </w:r>
      <w:r w:rsidR="00C90D4F" w:rsidRPr="007673BD">
        <w:rPr>
          <w:rFonts w:ascii="Arial" w:hAnsi="Arial" w:cs="Arial"/>
          <w:sz w:val="21"/>
          <w:szCs w:val="21"/>
        </w:rPr>
        <w:fldChar w:fldCharType="separate"/>
      </w:r>
      <w:r w:rsidR="00A1335C" w:rsidRPr="00A1335C">
        <w:rPr>
          <w:rStyle w:val="EndnoteReference"/>
          <w:rFonts w:ascii="Arial" w:hAnsi="Arial" w:cs="Arial"/>
          <w:sz w:val="21"/>
          <w:szCs w:val="21"/>
        </w:rPr>
        <w:t>4</w:t>
      </w:r>
      <w:r w:rsidR="00C90D4F" w:rsidRPr="007673BD">
        <w:rPr>
          <w:rFonts w:ascii="Arial" w:hAnsi="Arial" w:cs="Arial"/>
          <w:sz w:val="21"/>
          <w:szCs w:val="21"/>
        </w:rPr>
        <w:fldChar w:fldCharType="end"/>
      </w:r>
      <w:r w:rsidR="004B7200" w:rsidRPr="007673BD">
        <w:rPr>
          <w:rFonts w:ascii="Arial" w:hAnsi="Arial" w:cs="Arial"/>
          <w:sz w:val="21"/>
          <w:szCs w:val="21"/>
        </w:rPr>
        <w:t>.</w:t>
      </w:r>
    </w:p>
    <w:p w14:paraId="6B74F530" w14:textId="77777777"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To address this requirement, </w:t>
      </w:r>
      <w:r w:rsidR="00C90D4F" w:rsidRPr="007673BD">
        <w:rPr>
          <w:rFonts w:ascii="Arial" w:hAnsi="Arial" w:cs="Arial"/>
          <w:sz w:val="21"/>
          <w:szCs w:val="21"/>
        </w:rPr>
        <w:t>the agency requires s</w:t>
      </w:r>
      <w:r w:rsidRPr="007673BD">
        <w:rPr>
          <w:rFonts w:ascii="Arial" w:hAnsi="Arial" w:cs="Arial"/>
          <w:sz w:val="21"/>
          <w:szCs w:val="21"/>
        </w:rPr>
        <w:t xml:space="preserve">ections to assess impairment of assets as part of the annual </w:t>
      </w:r>
      <w:r w:rsidR="00C90D4F" w:rsidRPr="007673BD">
        <w:rPr>
          <w:rFonts w:ascii="Arial" w:hAnsi="Arial" w:cs="Arial"/>
          <w:sz w:val="21"/>
          <w:szCs w:val="21"/>
        </w:rPr>
        <w:t xml:space="preserve">asset </w:t>
      </w:r>
      <w:r w:rsidRPr="007673BD">
        <w:rPr>
          <w:rFonts w:ascii="Arial" w:hAnsi="Arial" w:cs="Arial"/>
          <w:sz w:val="21"/>
          <w:szCs w:val="21"/>
        </w:rPr>
        <w:t xml:space="preserve">stocktake process. Sections are </w:t>
      </w:r>
      <w:r w:rsidR="00C90D4F" w:rsidRPr="007673BD">
        <w:rPr>
          <w:rFonts w:ascii="Arial" w:hAnsi="Arial" w:cs="Arial"/>
          <w:sz w:val="21"/>
          <w:szCs w:val="21"/>
        </w:rPr>
        <w:t xml:space="preserve">required </w:t>
      </w:r>
      <w:r w:rsidRPr="007673BD">
        <w:rPr>
          <w:rFonts w:ascii="Arial" w:hAnsi="Arial" w:cs="Arial"/>
          <w:sz w:val="21"/>
          <w:szCs w:val="21"/>
        </w:rPr>
        <w:t>to determine whether any assets are impaired and</w:t>
      </w:r>
      <w:r w:rsidR="00C90D4F" w:rsidRPr="007673BD">
        <w:rPr>
          <w:rFonts w:ascii="Arial" w:hAnsi="Arial" w:cs="Arial"/>
          <w:sz w:val="21"/>
          <w:szCs w:val="21"/>
        </w:rPr>
        <w:t xml:space="preserve"> if so,</w:t>
      </w:r>
      <w:r w:rsidRPr="007673BD">
        <w:rPr>
          <w:rFonts w:ascii="Arial" w:hAnsi="Arial" w:cs="Arial"/>
          <w:sz w:val="21"/>
          <w:szCs w:val="21"/>
        </w:rPr>
        <w:t xml:space="preserve"> to categorise </w:t>
      </w:r>
      <w:r w:rsidR="00C90D4F" w:rsidRPr="007673BD">
        <w:rPr>
          <w:rFonts w:ascii="Arial" w:hAnsi="Arial" w:cs="Arial"/>
          <w:sz w:val="21"/>
          <w:szCs w:val="21"/>
        </w:rPr>
        <w:t xml:space="preserve">this </w:t>
      </w:r>
      <w:r w:rsidRPr="007673BD">
        <w:rPr>
          <w:rFonts w:ascii="Arial" w:hAnsi="Arial" w:cs="Arial"/>
          <w:sz w:val="21"/>
          <w:szCs w:val="21"/>
        </w:rPr>
        <w:t xml:space="preserve">impairment </w:t>
      </w:r>
      <w:r w:rsidR="00C90D4F" w:rsidRPr="007673BD">
        <w:rPr>
          <w:rFonts w:ascii="Arial" w:hAnsi="Arial" w:cs="Arial"/>
          <w:sz w:val="21"/>
          <w:szCs w:val="21"/>
        </w:rPr>
        <w:t xml:space="preserve">as </w:t>
      </w:r>
      <w:r w:rsidRPr="007673BD">
        <w:rPr>
          <w:rFonts w:ascii="Arial" w:hAnsi="Arial" w:cs="Arial"/>
          <w:sz w:val="21"/>
          <w:szCs w:val="21"/>
        </w:rPr>
        <w:t>one of the following categories:</w:t>
      </w:r>
    </w:p>
    <w:p w14:paraId="6B74F531" w14:textId="77777777" w:rsidR="004B7200" w:rsidRPr="007673BD" w:rsidRDefault="00C90D4F" w:rsidP="00A40A3D">
      <w:pPr>
        <w:numPr>
          <w:ilvl w:val="1"/>
          <w:numId w:val="6"/>
        </w:numPr>
        <w:shd w:val="clear" w:color="auto" w:fill="FFFFFF"/>
        <w:rPr>
          <w:rFonts w:cs="Arial"/>
          <w:sz w:val="21"/>
          <w:szCs w:val="21"/>
          <w:lang w:val="en-AU"/>
        </w:rPr>
      </w:pPr>
      <w:r w:rsidRPr="007673BD">
        <w:rPr>
          <w:rFonts w:cs="Arial"/>
          <w:sz w:val="21"/>
          <w:szCs w:val="21"/>
          <w:lang w:val="en-AU"/>
        </w:rPr>
        <w:t>P</w:t>
      </w:r>
      <w:r w:rsidR="004B7200" w:rsidRPr="007673BD">
        <w:rPr>
          <w:rFonts w:cs="Arial"/>
          <w:sz w:val="21"/>
          <w:szCs w:val="21"/>
          <w:lang w:val="en-AU"/>
        </w:rPr>
        <w:t xml:space="preserve">hysical damage </w:t>
      </w:r>
      <w:r w:rsidRPr="007673BD">
        <w:rPr>
          <w:rFonts w:cs="Arial"/>
          <w:sz w:val="21"/>
          <w:szCs w:val="21"/>
          <w:lang w:val="en-AU"/>
        </w:rPr>
        <w:t xml:space="preserve">and </w:t>
      </w:r>
      <w:r w:rsidR="004B7200" w:rsidRPr="007673BD">
        <w:rPr>
          <w:rFonts w:cs="Arial"/>
          <w:sz w:val="21"/>
          <w:szCs w:val="21"/>
          <w:lang w:val="en-AU"/>
        </w:rPr>
        <w:t xml:space="preserve">obsolescence impairment – </w:t>
      </w:r>
      <w:r w:rsidR="00C54EDA" w:rsidRPr="007673BD">
        <w:rPr>
          <w:rFonts w:cs="Arial"/>
          <w:sz w:val="21"/>
          <w:szCs w:val="21"/>
          <w:lang w:val="en-AU"/>
        </w:rPr>
        <w:t xml:space="preserve">where </w:t>
      </w:r>
      <w:r w:rsidR="004B7200" w:rsidRPr="007673BD">
        <w:rPr>
          <w:rFonts w:cs="Arial"/>
          <w:sz w:val="21"/>
          <w:szCs w:val="21"/>
          <w:lang w:val="en-AU"/>
        </w:rPr>
        <w:t>the asset has suffered physical damage</w:t>
      </w:r>
      <w:r w:rsidR="00C54EDA" w:rsidRPr="007673BD">
        <w:rPr>
          <w:rFonts w:cs="Arial"/>
          <w:sz w:val="21"/>
          <w:szCs w:val="21"/>
          <w:lang w:val="en-AU"/>
        </w:rPr>
        <w:t>,</w:t>
      </w:r>
      <w:r w:rsidR="004B7200" w:rsidRPr="007673BD">
        <w:rPr>
          <w:rFonts w:cs="Arial"/>
          <w:sz w:val="21"/>
          <w:szCs w:val="21"/>
          <w:lang w:val="en-AU"/>
        </w:rPr>
        <w:t xml:space="preserve"> or is to become obsolete </w:t>
      </w:r>
      <w:r w:rsidR="00C54EDA" w:rsidRPr="007673BD">
        <w:rPr>
          <w:rFonts w:cs="Arial"/>
          <w:sz w:val="21"/>
          <w:szCs w:val="21"/>
          <w:lang w:val="en-AU"/>
        </w:rPr>
        <w:t xml:space="preserve">shortly and </w:t>
      </w:r>
      <w:r w:rsidR="004B7200" w:rsidRPr="007673BD">
        <w:rPr>
          <w:rFonts w:cs="Arial"/>
          <w:sz w:val="21"/>
          <w:szCs w:val="21"/>
          <w:lang w:val="en-AU"/>
        </w:rPr>
        <w:t>earlier than anticipated</w:t>
      </w:r>
    </w:p>
    <w:p w14:paraId="6B74F532" w14:textId="77777777" w:rsidR="004B7200" w:rsidRPr="007673BD" w:rsidRDefault="00C54EDA" w:rsidP="00A40A3D">
      <w:pPr>
        <w:numPr>
          <w:ilvl w:val="1"/>
          <w:numId w:val="6"/>
        </w:numPr>
        <w:shd w:val="clear" w:color="auto" w:fill="FFFFFF"/>
        <w:rPr>
          <w:rFonts w:cs="Arial"/>
          <w:sz w:val="21"/>
          <w:szCs w:val="21"/>
          <w:lang w:val="en-AU"/>
        </w:rPr>
      </w:pPr>
      <w:r w:rsidRPr="007673BD">
        <w:rPr>
          <w:rFonts w:cs="Arial"/>
          <w:sz w:val="21"/>
          <w:szCs w:val="21"/>
          <w:lang w:val="en-AU"/>
        </w:rPr>
        <w:t>U</w:t>
      </w:r>
      <w:r w:rsidR="004B7200" w:rsidRPr="007673BD">
        <w:rPr>
          <w:rFonts w:cs="Arial"/>
          <w:sz w:val="21"/>
          <w:szCs w:val="21"/>
          <w:lang w:val="en-AU"/>
        </w:rPr>
        <w:t xml:space="preserve">sage impairment – </w:t>
      </w:r>
      <w:r w:rsidRPr="007673BD">
        <w:rPr>
          <w:rFonts w:cs="Arial"/>
          <w:sz w:val="21"/>
          <w:szCs w:val="21"/>
          <w:lang w:val="en-AU"/>
        </w:rPr>
        <w:t xml:space="preserve">where </w:t>
      </w:r>
      <w:r w:rsidR="004B7200" w:rsidRPr="007673BD">
        <w:rPr>
          <w:rFonts w:cs="Arial"/>
          <w:sz w:val="21"/>
          <w:szCs w:val="21"/>
          <w:lang w:val="en-AU"/>
        </w:rPr>
        <w:t xml:space="preserve">significant changes have impacted on the work area resulting in </w:t>
      </w:r>
      <w:r w:rsidRPr="007673BD">
        <w:rPr>
          <w:rFonts w:cs="Arial"/>
          <w:sz w:val="21"/>
          <w:szCs w:val="21"/>
          <w:lang w:val="en-AU"/>
        </w:rPr>
        <w:t xml:space="preserve">a previously used </w:t>
      </w:r>
      <w:r w:rsidR="004B7200" w:rsidRPr="007673BD">
        <w:rPr>
          <w:rFonts w:cs="Arial"/>
          <w:sz w:val="21"/>
          <w:szCs w:val="21"/>
          <w:lang w:val="en-AU"/>
        </w:rPr>
        <w:t xml:space="preserve">asset becoming idle, significantly under-utilised or </w:t>
      </w:r>
      <w:r w:rsidRPr="007673BD">
        <w:rPr>
          <w:rFonts w:cs="Arial"/>
          <w:sz w:val="21"/>
          <w:szCs w:val="21"/>
          <w:lang w:val="en-AU"/>
        </w:rPr>
        <w:t xml:space="preserve">where </w:t>
      </w:r>
      <w:r w:rsidR="004B7200" w:rsidRPr="007673BD">
        <w:rPr>
          <w:rFonts w:cs="Arial"/>
          <w:sz w:val="21"/>
          <w:szCs w:val="21"/>
          <w:lang w:val="en-AU"/>
        </w:rPr>
        <w:t>there are plans to dispose of the asset ahead of its normal useful life</w:t>
      </w:r>
    </w:p>
    <w:p w14:paraId="6B74F533" w14:textId="77777777" w:rsidR="004B7200" w:rsidRPr="007673BD" w:rsidRDefault="00C54EDA" w:rsidP="00A40A3D">
      <w:pPr>
        <w:numPr>
          <w:ilvl w:val="1"/>
          <w:numId w:val="6"/>
        </w:numPr>
        <w:shd w:val="clear" w:color="auto" w:fill="FFFFFF"/>
        <w:rPr>
          <w:rFonts w:cs="Arial"/>
          <w:sz w:val="21"/>
          <w:szCs w:val="21"/>
          <w:lang w:val="en-AU"/>
        </w:rPr>
      </w:pPr>
      <w:r w:rsidRPr="007673BD">
        <w:rPr>
          <w:rFonts w:cs="Arial"/>
          <w:sz w:val="21"/>
          <w:szCs w:val="21"/>
          <w:lang w:val="en-AU"/>
        </w:rPr>
        <w:lastRenderedPageBreak/>
        <w:t>E</w:t>
      </w:r>
      <w:r w:rsidR="004B7200" w:rsidRPr="007673BD">
        <w:rPr>
          <w:rFonts w:cs="Arial"/>
          <w:sz w:val="21"/>
          <w:szCs w:val="21"/>
          <w:lang w:val="en-AU"/>
        </w:rPr>
        <w:t xml:space="preserve">conomic performance impairment – </w:t>
      </w:r>
      <w:r w:rsidRPr="007673BD">
        <w:rPr>
          <w:rFonts w:cs="Arial"/>
          <w:sz w:val="21"/>
          <w:szCs w:val="21"/>
          <w:lang w:val="en-AU"/>
        </w:rPr>
        <w:t xml:space="preserve">where </w:t>
      </w:r>
      <w:r w:rsidR="004B7200" w:rsidRPr="007673BD">
        <w:rPr>
          <w:rFonts w:cs="Arial"/>
          <w:sz w:val="21"/>
          <w:szCs w:val="21"/>
          <w:lang w:val="en-AU"/>
        </w:rPr>
        <w:t>the performance/capability of the asset is/will be worse than expected.</w:t>
      </w:r>
    </w:p>
    <w:p w14:paraId="6B74F534" w14:textId="4B71AD21"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Where an asset</w:t>
      </w:r>
      <w:r w:rsidR="00C54EDA" w:rsidRPr="007673BD">
        <w:rPr>
          <w:rFonts w:ascii="Arial" w:hAnsi="Arial" w:cs="Arial"/>
          <w:sz w:val="21"/>
          <w:szCs w:val="21"/>
        </w:rPr>
        <w:t xml:space="preserve"> is determined to be impaired, s</w:t>
      </w:r>
      <w:r w:rsidRPr="007673BD">
        <w:rPr>
          <w:rFonts w:ascii="Arial" w:hAnsi="Arial" w:cs="Arial"/>
          <w:sz w:val="21"/>
          <w:szCs w:val="21"/>
        </w:rPr>
        <w:t>ections are required to assess whether the carrying book value accurately reflects the fair value of the asset given local conditions</w:t>
      </w:r>
      <w:r w:rsidR="001871E6" w:rsidRPr="007673BD">
        <w:rPr>
          <w:rFonts w:ascii="Arial" w:hAnsi="Arial" w:cs="Arial"/>
          <w:sz w:val="21"/>
          <w:szCs w:val="21"/>
        </w:rPr>
        <w:t>,</w:t>
      </w:r>
      <w:r w:rsidRPr="007673BD">
        <w:rPr>
          <w:rFonts w:ascii="Arial" w:hAnsi="Arial" w:cs="Arial"/>
          <w:sz w:val="21"/>
          <w:szCs w:val="21"/>
        </w:rPr>
        <w:t xml:space="preserve"> and/or whether the remaining lifespan of the asset remains valid.</w:t>
      </w:r>
    </w:p>
    <w:p w14:paraId="6B74F535" w14:textId="546084D1" w:rsidR="004B7200" w:rsidRPr="007673BD" w:rsidRDefault="004D0C2F"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The agency (via the F</w:t>
      </w:r>
      <w:r w:rsidR="00500234" w:rsidRPr="007673BD">
        <w:rPr>
          <w:rFonts w:ascii="Arial" w:hAnsi="Arial" w:cs="Arial"/>
          <w:sz w:val="21"/>
          <w:szCs w:val="21"/>
        </w:rPr>
        <w:t xml:space="preserve">inance section), will include </w:t>
      </w:r>
      <w:r w:rsidR="001871E6" w:rsidRPr="007673BD">
        <w:rPr>
          <w:rFonts w:ascii="Arial" w:hAnsi="Arial" w:cs="Arial"/>
          <w:sz w:val="21"/>
          <w:szCs w:val="21"/>
        </w:rPr>
        <w:t>with</w:t>
      </w:r>
      <w:r w:rsidR="00500234" w:rsidRPr="007673BD">
        <w:rPr>
          <w:rFonts w:ascii="Arial" w:hAnsi="Arial" w:cs="Arial"/>
          <w:sz w:val="21"/>
          <w:szCs w:val="21"/>
        </w:rPr>
        <w:t>in its annual financial statements whether any external indicators of impairment of individual or groups of assets have been considered. Indicators that should be considered include</w:t>
      </w:r>
      <w:r w:rsidR="004B7200" w:rsidRPr="007673BD">
        <w:rPr>
          <w:rFonts w:ascii="Arial" w:hAnsi="Arial" w:cs="Arial"/>
          <w:sz w:val="21"/>
          <w:szCs w:val="21"/>
        </w:rPr>
        <w:t>:</w:t>
      </w:r>
    </w:p>
    <w:p w14:paraId="6B74F536" w14:textId="77777777" w:rsidR="004B7200" w:rsidRPr="007673BD" w:rsidRDefault="00C54EDA" w:rsidP="00A40A3D">
      <w:pPr>
        <w:numPr>
          <w:ilvl w:val="1"/>
          <w:numId w:val="6"/>
        </w:numPr>
        <w:shd w:val="clear" w:color="auto" w:fill="FFFFFF"/>
        <w:rPr>
          <w:rFonts w:cs="Arial"/>
          <w:sz w:val="21"/>
          <w:szCs w:val="21"/>
          <w:lang w:val="en-AU"/>
        </w:rPr>
      </w:pPr>
      <w:r w:rsidRPr="007673BD">
        <w:rPr>
          <w:rFonts w:cs="Arial"/>
          <w:sz w:val="21"/>
          <w:szCs w:val="21"/>
          <w:lang w:val="en-AU"/>
        </w:rPr>
        <w:t>S</w:t>
      </w:r>
      <w:r w:rsidR="004B7200" w:rsidRPr="007673BD">
        <w:rPr>
          <w:rFonts w:cs="Arial"/>
          <w:sz w:val="21"/>
          <w:szCs w:val="21"/>
          <w:lang w:val="en-AU"/>
        </w:rPr>
        <w:t>ignificant decline in an asset’s market value a result of th</w:t>
      </w:r>
      <w:r w:rsidRPr="007673BD">
        <w:rPr>
          <w:rFonts w:cs="Arial"/>
          <w:sz w:val="21"/>
          <w:szCs w:val="21"/>
          <w:lang w:val="en-AU"/>
        </w:rPr>
        <w:t>e passage of time or normal use</w:t>
      </w:r>
    </w:p>
    <w:p w14:paraId="6B74F537" w14:textId="77777777" w:rsidR="004B7200" w:rsidRPr="007673BD" w:rsidRDefault="00C54EDA" w:rsidP="00A40A3D">
      <w:pPr>
        <w:numPr>
          <w:ilvl w:val="1"/>
          <w:numId w:val="6"/>
        </w:numPr>
        <w:shd w:val="clear" w:color="auto" w:fill="FFFFFF"/>
        <w:rPr>
          <w:rFonts w:cs="Arial"/>
          <w:sz w:val="21"/>
          <w:szCs w:val="21"/>
          <w:lang w:val="en-AU"/>
        </w:rPr>
      </w:pPr>
      <w:r w:rsidRPr="007673BD">
        <w:rPr>
          <w:rFonts w:cs="Arial"/>
          <w:sz w:val="21"/>
          <w:szCs w:val="21"/>
          <w:lang w:val="en-AU"/>
        </w:rPr>
        <w:t>S</w:t>
      </w:r>
      <w:r w:rsidR="004B7200" w:rsidRPr="007673BD">
        <w:rPr>
          <w:rFonts w:cs="Arial"/>
          <w:sz w:val="21"/>
          <w:szCs w:val="21"/>
          <w:lang w:val="en-AU"/>
        </w:rPr>
        <w:t>ignificant changes with an adverse effect in the technological, market, economic or legal environment in which the entity operates</w:t>
      </w:r>
      <w:r w:rsidRPr="007673BD">
        <w:rPr>
          <w:rFonts w:cs="Arial"/>
          <w:sz w:val="21"/>
          <w:szCs w:val="21"/>
          <w:lang w:val="en-AU"/>
        </w:rPr>
        <w:t>,</w:t>
      </w:r>
      <w:r w:rsidR="004B7200" w:rsidRPr="007673BD">
        <w:rPr>
          <w:rFonts w:cs="Arial"/>
          <w:sz w:val="21"/>
          <w:szCs w:val="21"/>
          <w:lang w:val="en-AU"/>
        </w:rPr>
        <w:t xml:space="preserve"> or in the market </w:t>
      </w:r>
      <w:r w:rsidRPr="007673BD">
        <w:rPr>
          <w:rFonts w:cs="Arial"/>
          <w:sz w:val="21"/>
          <w:szCs w:val="21"/>
          <w:lang w:val="en-AU"/>
        </w:rPr>
        <w:t>to which an asset is dedicated</w:t>
      </w:r>
    </w:p>
    <w:p w14:paraId="6B74F538" w14:textId="77777777" w:rsidR="004B7200" w:rsidRPr="007673BD" w:rsidRDefault="00C54EDA" w:rsidP="00A40A3D">
      <w:pPr>
        <w:numPr>
          <w:ilvl w:val="1"/>
          <w:numId w:val="6"/>
        </w:numPr>
        <w:shd w:val="clear" w:color="auto" w:fill="FFFFFF"/>
        <w:rPr>
          <w:rFonts w:cs="Arial"/>
          <w:sz w:val="21"/>
          <w:szCs w:val="21"/>
          <w:lang w:val="en-AU"/>
        </w:rPr>
      </w:pPr>
      <w:r w:rsidRPr="007673BD">
        <w:rPr>
          <w:rFonts w:cs="Arial"/>
          <w:sz w:val="21"/>
          <w:szCs w:val="21"/>
          <w:lang w:val="en-AU"/>
        </w:rPr>
        <w:t>I</w:t>
      </w:r>
      <w:r w:rsidR="004B7200" w:rsidRPr="007673BD">
        <w:rPr>
          <w:rFonts w:cs="Arial"/>
          <w:sz w:val="21"/>
          <w:szCs w:val="21"/>
          <w:lang w:val="en-AU"/>
        </w:rPr>
        <w:t>ncrease in market interest rates or other market rates of return on investments which are likely to affect the discount rate used in calculating an asset’s value in use and decrease the asset’s recoverable amount materially.</w:t>
      </w:r>
    </w:p>
    <w:p w14:paraId="6B74F539" w14:textId="77777777" w:rsidR="004B7200" w:rsidRPr="007673BD" w:rsidRDefault="00C54EDA" w:rsidP="00A40A3D">
      <w:pPr>
        <w:numPr>
          <w:ilvl w:val="0"/>
          <w:numId w:val="6"/>
        </w:numPr>
        <w:shd w:val="clear" w:color="auto" w:fill="FFFFFF"/>
        <w:rPr>
          <w:rFonts w:cs="Arial"/>
          <w:sz w:val="21"/>
          <w:szCs w:val="21"/>
          <w:lang w:val="en-AU"/>
        </w:rPr>
      </w:pPr>
      <w:r w:rsidRPr="007673BD">
        <w:rPr>
          <w:rFonts w:cs="Arial"/>
          <w:sz w:val="21"/>
          <w:szCs w:val="21"/>
          <w:lang w:val="en-AU"/>
        </w:rPr>
        <w:t>I</w:t>
      </w:r>
      <w:r w:rsidR="004B7200" w:rsidRPr="007673BD">
        <w:rPr>
          <w:rFonts w:cs="Arial"/>
          <w:sz w:val="21"/>
          <w:szCs w:val="21"/>
          <w:lang w:val="en-AU"/>
        </w:rPr>
        <w:t xml:space="preserve">mpairment testing undertaken by </w:t>
      </w:r>
      <w:r w:rsidRPr="007673BD">
        <w:rPr>
          <w:rFonts w:cs="Arial"/>
          <w:sz w:val="21"/>
          <w:szCs w:val="21"/>
          <w:lang w:val="en-AU"/>
        </w:rPr>
        <w:t xml:space="preserve">the agency </w:t>
      </w:r>
      <w:r w:rsidR="004B7200" w:rsidRPr="007673BD">
        <w:rPr>
          <w:rFonts w:cs="Arial"/>
          <w:sz w:val="21"/>
          <w:szCs w:val="21"/>
          <w:lang w:val="en-AU"/>
        </w:rPr>
        <w:t>is independent of any revaluation reviews.</w:t>
      </w:r>
    </w:p>
    <w:p w14:paraId="6B74F53A" w14:textId="77777777" w:rsidR="004B7200" w:rsidRPr="00AC3A52" w:rsidRDefault="004B7200" w:rsidP="004C511C">
      <w:pPr>
        <w:pStyle w:val="Heading4"/>
        <w:rPr>
          <w:rFonts w:cs="Arial"/>
        </w:rPr>
      </w:pPr>
      <w:r w:rsidRPr="00AC3A52">
        <w:rPr>
          <w:rFonts w:cs="Arial"/>
        </w:rPr>
        <w:t>Stocktake</w:t>
      </w:r>
    </w:p>
    <w:p w14:paraId="6B74F53B" w14:textId="31B6C581" w:rsidR="004B7200" w:rsidRPr="007673BD" w:rsidRDefault="004B7200" w:rsidP="00F10A23">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Correct stocktaking on a regular basis is an essential element of asset management and accountability. Stocktakes of reportable non-financial assets are </w:t>
      </w:r>
      <w:r w:rsidR="00F10A23" w:rsidRPr="007673BD">
        <w:rPr>
          <w:rFonts w:ascii="Arial" w:hAnsi="Arial" w:cs="Arial"/>
          <w:sz w:val="21"/>
          <w:szCs w:val="21"/>
        </w:rPr>
        <w:t xml:space="preserve">required on </w:t>
      </w:r>
      <w:r w:rsidRPr="007673BD">
        <w:rPr>
          <w:rFonts w:ascii="Arial" w:hAnsi="Arial" w:cs="Arial"/>
          <w:sz w:val="21"/>
          <w:szCs w:val="21"/>
        </w:rPr>
        <w:t>an annual basis</w:t>
      </w:r>
      <w:r w:rsidR="00F10A23" w:rsidRPr="007673BD">
        <w:rPr>
          <w:rFonts w:ascii="Arial" w:hAnsi="Arial" w:cs="Arial"/>
          <w:sz w:val="21"/>
          <w:szCs w:val="21"/>
        </w:rPr>
        <w:t xml:space="preserve">, in accordance with </w:t>
      </w:r>
      <w:r w:rsidR="003C0BDD" w:rsidRPr="007673BD">
        <w:rPr>
          <w:rFonts w:ascii="Arial" w:hAnsi="Arial" w:cs="Arial"/>
          <w:sz w:val="21"/>
          <w:szCs w:val="21"/>
        </w:rPr>
        <w:t xml:space="preserve">the annual Financial Statements </w:t>
      </w:r>
      <w:r w:rsidR="00F10A23" w:rsidRPr="007673BD">
        <w:rPr>
          <w:rFonts w:ascii="Arial" w:hAnsi="Arial" w:cs="Arial"/>
          <w:sz w:val="21"/>
          <w:szCs w:val="21"/>
        </w:rPr>
        <w:t xml:space="preserve">timetable produced by the </w:t>
      </w:r>
      <w:r w:rsidR="004D0C2F" w:rsidRPr="007673BD">
        <w:rPr>
          <w:rFonts w:ascii="Arial" w:hAnsi="Arial" w:cs="Arial"/>
          <w:sz w:val="21"/>
          <w:szCs w:val="21"/>
        </w:rPr>
        <w:t>Finance</w:t>
      </w:r>
      <w:r w:rsidRPr="007673BD">
        <w:rPr>
          <w:rFonts w:ascii="Arial" w:hAnsi="Arial" w:cs="Arial"/>
          <w:sz w:val="21"/>
          <w:szCs w:val="21"/>
        </w:rPr>
        <w:t xml:space="preserve"> </w:t>
      </w:r>
      <w:r w:rsidR="00F10A23" w:rsidRPr="007673BD">
        <w:rPr>
          <w:rFonts w:ascii="Arial" w:hAnsi="Arial" w:cs="Arial"/>
          <w:sz w:val="21"/>
          <w:szCs w:val="21"/>
        </w:rPr>
        <w:t>s</w:t>
      </w:r>
      <w:r w:rsidRPr="007673BD">
        <w:rPr>
          <w:rFonts w:ascii="Arial" w:hAnsi="Arial" w:cs="Arial"/>
          <w:sz w:val="21"/>
          <w:szCs w:val="21"/>
        </w:rPr>
        <w:t>ection.</w:t>
      </w:r>
    </w:p>
    <w:p w14:paraId="6B74F53C" w14:textId="77777777"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The objectives of the stocktak</w:t>
      </w:r>
      <w:r w:rsidR="006F4BF3" w:rsidRPr="007673BD">
        <w:rPr>
          <w:rFonts w:ascii="Arial" w:hAnsi="Arial" w:cs="Arial"/>
          <w:sz w:val="21"/>
          <w:szCs w:val="21"/>
        </w:rPr>
        <w:t>ing process</w:t>
      </w:r>
      <w:r w:rsidRPr="007673BD">
        <w:rPr>
          <w:rFonts w:ascii="Arial" w:hAnsi="Arial" w:cs="Arial"/>
          <w:sz w:val="21"/>
          <w:szCs w:val="21"/>
        </w:rPr>
        <w:t xml:space="preserve"> are to:</w:t>
      </w:r>
    </w:p>
    <w:p w14:paraId="6B74F53D" w14:textId="77777777" w:rsidR="004B7200" w:rsidRPr="007673BD" w:rsidRDefault="004B7200" w:rsidP="00F41D76">
      <w:pPr>
        <w:numPr>
          <w:ilvl w:val="1"/>
          <w:numId w:val="6"/>
        </w:numPr>
        <w:shd w:val="clear" w:color="auto" w:fill="FFFFFF"/>
        <w:rPr>
          <w:rFonts w:cs="Arial"/>
          <w:sz w:val="21"/>
          <w:szCs w:val="21"/>
          <w:lang w:val="en-AU"/>
        </w:rPr>
      </w:pPr>
      <w:bookmarkStart w:id="24" w:name="_Ref415215913"/>
      <w:r w:rsidRPr="007673BD">
        <w:rPr>
          <w:rFonts w:cs="Arial"/>
          <w:sz w:val="21"/>
          <w:szCs w:val="21"/>
          <w:lang w:val="en-AU"/>
        </w:rPr>
        <w:t xml:space="preserve">Ensure that all </w:t>
      </w:r>
      <w:r w:rsidR="00B63A16" w:rsidRPr="007673BD">
        <w:rPr>
          <w:rFonts w:cs="Arial"/>
          <w:sz w:val="21"/>
          <w:szCs w:val="21"/>
          <w:lang w:val="en-AU"/>
        </w:rPr>
        <w:t>agency</w:t>
      </w:r>
      <w:r w:rsidRPr="007673BD">
        <w:rPr>
          <w:rFonts w:cs="Arial"/>
          <w:sz w:val="21"/>
          <w:szCs w:val="21"/>
          <w:lang w:val="en-AU"/>
        </w:rPr>
        <w:t xml:space="preserve">-owned, non-financial assets valued at AUD </w:t>
      </w:r>
      <w:r w:rsidR="00B63A16" w:rsidRPr="007673BD">
        <w:rPr>
          <w:rFonts w:cs="Arial"/>
          <w:sz w:val="21"/>
          <w:szCs w:val="21"/>
          <w:lang w:val="en-AU"/>
        </w:rPr>
        <w:t>$</w:t>
      </w:r>
      <w:r w:rsidRPr="007673BD">
        <w:rPr>
          <w:rFonts w:cs="Arial"/>
          <w:sz w:val="21"/>
          <w:szCs w:val="21"/>
          <w:lang w:val="en-AU"/>
        </w:rPr>
        <w:t xml:space="preserve">5,000 or more are </w:t>
      </w:r>
      <w:r w:rsidR="008845D7" w:rsidRPr="007673BD">
        <w:rPr>
          <w:rFonts w:cs="Arial"/>
          <w:sz w:val="21"/>
          <w:szCs w:val="21"/>
          <w:lang w:val="en-AU"/>
        </w:rPr>
        <w:t xml:space="preserve">identified and </w:t>
      </w:r>
      <w:r w:rsidRPr="007673BD">
        <w:rPr>
          <w:rFonts w:cs="Arial"/>
          <w:sz w:val="21"/>
          <w:szCs w:val="21"/>
          <w:lang w:val="en-AU"/>
        </w:rPr>
        <w:t xml:space="preserve">recorded in the FMIS </w:t>
      </w:r>
      <w:r w:rsidR="00B63A16" w:rsidRPr="007673BD">
        <w:rPr>
          <w:rFonts w:cs="Arial"/>
          <w:sz w:val="21"/>
          <w:szCs w:val="21"/>
          <w:lang w:val="en-AU"/>
        </w:rPr>
        <w:t>asset register</w:t>
      </w:r>
      <w:r w:rsidRPr="007673BD">
        <w:rPr>
          <w:rFonts w:cs="Arial"/>
          <w:sz w:val="21"/>
          <w:szCs w:val="21"/>
          <w:lang w:val="en-AU"/>
        </w:rPr>
        <w:t>;</w:t>
      </w:r>
      <w:bookmarkEnd w:id="24"/>
    </w:p>
    <w:p w14:paraId="6B74F53E" w14:textId="77777777" w:rsidR="004B7200" w:rsidRPr="007673BD" w:rsidRDefault="004B7200" w:rsidP="00F41D76">
      <w:pPr>
        <w:numPr>
          <w:ilvl w:val="1"/>
          <w:numId w:val="6"/>
        </w:numPr>
        <w:shd w:val="clear" w:color="auto" w:fill="FFFFFF"/>
        <w:rPr>
          <w:rFonts w:cs="Arial"/>
          <w:sz w:val="21"/>
          <w:szCs w:val="21"/>
          <w:lang w:val="en-AU"/>
        </w:rPr>
      </w:pPr>
      <w:r w:rsidRPr="007673BD">
        <w:rPr>
          <w:rFonts w:cs="Arial"/>
          <w:sz w:val="21"/>
          <w:szCs w:val="21"/>
          <w:lang w:val="en-AU"/>
        </w:rPr>
        <w:t xml:space="preserve">Ensure that all assets recorded in the FMIS </w:t>
      </w:r>
      <w:r w:rsidR="00B63A16" w:rsidRPr="007673BD">
        <w:rPr>
          <w:rFonts w:cs="Arial"/>
          <w:sz w:val="21"/>
          <w:szCs w:val="21"/>
          <w:lang w:val="en-AU"/>
        </w:rPr>
        <w:t>asset register</w:t>
      </w:r>
      <w:r w:rsidRPr="007673BD">
        <w:rPr>
          <w:rFonts w:cs="Arial"/>
          <w:sz w:val="21"/>
          <w:szCs w:val="21"/>
          <w:lang w:val="en-AU"/>
        </w:rPr>
        <w:t xml:space="preserve"> are in existence and in use;</w:t>
      </w:r>
    </w:p>
    <w:p w14:paraId="6B74F53F" w14:textId="77777777" w:rsidR="004B7200" w:rsidRPr="007673BD" w:rsidRDefault="004B7200" w:rsidP="00F41D76">
      <w:pPr>
        <w:numPr>
          <w:ilvl w:val="1"/>
          <w:numId w:val="6"/>
        </w:numPr>
        <w:shd w:val="clear" w:color="auto" w:fill="FFFFFF"/>
        <w:rPr>
          <w:rFonts w:cs="Arial"/>
          <w:sz w:val="21"/>
          <w:szCs w:val="21"/>
          <w:lang w:val="en-AU"/>
        </w:rPr>
      </w:pPr>
      <w:r w:rsidRPr="007673BD">
        <w:rPr>
          <w:rFonts w:cs="Arial"/>
          <w:sz w:val="21"/>
          <w:szCs w:val="21"/>
          <w:lang w:val="en-AU"/>
        </w:rPr>
        <w:t xml:space="preserve">Identify assets that are surplus to requirements </w:t>
      </w:r>
      <w:r w:rsidR="008845D7" w:rsidRPr="007673BD">
        <w:rPr>
          <w:rFonts w:cs="Arial"/>
          <w:sz w:val="21"/>
          <w:szCs w:val="21"/>
          <w:lang w:val="en-AU"/>
        </w:rPr>
        <w:t xml:space="preserve">and </w:t>
      </w:r>
      <w:r w:rsidRPr="007673BD">
        <w:rPr>
          <w:rFonts w:cs="Arial"/>
          <w:sz w:val="21"/>
          <w:szCs w:val="21"/>
          <w:lang w:val="en-AU"/>
        </w:rPr>
        <w:t xml:space="preserve">may subsequently be </w:t>
      </w:r>
      <w:r w:rsidR="008845D7" w:rsidRPr="007673BD">
        <w:rPr>
          <w:rFonts w:cs="Arial"/>
          <w:sz w:val="21"/>
          <w:szCs w:val="21"/>
          <w:lang w:val="en-AU"/>
        </w:rPr>
        <w:t>d</w:t>
      </w:r>
      <w:r w:rsidRPr="007673BD">
        <w:rPr>
          <w:rFonts w:cs="Arial"/>
          <w:sz w:val="21"/>
          <w:szCs w:val="21"/>
          <w:lang w:val="en-AU"/>
        </w:rPr>
        <w:t>isposed;</w:t>
      </w:r>
    </w:p>
    <w:p w14:paraId="6B74F540" w14:textId="77777777" w:rsidR="004B7200" w:rsidRPr="007673BD" w:rsidRDefault="004B7200" w:rsidP="00F41D76">
      <w:pPr>
        <w:numPr>
          <w:ilvl w:val="1"/>
          <w:numId w:val="6"/>
        </w:numPr>
        <w:shd w:val="clear" w:color="auto" w:fill="FFFFFF"/>
        <w:rPr>
          <w:rFonts w:cs="Arial"/>
          <w:sz w:val="21"/>
          <w:szCs w:val="21"/>
          <w:lang w:val="en-AU"/>
        </w:rPr>
      </w:pPr>
      <w:r w:rsidRPr="007673BD">
        <w:rPr>
          <w:rFonts w:cs="Arial"/>
          <w:sz w:val="21"/>
          <w:szCs w:val="21"/>
          <w:lang w:val="en-AU"/>
        </w:rPr>
        <w:t xml:space="preserve">Identify obsolete and/or damaged assets that should be disposed of and removed from the FMIS </w:t>
      </w:r>
      <w:r w:rsidR="00B63A16" w:rsidRPr="007673BD">
        <w:rPr>
          <w:rFonts w:cs="Arial"/>
          <w:sz w:val="21"/>
          <w:szCs w:val="21"/>
          <w:lang w:val="en-AU"/>
        </w:rPr>
        <w:t>asset register</w:t>
      </w:r>
      <w:r w:rsidRPr="007673BD">
        <w:rPr>
          <w:rFonts w:cs="Arial"/>
          <w:sz w:val="21"/>
          <w:szCs w:val="21"/>
          <w:lang w:val="en-AU"/>
        </w:rPr>
        <w:t>; and</w:t>
      </w:r>
    </w:p>
    <w:p w14:paraId="6B74F541" w14:textId="77777777" w:rsidR="004B7200" w:rsidRPr="007673BD" w:rsidRDefault="004B7200" w:rsidP="00F41D76">
      <w:pPr>
        <w:numPr>
          <w:ilvl w:val="1"/>
          <w:numId w:val="6"/>
        </w:numPr>
        <w:shd w:val="clear" w:color="auto" w:fill="FFFFFF"/>
        <w:rPr>
          <w:rFonts w:cs="Arial"/>
          <w:sz w:val="21"/>
          <w:szCs w:val="21"/>
          <w:lang w:val="en-AU"/>
        </w:rPr>
      </w:pPr>
      <w:r w:rsidRPr="007673BD">
        <w:rPr>
          <w:rFonts w:cs="Arial"/>
          <w:sz w:val="21"/>
          <w:szCs w:val="21"/>
          <w:lang w:val="en-AU"/>
        </w:rPr>
        <w:t xml:space="preserve">Identify assets that have been missing for two consecutive stocktakes </w:t>
      </w:r>
      <w:r w:rsidR="008845D7" w:rsidRPr="007673BD">
        <w:rPr>
          <w:rFonts w:cs="Arial"/>
          <w:sz w:val="21"/>
          <w:szCs w:val="21"/>
          <w:lang w:val="en-AU"/>
        </w:rPr>
        <w:t xml:space="preserve">and subsequently </w:t>
      </w:r>
      <w:r w:rsidRPr="007673BD">
        <w:rPr>
          <w:rFonts w:cs="Arial"/>
          <w:sz w:val="21"/>
          <w:szCs w:val="21"/>
          <w:lang w:val="en-AU"/>
        </w:rPr>
        <w:t xml:space="preserve">should be removed from the FMIS </w:t>
      </w:r>
      <w:r w:rsidR="00B63A16" w:rsidRPr="007673BD">
        <w:rPr>
          <w:rFonts w:cs="Arial"/>
          <w:sz w:val="21"/>
          <w:szCs w:val="21"/>
          <w:lang w:val="en-AU"/>
        </w:rPr>
        <w:t>asset register</w:t>
      </w:r>
      <w:r w:rsidRPr="007673BD">
        <w:rPr>
          <w:rFonts w:cs="Arial"/>
          <w:sz w:val="21"/>
          <w:szCs w:val="21"/>
          <w:lang w:val="en-AU"/>
        </w:rPr>
        <w:t>.</w:t>
      </w:r>
    </w:p>
    <w:p w14:paraId="6B74F542" w14:textId="77777777" w:rsidR="008845D7" w:rsidRPr="007673BD" w:rsidRDefault="008845D7" w:rsidP="008845D7">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All stocktakes should initially be undertaken independently of the FMIS asset register records and then compared to the FMIS asset register to identify unrecorded or missing items.</w:t>
      </w:r>
    </w:p>
    <w:p w14:paraId="6B74F543" w14:textId="77777777" w:rsidR="008845D7"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Any apparent discrepancies between the stocktake and the FMIS </w:t>
      </w:r>
      <w:r w:rsidR="00B63A16" w:rsidRPr="007673BD">
        <w:rPr>
          <w:rFonts w:ascii="Arial" w:hAnsi="Arial" w:cs="Arial"/>
          <w:sz w:val="21"/>
          <w:szCs w:val="21"/>
        </w:rPr>
        <w:t>asset register</w:t>
      </w:r>
      <w:r w:rsidRPr="007673BD">
        <w:rPr>
          <w:rFonts w:ascii="Arial" w:hAnsi="Arial" w:cs="Arial"/>
          <w:sz w:val="21"/>
          <w:szCs w:val="21"/>
        </w:rPr>
        <w:t xml:space="preserve"> listing are to be thoroughly investigated</w:t>
      </w:r>
      <w:r w:rsidR="00500234" w:rsidRPr="007673BD">
        <w:rPr>
          <w:rFonts w:ascii="Arial" w:hAnsi="Arial" w:cs="Arial"/>
          <w:sz w:val="21"/>
          <w:szCs w:val="21"/>
        </w:rPr>
        <w:t xml:space="preserve"> in order to maintain the integrity of information within the asset register</w:t>
      </w:r>
      <w:r w:rsidRPr="007673BD">
        <w:rPr>
          <w:rFonts w:ascii="Arial" w:hAnsi="Arial" w:cs="Arial"/>
          <w:sz w:val="21"/>
          <w:szCs w:val="21"/>
        </w:rPr>
        <w:t xml:space="preserve">. </w:t>
      </w:r>
    </w:p>
    <w:p w14:paraId="6B74F544" w14:textId="08C6ED64" w:rsidR="004B7200" w:rsidRPr="007673BD" w:rsidRDefault="00500234" w:rsidP="00A40A3D">
      <w:pPr>
        <w:numPr>
          <w:ilvl w:val="0"/>
          <w:numId w:val="6"/>
        </w:numPr>
        <w:shd w:val="clear" w:color="auto" w:fill="FFFFFF"/>
        <w:rPr>
          <w:rFonts w:cs="Arial"/>
          <w:sz w:val="21"/>
          <w:szCs w:val="21"/>
          <w:lang w:val="en-AU"/>
        </w:rPr>
      </w:pPr>
      <w:r w:rsidRPr="007673BD">
        <w:rPr>
          <w:rFonts w:cs="Arial"/>
          <w:sz w:val="21"/>
          <w:szCs w:val="21"/>
        </w:rPr>
        <w:t xml:space="preserve">For any asset(s) which has been classed as missing for two consecutive </w:t>
      </w:r>
      <w:r w:rsidR="001871E6" w:rsidRPr="007673BD">
        <w:rPr>
          <w:rFonts w:cs="Arial"/>
          <w:sz w:val="21"/>
          <w:szCs w:val="21"/>
        </w:rPr>
        <w:t>stocktakes</w:t>
      </w:r>
      <w:r w:rsidRPr="007673BD">
        <w:rPr>
          <w:rFonts w:cs="Arial"/>
          <w:sz w:val="21"/>
          <w:szCs w:val="21"/>
        </w:rPr>
        <w:t>, the circumstances must be reported and investigated in order to identify whether formal write-off action may be pursued.</w:t>
      </w:r>
    </w:p>
    <w:p w14:paraId="6B74F545" w14:textId="77777777" w:rsidR="009E3EF9" w:rsidRPr="007673BD" w:rsidRDefault="009E3EF9" w:rsidP="00A40A3D">
      <w:pPr>
        <w:numPr>
          <w:ilvl w:val="0"/>
          <w:numId w:val="6"/>
        </w:numPr>
        <w:shd w:val="clear" w:color="auto" w:fill="FFFFFF"/>
        <w:rPr>
          <w:rFonts w:cs="Arial"/>
          <w:sz w:val="21"/>
          <w:szCs w:val="21"/>
          <w:lang w:val="en-AU"/>
        </w:rPr>
      </w:pPr>
      <w:r w:rsidRPr="007673BD">
        <w:rPr>
          <w:rFonts w:cs="Arial"/>
          <w:sz w:val="21"/>
          <w:szCs w:val="21"/>
          <w:lang w:val="en-AU"/>
        </w:rPr>
        <w:t xml:space="preserve">For any asset(s) which has been </w:t>
      </w:r>
      <w:r w:rsidR="00E67744" w:rsidRPr="007673BD">
        <w:rPr>
          <w:rFonts w:cs="Arial"/>
          <w:sz w:val="21"/>
          <w:szCs w:val="21"/>
          <w:lang w:val="en-AU"/>
        </w:rPr>
        <w:t>suspected</w:t>
      </w:r>
      <w:r w:rsidRPr="007673BD">
        <w:rPr>
          <w:rFonts w:cs="Arial"/>
          <w:sz w:val="21"/>
          <w:szCs w:val="21"/>
          <w:lang w:val="en-AU"/>
        </w:rPr>
        <w:t xml:space="preserve"> </w:t>
      </w:r>
      <w:r w:rsidR="009C6687" w:rsidRPr="007673BD">
        <w:rPr>
          <w:rFonts w:cs="Arial"/>
          <w:sz w:val="21"/>
          <w:szCs w:val="21"/>
          <w:lang w:val="en-AU"/>
        </w:rPr>
        <w:t xml:space="preserve">as </w:t>
      </w:r>
      <w:r w:rsidRPr="007673BD">
        <w:rPr>
          <w:rFonts w:cs="Arial"/>
          <w:sz w:val="21"/>
          <w:szCs w:val="21"/>
          <w:lang w:val="en-AU"/>
        </w:rPr>
        <w:t>stolen, the circumstances must be reported to the Fraud Liaison Officer in accordance with the agency’s fraud control policy and plan.</w:t>
      </w:r>
    </w:p>
    <w:p w14:paraId="6B74F546" w14:textId="77777777" w:rsidR="004B7200" w:rsidRPr="00BD2B73" w:rsidRDefault="004B7200" w:rsidP="004C511C">
      <w:pPr>
        <w:pStyle w:val="Heading4"/>
        <w:rPr>
          <w:rFonts w:cs="Arial"/>
        </w:rPr>
      </w:pPr>
      <w:r w:rsidRPr="0055665E">
        <w:rPr>
          <w:rFonts w:cs="Arial"/>
        </w:rPr>
        <w:t xml:space="preserve">Loss of </w:t>
      </w:r>
      <w:r w:rsidR="004C511C" w:rsidRPr="0055665E">
        <w:rPr>
          <w:rFonts w:cs="Arial"/>
        </w:rPr>
        <w:t>a</w:t>
      </w:r>
      <w:r w:rsidRPr="00BD2B73">
        <w:rPr>
          <w:rFonts w:cs="Arial"/>
        </w:rPr>
        <w:t>ssets</w:t>
      </w:r>
    </w:p>
    <w:p w14:paraId="6B74F547" w14:textId="2D4E7279"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Loss or damage to an asset must be reported to </w:t>
      </w:r>
      <w:r w:rsidR="009E3EF9" w:rsidRPr="007673BD">
        <w:rPr>
          <w:rFonts w:ascii="Arial" w:hAnsi="Arial" w:cs="Arial"/>
          <w:sz w:val="21"/>
          <w:szCs w:val="21"/>
        </w:rPr>
        <w:t xml:space="preserve">a </w:t>
      </w:r>
      <w:r w:rsidRPr="007673BD">
        <w:rPr>
          <w:rFonts w:ascii="Arial" w:hAnsi="Arial" w:cs="Arial"/>
          <w:sz w:val="21"/>
          <w:szCs w:val="21"/>
        </w:rPr>
        <w:t xml:space="preserve">General Manager </w:t>
      </w:r>
      <w:r w:rsidR="00BD624C" w:rsidRPr="007673BD">
        <w:rPr>
          <w:rFonts w:ascii="Arial" w:hAnsi="Arial" w:cs="Arial"/>
          <w:sz w:val="21"/>
          <w:szCs w:val="21"/>
        </w:rPr>
        <w:t xml:space="preserve">and </w:t>
      </w:r>
      <w:r w:rsidR="009E3EF9" w:rsidRPr="007673BD">
        <w:rPr>
          <w:rFonts w:ascii="Arial" w:hAnsi="Arial" w:cs="Arial"/>
          <w:sz w:val="21"/>
          <w:szCs w:val="21"/>
        </w:rPr>
        <w:t>to</w:t>
      </w:r>
      <w:r w:rsidRPr="007673BD">
        <w:rPr>
          <w:rFonts w:ascii="Arial" w:hAnsi="Arial" w:cs="Arial"/>
          <w:sz w:val="21"/>
          <w:szCs w:val="21"/>
        </w:rPr>
        <w:t xml:space="preserve"> the </w:t>
      </w:r>
      <w:r w:rsidR="009E3EF9" w:rsidRPr="007673BD">
        <w:rPr>
          <w:rFonts w:ascii="Arial" w:hAnsi="Arial" w:cs="Arial"/>
          <w:sz w:val="21"/>
          <w:szCs w:val="21"/>
        </w:rPr>
        <w:t>Chief Finance Officer</w:t>
      </w:r>
      <w:r w:rsidR="00BD624C" w:rsidRPr="007673BD">
        <w:rPr>
          <w:rFonts w:ascii="Arial" w:hAnsi="Arial" w:cs="Arial"/>
          <w:sz w:val="21"/>
          <w:szCs w:val="21"/>
        </w:rPr>
        <w:t xml:space="preserve"> and also to Chief Information Officer for IT equipment. A </w:t>
      </w:r>
      <w:hyperlink r:id="rId19" w:history="1">
        <w:r w:rsidR="00BD624C" w:rsidRPr="007673BD">
          <w:rPr>
            <w:rStyle w:val="Hyperlink"/>
            <w:rFonts w:ascii="Arial" w:hAnsi="Arial" w:cs="Arial"/>
            <w:sz w:val="21"/>
            <w:szCs w:val="21"/>
          </w:rPr>
          <w:t>Loss or Damage Report</w:t>
        </w:r>
      </w:hyperlink>
      <w:r w:rsidR="00BD624C" w:rsidRPr="007673BD">
        <w:rPr>
          <w:rFonts w:ascii="Arial" w:hAnsi="Arial" w:cs="Arial"/>
          <w:sz w:val="21"/>
          <w:szCs w:val="21"/>
        </w:rPr>
        <w:t xml:space="preserve"> must be completed.</w:t>
      </w:r>
    </w:p>
    <w:p w14:paraId="6B74F548" w14:textId="1DAA3120"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lastRenderedPageBreak/>
        <w:t xml:space="preserve">Loss of any security related assets must be reported to </w:t>
      </w:r>
      <w:r w:rsidR="009E3EF9" w:rsidRPr="007673BD">
        <w:rPr>
          <w:rFonts w:ascii="Arial" w:hAnsi="Arial" w:cs="Arial"/>
          <w:sz w:val="21"/>
          <w:szCs w:val="21"/>
        </w:rPr>
        <w:t xml:space="preserve">Chief Finance Officer </w:t>
      </w:r>
      <w:r w:rsidR="00BD624C" w:rsidRPr="007673BD">
        <w:rPr>
          <w:rFonts w:ascii="Arial" w:hAnsi="Arial" w:cs="Arial"/>
          <w:sz w:val="21"/>
          <w:szCs w:val="21"/>
        </w:rPr>
        <w:t>and any IT equipment to the Chief Information Officer as soon as possible.</w:t>
      </w:r>
    </w:p>
    <w:p w14:paraId="6B74F549" w14:textId="77777777" w:rsidR="00462142"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Where an </w:t>
      </w:r>
      <w:r w:rsidR="00462142" w:rsidRPr="007673BD">
        <w:rPr>
          <w:rFonts w:ascii="Arial" w:hAnsi="Arial" w:cs="Arial"/>
          <w:sz w:val="21"/>
          <w:szCs w:val="21"/>
        </w:rPr>
        <w:t>o</w:t>
      </w:r>
      <w:r w:rsidRPr="007673BD">
        <w:rPr>
          <w:rFonts w:ascii="Arial" w:hAnsi="Arial" w:cs="Arial"/>
          <w:sz w:val="21"/>
          <w:szCs w:val="21"/>
        </w:rPr>
        <w:t>fficial had nominal custody of an asset at the time it was lost or damaged, the loss or damage must be reported in writing</w:t>
      </w:r>
      <w:r w:rsidR="00462142" w:rsidRPr="007673BD">
        <w:rPr>
          <w:rFonts w:ascii="Arial" w:hAnsi="Arial" w:cs="Arial"/>
          <w:sz w:val="21"/>
          <w:szCs w:val="21"/>
        </w:rPr>
        <w:t xml:space="preserve"> by the official,</w:t>
      </w:r>
      <w:r w:rsidRPr="007673BD">
        <w:rPr>
          <w:rFonts w:ascii="Arial" w:hAnsi="Arial" w:cs="Arial"/>
          <w:sz w:val="21"/>
          <w:szCs w:val="21"/>
        </w:rPr>
        <w:t xml:space="preserve"> to their immediate supervisor. </w:t>
      </w:r>
    </w:p>
    <w:p w14:paraId="6B74F54A" w14:textId="77777777" w:rsidR="00500234" w:rsidRPr="007673BD" w:rsidRDefault="00500234"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The immediate supervisor is responsible for investigating the circumstances surrounding the loss or damage and reporting this to the Chief Finance Officer. However, where the loss or damage involves suspected fraud (e.g., theft), this should be reported to the Fraud Liaison Officer in accordance with the agency’s fraud control policy and plan.</w:t>
      </w:r>
    </w:p>
    <w:p w14:paraId="6B74F54B" w14:textId="0039F4E6" w:rsidR="004B7200" w:rsidRPr="007673BD" w:rsidRDefault="006441C7"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Officials must take all reasonable steps to prevent loss or damage to an asset in their custody. If the official does not take all reasonable steps to prevent loss or damage to an asset in their custody</w:t>
      </w:r>
      <w:r w:rsidR="00C37D81" w:rsidRPr="007673BD">
        <w:rPr>
          <w:rFonts w:ascii="Arial" w:hAnsi="Arial" w:cs="Arial"/>
          <w:sz w:val="21"/>
          <w:szCs w:val="21"/>
        </w:rPr>
        <w:t>, t</w:t>
      </w:r>
      <w:r w:rsidR="004B7200" w:rsidRPr="007673BD">
        <w:rPr>
          <w:rFonts w:ascii="Arial" w:hAnsi="Arial" w:cs="Arial"/>
          <w:sz w:val="21"/>
          <w:szCs w:val="21"/>
        </w:rPr>
        <w:t xml:space="preserve">he </w:t>
      </w:r>
      <w:r w:rsidR="00462142" w:rsidRPr="007673BD">
        <w:rPr>
          <w:rFonts w:ascii="Arial" w:hAnsi="Arial" w:cs="Arial"/>
          <w:sz w:val="21"/>
          <w:szCs w:val="21"/>
        </w:rPr>
        <w:t>o</w:t>
      </w:r>
      <w:r w:rsidR="004B7200" w:rsidRPr="007673BD">
        <w:rPr>
          <w:rFonts w:ascii="Arial" w:hAnsi="Arial" w:cs="Arial"/>
          <w:sz w:val="21"/>
          <w:szCs w:val="21"/>
        </w:rPr>
        <w:t xml:space="preserve">fficial may be liable to pay the Commonwealth </w:t>
      </w:r>
      <w:r w:rsidR="00462142" w:rsidRPr="007673BD">
        <w:rPr>
          <w:rFonts w:ascii="Arial" w:hAnsi="Arial" w:cs="Arial"/>
          <w:sz w:val="21"/>
          <w:szCs w:val="21"/>
        </w:rPr>
        <w:t xml:space="preserve">an </w:t>
      </w:r>
      <w:r w:rsidR="004B7200" w:rsidRPr="007673BD">
        <w:rPr>
          <w:rFonts w:ascii="Arial" w:hAnsi="Arial" w:cs="Arial"/>
          <w:sz w:val="21"/>
          <w:szCs w:val="21"/>
        </w:rPr>
        <w:t xml:space="preserve">amount </w:t>
      </w:r>
      <w:r w:rsidR="00462142" w:rsidRPr="007673BD">
        <w:rPr>
          <w:rFonts w:ascii="Arial" w:hAnsi="Arial" w:cs="Arial"/>
          <w:sz w:val="21"/>
          <w:szCs w:val="21"/>
        </w:rPr>
        <w:t xml:space="preserve">to recover </w:t>
      </w:r>
      <w:r w:rsidR="004B7200" w:rsidRPr="007673BD">
        <w:rPr>
          <w:rFonts w:ascii="Arial" w:hAnsi="Arial" w:cs="Arial"/>
          <w:sz w:val="21"/>
          <w:szCs w:val="21"/>
        </w:rPr>
        <w:t xml:space="preserve">the loss or damage. </w:t>
      </w:r>
    </w:p>
    <w:p w14:paraId="6B74F54C" w14:textId="25DEBA96"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Where an </w:t>
      </w:r>
      <w:r w:rsidR="004D0C2F" w:rsidRPr="007673BD">
        <w:rPr>
          <w:rFonts w:ascii="Arial" w:hAnsi="Arial" w:cs="Arial"/>
          <w:sz w:val="21"/>
          <w:szCs w:val="21"/>
        </w:rPr>
        <w:t>o</w:t>
      </w:r>
      <w:r w:rsidRPr="007673BD">
        <w:rPr>
          <w:rFonts w:ascii="Arial" w:hAnsi="Arial" w:cs="Arial"/>
          <w:sz w:val="21"/>
          <w:szCs w:val="21"/>
        </w:rPr>
        <w:t xml:space="preserve">fficial’s misconduct </w:t>
      </w:r>
      <w:r w:rsidR="004D0C2F" w:rsidRPr="007673BD">
        <w:rPr>
          <w:rFonts w:ascii="Arial" w:hAnsi="Arial" w:cs="Arial"/>
          <w:sz w:val="21"/>
          <w:szCs w:val="21"/>
        </w:rPr>
        <w:t>(</w:t>
      </w:r>
      <w:r w:rsidRPr="007673BD">
        <w:rPr>
          <w:rFonts w:ascii="Arial" w:hAnsi="Arial" w:cs="Arial"/>
          <w:sz w:val="21"/>
          <w:szCs w:val="21"/>
        </w:rPr>
        <w:t>or deliberate and serious disregard of reasonable standards of care</w:t>
      </w:r>
      <w:r w:rsidR="004D0C2F" w:rsidRPr="007673BD">
        <w:rPr>
          <w:rFonts w:ascii="Arial" w:hAnsi="Arial" w:cs="Arial"/>
          <w:sz w:val="21"/>
          <w:szCs w:val="21"/>
        </w:rPr>
        <w:t>)</w:t>
      </w:r>
      <w:r w:rsidRPr="007673BD">
        <w:rPr>
          <w:rFonts w:ascii="Arial" w:hAnsi="Arial" w:cs="Arial"/>
          <w:sz w:val="21"/>
          <w:szCs w:val="21"/>
        </w:rPr>
        <w:t xml:space="preserve"> caused or contributed to the loss/damage</w:t>
      </w:r>
      <w:r w:rsidR="00B16686" w:rsidRPr="007673BD">
        <w:rPr>
          <w:rFonts w:ascii="Arial" w:hAnsi="Arial" w:cs="Arial"/>
          <w:sz w:val="21"/>
          <w:szCs w:val="21"/>
        </w:rPr>
        <w:t>,</w:t>
      </w:r>
      <w:r w:rsidRPr="007673BD">
        <w:rPr>
          <w:rFonts w:ascii="Arial" w:hAnsi="Arial" w:cs="Arial"/>
          <w:sz w:val="21"/>
          <w:szCs w:val="21"/>
        </w:rPr>
        <w:t xml:space="preserve"> the matter is to be referred to the </w:t>
      </w:r>
      <w:r w:rsidR="009E3EF9" w:rsidRPr="007673BD">
        <w:rPr>
          <w:rFonts w:ascii="Arial" w:hAnsi="Arial" w:cs="Arial"/>
          <w:sz w:val="21"/>
          <w:szCs w:val="21"/>
        </w:rPr>
        <w:t>Chief Finance Officer</w:t>
      </w:r>
      <w:r w:rsidRPr="007673BD">
        <w:rPr>
          <w:rFonts w:ascii="Arial" w:hAnsi="Arial" w:cs="Arial"/>
          <w:sz w:val="21"/>
          <w:szCs w:val="21"/>
        </w:rPr>
        <w:t xml:space="preserve"> for investigation. If the official’s misconduct or disregard was </w:t>
      </w:r>
      <w:r w:rsidR="00F11B83" w:rsidRPr="007673BD">
        <w:rPr>
          <w:rFonts w:ascii="Arial" w:hAnsi="Arial" w:cs="Arial"/>
          <w:sz w:val="21"/>
          <w:szCs w:val="21"/>
        </w:rPr>
        <w:t xml:space="preserve">proven </w:t>
      </w:r>
      <w:r w:rsidRPr="007673BD">
        <w:rPr>
          <w:rFonts w:ascii="Arial" w:hAnsi="Arial" w:cs="Arial"/>
          <w:sz w:val="21"/>
          <w:szCs w:val="21"/>
        </w:rPr>
        <w:t xml:space="preserve">not </w:t>
      </w:r>
      <w:r w:rsidR="00F11B83" w:rsidRPr="007673BD">
        <w:rPr>
          <w:rFonts w:ascii="Arial" w:hAnsi="Arial" w:cs="Arial"/>
          <w:sz w:val="21"/>
          <w:szCs w:val="21"/>
        </w:rPr>
        <w:t xml:space="preserve">to be </w:t>
      </w:r>
      <w:r w:rsidRPr="007673BD">
        <w:rPr>
          <w:rFonts w:ascii="Arial" w:hAnsi="Arial" w:cs="Arial"/>
          <w:sz w:val="21"/>
          <w:szCs w:val="21"/>
        </w:rPr>
        <w:t xml:space="preserve">the sole cause of the loss/damage, the official </w:t>
      </w:r>
      <w:r w:rsidR="00F11B83" w:rsidRPr="007673BD">
        <w:rPr>
          <w:rFonts w:ascii="Arial" w:hAnsi="Arial" w:cs="Arial"/>
          <w:sz w:val="21"/>
          <w:szCs w:val="21"/>
        </w:rPr>
        <w:t xml:space="preserve">may </w:t>
      </w:r>
      <w:r w:rsidRPr="007673BD">
        <w:rPr>
          <w:rFonts w:ascii="Arial" w:hAnsi="Arial" w:cs="Arial"/>
          <w:sz w:val="21"/>
          <w:szCs w:val="21"/>
        </w:rPr>
        <w:t xml:space="preserve">only </w:t>
      </w:r>
      <w:r w:rsidR="00F11B83" w:rsidRPr="007673BD">
        <w:rPr>
          <w:rFonts w:ascii="Arial" w:hAnsi="Arial" w:cs="Arial"/>
          <w:sz w:val="21"/>
          <w:szCs w:val="21"/>
        </w:rPr>
        <w:t xml:space="preserve">be </w:t>
      </w:r>
      <w:r w:rsidRPr="007673BD">
        <w:rPr>
          <w:rFonts w:ascii="Arial" w:hAnsi="Arial" w:cs="Arial"/>
          <w:sz w:val="21"/>
          <w:szCs w:val="21"/>
        </w:rPr>
        <w:t xml:space="preserve">liable to pay an amount </w:t>
      </w:r>
      <w:r w:rsidR="00F11B83" w:rsidRPr="007673BD">
        <w:rPr>
          <w:rFonts w:ascii="Arial" w:hAnsi="Arial" w:cs="Arial"/>
          <w:sz w:val="21"/>
          <w:szCs w:val="21"/>
        </w:rPr>
        <w:t xml:space="preserve">which </w:t>
      </w:r>
      <w:r w:rsidRPr="007673BD">
        <w:rPr>
          <w:rFonts w:ascii="Arial" w:hAnsi="Arial" w:cs="Arial"/>
          <w:sz w:val="21"/>
          <w:szCs w:val="21"/>
        </w:rPr>
        <w:t>is just and equitable</w:t>
      </w:r>
      <w:r w:rsidR="00F11B83" w:rsidRPr="007673BD">
        <w:rPr>
          <w:rFonts w:ascii="Arial" w:hAnsi="Arial" w:cs="Arial"/>
          <w:sz w:val="21"/>
          <w:szCs w:val="21"/>
        </w:rPr>
        <w:t>,</w:t>
      </w:r>
      <w:r w:rsidRPr="007673BD">
        <w:rPr>
          <w:rFonts w:ascii="Arial" w:hAnsi="Arial" w:cs="Arial"/>
          <w:sz w:val="21"/>
          <w:szCs w:val="21"/>
        </w:rPr>
        <w:t xml:space="preserve"> having regard to the official’s share of the responsibility for the loss/damage.</w:t>
      </w:r>
    </w:p>
    <w:p w14:paraId="6B74F54D" w14:textId="77777777" w:rsidR="004B7200" w:rsidRPr="00AC3A52" w:rsidRDefault="00ED4539" w:rsidP="00ED4539">
      <w:pPr>
        <w:pStyle w:val="Heading3"/>
        <w:rPr>
          <w:rFonts w:cs="Arial"/>
        </w:rPr>
      </w:pPr>
      <w:bookmarkStart w:id="25" w:name="_Asset_disposal"/>
      <w:bookmarkStart w:id="26" w:name="_Toc417380701"/>
      <w:bookmarkStart w:id="27" w:name="_Ref417458690"/>
      <w:bookmarkEnd w:id="25"/>
      <w:r w:rsidRPr="00AC3A52">
        <w:rPr>
          <w:rFonts w:cs="Arial"/>
        </w:rPr>
        <w:t>Asset d</w:t>
      </w:r>
      <w:r w:rsidR="004B7200" w:rsidRPr="00AC3A52">
        <w:rPr>
          <w:rFonts w:cs="Arial"/>
        </w:rPr>
        <w:t>isposal</w:t>
      </w:r>
      <w:bookmarkEnd w:id="26"/>
      <w:bookmarkEnd w:id="27"/>
    </w:p>
    <w:p w14:paraId="6B74F54E" w14:textId="7445ED29"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Effective management of asset disposal ensures that the expected service and output requirements are maintained while minimising the holding of surplus and/or under-performing assets. </w:t>
      </w:r>
      <w:r w:rsidR="00D4359E" w:rsidRPr="007673BD">
        <w:rPr>
          <w:rFonts w:ascii="Arial" w:hAnsi="Arial" w:cs="Arial"/>
          <w:sz w:val="21"/>
          <w:szCs w:val="21"/>
        </w:rPr>
        <w:t xml:space="preserve">Correspondingly, assets may be disposed of for a variety of reasons, including </w:t>
      </w:r>
      <w:r w:rsidR="004609A6" w:rsidRPr="007673BD">
        <w:rPr>
          <w:rFonts w:ascii="Arial" w:hAnsi="Arial" w:cs="Arial"/>
          <w:sz w:val="21"/>
          <w:szCs w:val="21"/>
        </w:rPr>
        <w:t>end of useful life, surplus to requirements, under-utilisation, not fit for purpose, unserviceable, or no longer meets legislative requirements</w:t>
      </w:r>
      <w:r w:rsidR="004609A6" w:rsidRPr="007673BD">
        <w:rPr>
          <w:rFonts w:ascii="Arial" w:hAnsi="Arial" w:cs="Arial"/>
          <w:sz w:val="21"/>
          <w:szCs w:val="21"/>
        </w:rPr>
        <w:fldChar w:fldCharType="begin"/>
      </w:r>
      <w:r w:rsidR="004609A6" w:rsidRPr="007673BD">
        <w:rPr>
          <w:rFonts w:ascii="Arial" w:hAnsi="Arial" w:cs="Arial"/>
          <w:sz w:val="21"/>
          <w:szCs w:val="21"/>
        </w:rPr>
        <w:instrText xml:space="preserve"> NOTEREF _Ref408987583 \f \h  \* MERGEFORMAT </w:instrText>
      </w:r>
      <w:r w:rsidR="004609A6" w:rsidRPr="007673BD">
        <w:rPr>
          <w:rFonts w:ascii="Arial" w:hAnsi="Arial" w:cs="Arial"/>
          <w:sz w:val="21"/>
          <w:szCs w:val="21"/>
        </w:rPr>
      </w:r>
      <w:r w:rsidR="004609A6" w:rsidRPr="007673BD">
        <w:rPr>
          <w:rFonts w:ascii="Arial" w:hAnsi="Arial" w:cs="Arial"/>
          <w:sz w:val="21"/>
          <w:szCs w:val="21"/>
        </w:rPr>
        <w:fldChar w:fldCharType="separate"/>
      </w:r>
      <w:r w:rsidR="00A1335C" w:rsidRPr="00A1335C">
        <w:rPr>
          <w:rStyle w:val="EndnoteReference"/>
          <w:rFonts w:ascii="Arial" w:hAnsi="Arial" w:cs="Arial"/>
          <w:sz w:val="21"/>
          <w:szCs w:val="21"/>
        </w:rPr>
        <w:t>14</w:t>
      </w:r>
      <w:r w:rsidR="004609A6" w:rsidRPr="007673BD">
        <w:rPr>
          <w:rFonts w:ascii="Arial" w:hAnsi="Arial" w:cs="Arial"/>
          <w:sz w:val="21"/>
          <w:szCs w:val="21"/>
        </w:rPr>
        <w:fldChar w:fldCharType="end"/>
      </w:r>
      <w:r w:rsidR="004609A6" w:rsidRPr="007673BD">
        <w:rPr>
          <w:rFonts w:ascii="Arial" w:hAnsi="Arial" w:cs="Arial"/>
          <w:sz w:val="21"/>
          <w:szCs w:val="21"/>
        </w:rPr>
        <w:t>.</w:t>
      </w:r>
    </w:p>
    <w:p w14:paraId="6B74F54F" w14:textId="77777777" w:rsidR="004B7200" w:rsidRPr="007673BD" w:rsidRDefault="004609A6"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When an asset is no longer required, </w:t>
      </w:r>
      <w:r w:rsidR="00D4359E" w:rsidRPr="007673BD">
        <w:rPr>
          <w:rFonts w:ascii="Arial" w:hAnsi="Arial" w:cs="Arial"/>
          <w:sz w:val="21"/>
          <w:szCs w:val="21"/>
        </w:rPr>
        <w:t xml:space="preserve">the method of disposal should result in the best net outcome for the agency (which may not </w:t>
      </w:r>
      <w:r w:rsidRPr="007673BD">
        <w:rPr>
          <w:rFonts w:ascii="Arial" w:hAnsi="Arial" w:cs="Arial"/>
          <w:sz w:val="21"/>
          <w:szCs w:val="21"/>
        </w:rPr>
        <w:t>equate to</w:t>
      </w:r>
      <w:r w:rsidR="00D4359E" w:rsidRPr="007673BD">
        <w:rPr>
          <w:rFonts w:ascii="Arial" w:hAnsi="Arial" w:cs="Arial"/>
          <w:sz w:val="21"/>
          <w:szCs w:val="21"/>
        </w:rPr>
        <w:t xml:space="preserve"> the highest dollar return).</w:t>
      </w:r>
      <w:r w:rsidRPr="007673BD">
        <w:rPr>
          <w:rFonts w:ascii="Arial" w:hAnsi="Arial" w:cs="Arial"/>
          <w:sz w:val="21"/>
          <w:szCs w:val="21"/>
        </w:rPr>
        <w:t xml:space="preserve"> </w:t>
      </w:r>
      <w:r w:rsidR="00B16686" w:rsidRPr="007673BD">
        <w:rPr>
          <w:rFonts w:ascii="Arial" w:hAnsi="Arial" w:cs="Arial"/>
          <w:sz w:val="21"/>
          <w:szCs w:val="21"/>
        </w:rPr>
        <w:t xml:space="preserve">Agency </w:t>
      </w:r>
      <w:r w:rsidR="004B7200" w:rsidRPr="007673BD">
        <w:rPr>
          <w:rFonts w:ascii="Arial" w:hAnsi="Arial" w:cs="Arial"/>
          <w:sz w:val="21"/>
          <w:szCs w:val="21"/>
        </w:rPr>
        <w:t>assets may be disposed of through the following methods:</w:t>
      </w:r>
    </w:p>
    <w:p w14:paraId="6B74F550" w14:textId="58ABF553" w:rsidR="004B7200" w:rsidRPr="007673BD" w:rsidRDefault="004B7200"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Sale</w:t>
      </w:r>
      <w:r w:rsidR="004609A6" w:rsidRPr="007673BD">
        <w:rPr>
          <w:rFonts w:ascii="Arial" w:hAnsi="Arial" w:cs="Arial"/>
          <w:sz w:val="21"/>
          <w:szCs w:val="21"/>
        </w:rPr>
        <w:t xml:space="preserve"> by public auction</w:t>
      </w:r>
      <w:r w:rsidR="00FC5887" w:rsidRPr="007673BD">
        <w:rPr>
          <w:rFonts w:ascii="Arial" w:hAnsi="Arial" w:cs="Arial"/>
          <w:sz w:val="21"/>
          <w:szCs w:val="21"/>
        </w:rPr>
        <w:t xml:space="preserve"> or silent bid process within the </w:t>
      </w:r>
      <w:r w:rsidR="004D0C2F" w:rsidRPr="007673BD">
        <w:rPr>
          <w:rFonts w:ascii="Arial" w:hAnsi="Arial" w:cs="Arial"/>
          <w:sz w:val="21"/>
          <w:szCs w:val="21"/>
        </w:rPr>
        <w:t>a</w:t>
      </w:r>
      <w:r w:rsidR="00FC5887" w:rsidRPr="007673BD">
        <w:rPr>
          <w:rFonts w:ascii="Arial" w:hAnsi="Arial" w:cs="Arial"/>
          <w:sz w:val="21"/>
          <w:szCs w:val="21"/>
        </w:rPr>
        <w:t>gency</w:t>
      </w:r>
    </w:p>
    <w:p w14:paraId="6B74F551" w14:textId="77777777" w:rsidR="004609A6" w:rsidRPr="007673BD" w:rsidRDefault="004609A6"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Tender</w:t>
      </w:r>
    </w:p>
    <w:p w14:paraId="6B74F552" w14:textId="77777777" w:rsidR="004B7200" w:rsidRPr="007673BD" w:rsidRDefault="004B7200"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Transfer</w:t>
      </w:r>
      <w:r w:rsidR="004609A6" w:rsidRPr="007673BD">
        <w:rPr>
          <w:rFonts w:ascii="Arial" w:hAnsi="Arial" w:cs="Arial"/>
          <w:sz w:val="21"/>
          <w:szCs w:val="21"/>
        </w:rPr>
        <w:t xml:space="preserve"> to another area within the entity or to another entity</w:t>
      </w:r>
    </w:p>
    <w:p w14:paraId="6B74F553" w14:textId="77777777" w:rsidR="004B7200" w:rsidRPr="007673BD" w:rsidRDefault="004B7200"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Trade-in</w:t>
      </w:r>
    </w:p>
    <w:p w14:paraId="6B74F554" w14:textId="77777777" w:rsidR="004B7200" w:rsidRPr="007673BD" w:rsidRDefault="004B7200"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Write-off (where assets are determined to be unserviceable, worn out or obsolete; or where assets have been lost or damaged)</w:t>
      </w:r>
    </w:p>
    <w:p w14:paraId="6B74F555" w14:textId="77777777" w:rsidR="004609A6" w:rsidRPr="007673BD" w:rsidRDefault="004609A6"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Demolition or destruction, or</w:t>
      </w:r>
    </w:p>
    <w:p w14:paraId="6B74F556" w14:textId="77777777" w:rsidR="004B7200" w:rsidRPr="007673BD" w:rsidRDefault="004B7200"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Gifting</w:t>
      </w:r>
      <w:r w:rsidR="007C7C48" w:rsidRPr="007673BD">
        <w:rPr>
          <w:rFonts w:ascii="Arial" w:hAnsi="Arial" w:cs="Arial"/>
          <w:sz w:val="21"/>
          <w:szCs w:val="21"/>
        </w:rPr>
        <w:t>/ donation</w:t>
      </w:r>
    </w:p>
    <w:p w14:paraId="6B74F557" w14:textId="77777777" w:rsidR="004609A6" w:rsidRPr="007673BD" w:rsidRDefault="004B7200" w:rsidP="007A3980">
      <w:pPr>
        <w:pStyle w:val="NormalWeb"/>
        <w:numPr>
          <w:ilvl w:val="0"/>
          <w:numId w:val="6"/>
        </w:numPr>
        <w:shd w:val="clear" w:color="auto" w:fill="FFFFFF"/>
        <w:spacing w:before="0" w:beforeAutospacing="0" w:after="120" w:afterAutospacing="0"/>
        <w:rPr>
          <w:rFonts w:ascii="Arial" w:hAnsi="Arial" w:cs="Arial"/>
          <w:sz w:val="21"/>
          <w:szCs w:val="21"/>
        </w:rPr>
      </w:pPr>
      <w:bookmarkStart w:id="28" w:name="_Ref415228257"/>
      <w:r w:rsidRPr="007673BD">
        <w:rPr>
          <w:rFonts w:ascii="Arial" w:hAnsi="Arial" w:cs="Arial"/>
          <w:sz w:val="21"/>
          <w:szCs w:val="21"/>
        </w:rPr>
        <w:t xml:space="preserve">The decision to dispose of an asset needs to be considered in light of any asset replacement strategy, as this will impact on the potential net outcome (in the case of trade-ins) and the timing of the disposal. </w:t>
      </w:r>
      <w:r w:rsidR="007A3980" w:rsidRPr="007673BD">
        <w:rPr>
          <w:rFonts w:ascii="Arial" w:hAnsi="Arial" w:cs="Arial"/>
          <w:sz w:val="21"/>
          <w:szCs w:val="21"/>
        </w:rPr>
        <w:t>Additionally, p</w:t>
      </w:r>
      <w:r w:rsidR="004609A6" w:rsidRPr="007673BD">
        <w:rPr>
          <w:rFonts w:ascii="Arial" w:hAnsi="Arial" w:cs="Arial"/>
          <w:sz w:val="21"/>
          <w:szCs w:val="21"/>
        </w:rPr>
        <w:t>lanning for any significant disposal should demonstrate consideration of:</w:t>
      </w:r>
      <w:bookmarkEnd w:id="28"/>
    </w:p>
    <w:p w14:paraId="6B74F558" w14:textId="6B68AB03" w:rsidR="004609A6" w:rsidRPr="007673BD" w:rsidRDefault="00A47CBE"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R</w:t>
      </w:r>
      <w:r w:rsidR="004609A6" w:rsidRPr="007673BD">
        <w:rPr>
          <w:rFonts w:ascii="Arial" w:hAnsi="Arial" w:cs="Arial"/>
          <w:sz w:val="21"/>
          <w:szCs w:val="21"/>
        </w:rPr>
        <w:t>easons for disposal</w:t>
      </w:r>
      <w:r w:rsidR="004D0C2F" w:rsidRPr="007673BD">
        <w:rPr>
          <w:rFonts w:ascii="Arial" w:hAnsi="Arial" w:cs="Arial"/>
          <w:sz w:val="21"/>
          <w:szCs w:val="21"/>
        </w:rPr>
        <w:t xml:space="preserve"> (having regard to </w:t>
      </w:r>
      <w:r w:rsidR="005F1956" w:rsidRPr="007673BD">
        <w:rPr>
          <w:rFonts w:ascii="Arial" w:hAnsi="Arial" w:cs="Arial"/>
          <w:sz w:val="21"/>
          <w:szCs w:val="21"/>
        </w:rPr>
        <w:t xml:space="preserve">factors within clause </w:t>
      </w:r>
      <w:r w:rsidR="005F1956" w:rsidRPr="007673BD">
        <w:rPr>
          <w:rFonts w:ascii="Arial" w:hAnsi="Arial" w:cs="Arial"/>
          <w:sz w:val="21"/>
          <w:szCs w:val="21"/>
        </w:rPr>
        <w:fldChar w:fldCharType="begin"/>
      </w:r>
      <w:r w:rsidR="005F1956" w:rsidRPr="007673BD">
        <w:rPr>
          <w:rFonts w:ascii="Arial" w:hAnsi="Arial" w:cs="Arial"/>
          <w:sz w:val="21"/>
          <w:szCs w:val="21"/>
        </w:rPr>
        <w:instrText xml:space="preserve"> REF _Ref436131810 \r \h </w:instrText>
      </w:r>
      <w:r w:rsidR="007673BD">
        <w:rPr>
          <w:rFonts w:ascii="Arial" w:hAnsi="Arial" w:cs="Arial"/>
          <w:sz w:val="21"/>
          <w:szCs w:val="21"/>
        </w:rPr>
        <w:instrText xml:space="preserve"> \* MERGEFORMAT </w:instrText>
      </w:r>
      <w:r w:rsidR="005F1956" w:rsidRPr="007673BD">
        <w:rPr>
          <w:rFonts w:ascii="Arial" w:hAnsi="Arial" w:cs="Arial"/>
          <w:sz w:val="21"/>
          <w:szCs w:val="21"/>
        </w:rPr>
      </w:r>
      <w:r w:rsidR="005F1956" w:rsidRPr="007673BD">
        <w:rPr>
          <w:rFonts w:ascii="Arial" w:hAnsi="Arial" w:cs="Arial"/>
          <w:sz w:val="21"/>
          <w:szCs w:val="21"/>
        </w:rPr>
        <w:fldChar w:fldCharType="separate"/>
      </w:r>
      <w:r w:rsidR="00A1335C">
        <w:rPr>
          <w:rFonts w:ascii="Arial" w:hAnsi="Arial" w:cs="Arial"/>
          <w:sz w:val="21"/>
          <w:szCs w:val="21"/>
        </w:rPr>
        <w:t>96</w:t>
      </w:r>
      <w:r w:rsidR="005F1956" w:rsidRPr="007673BD">
        <w:rPr>
          <w:rFonts w:ascii="Arial" w:hAnsi="Arial" w:cs="Arial"/>
          <w:sz w:val="21"/>
          <w:szCs w:val="21"/>
        </w:rPr>
        <w:fldChar w:fldCharType="end"/>
      </w:r>
      <w:r w:rsidR="005F1956" w:rsidRPr="007673BD">
        <w:rPr>
          <w:rFonts w:ascii="Arial" w:hAnsi="Arial" w:cs="Arial"/>
          <w:sz w:val="21"/>
          <w:szCs w:val="21"/>
        </w:rPr>
        <w:t xml:space="preserve"> below)</w:t>
      </w:r>
    </w:p>
    <w:p w14:paraId="6B74F559" w14:textId="6809156C" w:rsidR="004609A6" w:rsidRPr="007673BD" w:rsidRDefault="00A47CBE"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P</w:t>
      </w:r>
      <w:r w:rsidR="004609A6" w:rsidRPr="007673BD">
        <w:rPr>
          <w:rFonts w:ascii="Arial" w:hAnsi="Arial" w:cs="Arial"/>
          <w:sz w:val="21"/>
          <w:szCs w:val="21"/>
        </w:rPr>
        <w:t>roper costings and evaluation of disposal alternatives</w:t>
      </w:r>
      <w:r w:rsidR="004D0C2F" w:rsidRPr="007673BD">
        <w:rPr>
          <w:rFonts w:ascii="Arial" w:hAnsi="Arial" w:cs="Arial"/>
          <w:sz w:val="21"/>
          <w:szCs w:val="21"/>
        </w:rPr>
        <w:t xml:space="preserve"> to identify the most appropriate</w:t>
      </w:r>
    </w:p>
    <w:p w14:paraId="6B74F55A" w14:textId="53BB132E" w:rsidR="004609A6" w:rsidRPr="007673BD" w:rsidRDefault="00A47CBE"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E</w:t>
      </w:r>
      <w:r w:rsidR="004609A6" w:rsidRPr="007673BD">
        <w:rPr>
          <w:rFonts w:ascii="Arial" w:hAnsi="Arial" w:cs="Arial"/>
          <w:sz w:val="21"/>
          <w:szCs w:val="21"/>
        </w:rPr>
        <w:t>xpert assistance to provide professional valuation and disposal</w:t>
      </w:r>
    </w:p>
    <w:p w14:paraId="6B74F55B" w14:textId="5FE14820" w:rsidR="004609A6" w:rsidRPr="007673BD" w:rsidRDefault="00A47CBE"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D</w:t>
      </w:r>
      <w:r w:rsidR="004609A6" w:rsidRPr="007673BD">
        <w:rPr>
          <w:rFonts w:ascii="Arial" w:hAnsi="Arial" w:cs="Arial"/>
          <w:sz w:val="21"/>
          <w:szCs w:val="21"/>
        </w:rPr>
        <w:t>ue diligence review</w:t>
      </w:r>
      <w:r w:rsidR="007A3980" w:rsidRPr="007673BD">
        <w:rPr>
          <w:rFonts w:ascii="Arial" w:hAnsi="Arial" w:cs="Arial"/>
          <w:sz w:val="21"/>
          <w:szCs w:val="21"/>
        </w:rPr>
        <w:t xml:space="preserve"> to ensure sufficient transparency and accountability for asset disposal (including compliance with legislative requirements), and</w:t>
      </w:r>
    </w:p>
    <w:p w14:paraId="6B74F55C" w14:textId="3E93D4C2" w:rsidR="007A3980" w:rsidRPr="007673BD" w:rsidRDefault="00A47CBE" w:rsidP="00F41D76">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P</w:t>
      </w:r>
      <w:r w:rsidR="007A3980" w:rsidRPr="007673BD">
        <w:rPr>
          <w:rFonts w:ascii="Arial" w:hAnsi="Arial" w:cs="Arial"/>
          <w:sz w:val="21"/>
          <w:szCs w:val="21"/>
        </w:rPr>
        <w:t>roper approval for the disposal</w:t>
      </w:r>
      <w:r w:rsidR="007A3980" w:rsidRPr="007673BD">
        <w:rPr>
          <w:rFonts w:ascii="Arial" w:hAnsi="Arial" w:cs="Arial"/>
          <w:sz w:val="21"/>
          <w:szCs w:val="21"/>
        </w:rPr>
        <w:fldChar w:fldCharType="begin"/>
      </w:r>
      <w:r w:rsidR="007A3980" w:rsidRPr="007673BD">
        <w:rPr>
          <w:rFonts w:ascii="Arial" w:hAnsi="Arial" w:cs="Arial"/>
          <w:sz w:val="21"/>
          <w:szCs w:val="21"/>
        </w:rPr>
        <w:instrText xml:space="preserve"> NOTEREF _Ref408987583 \f \h  \* MERGEFORMAT </w:instrText>
      </w:r>
      <w:r w:rsidR="007A3980" w:rsidRPr="007673BD">
        <w:rPr>
          <w:rFonts w:ascii="Arial" w:hAnsi="Arial" w:cs="Arial"/>
          <w:sz w:val="21"/>
          <w:szCs w:val="21"/>
        </w:rPr>
      </w:r>
      <w:r w:rsidR="007A3980" w:rsidRPr="007673BD">
        <w:rPr>
          <w:rFonts w:ascii="Arial" w:hAnsi="Arial" w:cs="Arial"/>
          <w:sz w:val="21"/>
          <w:szCs w:val="21"/>
        </w:rPr>
        <w:fldChar w:fldCharType="separate"/>
      </w:r>
      <w:r w:rsidR="00A1335C" w:rsidRPr="00A1335C">
        <w:rPr>
          <w:rStyle w:val="EndnoteReference"/>
          <w:rFonts w:ascii="Arial" w:hAnsi="Arial" w:cs="Arial"/>
          <w:sz w:val="21"/>
          <w:szCs w:val="21"/>
        </w:rPr>
        <w:t>14</w:t>
      </w:r>
      <w:r w:rsidR="007A3980" w:rsidRPr="007673BD">
        <w:rPr>
          <w:rFonts w:ascii="Arial" w:hAnsi="Arial" w:cs="Arial"/>
          <w:sz w:val="21"/>
          <w:szCs w:val="21"/>
        </w:rPr>
        <w:fldChar w:fldCharType="end"/>
      </w:r>
      <w:r w:rsidR="007A3980" w:rsidRPr="007673BD">
        <w:rPr>
          <w:rFonts w:ascii="Arial" w:hAnsi="Arial" w:cs="Arial"/>
          <w:sz w:val="21"/>
          <w:szCs w:val="21"/>
        </w:rPr>
        <w:t>.</w:t>
      </w:r>
    </w:p>
    <w:p w14:paraId="0E8E0872" w14:textId="77777777" w:rsidR="0005076B" w:rsidRPr="007673BD" w:rsidRDefault="0005076B" w:rsidP="0005076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lastRenderedPageBreak/>
        <w:t>For details of disposal procedures to be followed, contact the Chief Finance Officer. It is important that officials, or others involved in the disposal process, do not gain a personal benefit through any proposed asset disposal method.</w:t>
      </w:r>
    </w:p>
    <w:p w14:paraId="79E6B7EE" w14:textId="77777777" w:rsidR="0005076B" w:rsidRPr="007673BD" w:rsidRDefault="0005076B" w:rsidP="007673BD">
      <w:pPr>
        <w:pStyle w:val="NormalWeb"/>
        <w:numPr>
          <w:ilvl w:val="0"/>
          <w:numId w:val="6"/>
        </w:numPr>
        <w:shd w:val="clear" w:color="auto" w:fill="FFFFFF"/>
        <w:spacing w:before="0" w:beforeAutospacing="0" w:after="80" w:afterAutospacing="0"/>
        <w:rPr>
          <w:rFonts w:ascii="Arial" w:hAnsi="Arial" w:cs="Arial"/>
          <w:sz w:val="21"/>
          <w:szCs w:val="21"/>
        </w:rPr>
      </w:pPr>
      <w:r w:rsidRPr="007673BD">
        <w:rPr>
          <w:rFonts w:ascii="Arial" w:hAnsi="Arial" w:cs="Arial"/>
          <w:sz w:val="21"/>
          <w:szCs w:val="21"/>
        </w:rPr>
        <w:t>In determining the most appropriate method of disposal, the Chief Finance Officer will consider security issues, the potential external market, the potential to support other programs, environmental issues, transfer costs, recommendations by staff etc. Disposal options may include but not limited to:</w:t>
      </w:r>
    </w:p>
    <w:p w14:paraId="232B2058" w14:textId="77777777" w:rsidR="0005076B" w:rsidRPr="007673BD" w:rsidRDefault="0005076B" w:rsidP="007673BD">
      <w:pPr>
        <w:pStyle w:val="NormalWeb"/>
        <w:numPr>
          <w:ilvl w:val="1"/>
          <w:numId w:val="6"/>
        </w:numPr>
        <w:shd w:val="clear" w:color="auto" w:fill="FFFFFF"/>
        <w:spacing w:before="0" w:beforeAutospacing="0" w:after="80" w:afterAutospacing="0"/>
        <w:rPr>
          <w:rFonts w:ascii="Arial" w:hAnsi="Arial" w:cs="Arial"/>
          <w:sz w:val="21"/>
          <w:szCs w:val="21"/>
        </w:rPr>
      </w:pPr>
      <w:r w:rsidRPr="007673BD">
        <w:rPr>
          <w:rFonts w:ascii="Arial" w:hAnsi="Arial" w:cs="Arial"/>
          <w:sz w:val="21"/>
          <w:szCs w:val="21"/>
        </w:rPr>
        <w:t>Auction via third party; or</w:t>
      </w:r>
    </w:p>
    <w:p w14:paraId="4884A59D" w14:textId="77777777" w:rsidR="0005076B" w:rsidRPr="007673BD" w:rsidRDefault="0005076B" w:rsidP="007673BD">
      <w:pPr>
        <w:pStyle w:val="NormalWeb"/>
        <w:numPr>
          <w:ilvl w:val="1"/>
          <w:numId w:val="6"/>
        </w:numPr>
        <w:shd w:val="clear" w:color="auto" w:fill="FFFFFF"/>
        <w:spacing w:before="0" w:beforeAutospacing="0" w:after="80" w:afterAutospacing="0"/>
        <w:rPr>
          <w:rFonts w:ascii="Arial" w:hAnsi="Arial" w:cs="Arial"/>
          <w:sz w:val="21"/>
          <w:szCs w:val="21"/>
        </w:rPr>
      </w:pPr>
      <w:r w:rsidRPr="007673BD">
        <w:rPr>
          <w:rFonts w:ascii="Arial" w:hAnsi="Arial" w:cs="Arial"/>
          <w:sz w:val="21"/>
          <w:szCs w:val="21"/>
        </w:rPr>
        <w:t>Disposal at recycling premises or tip; or</w:t>
      </w:r>
    </w:p>
    <w:p w14:paraId="23D2431E" w14:textId="77777777" w:rsidR="0005076B" w:rsidRPr="007673BD" w:rsidRDefault="0005076B" w:rsidP="0005076B">
      <w:pPr>
        <w:pStyle w:val="NormalWeb"/>
        <w:numPr>
          <w:ilvl w:val="1"/>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Selling via silent bid to staff.</w:t>
      </w:r>
    </w:p>
    <w:p w14:paraId="79922E27" w14:textId="57E21D90" w:rsidR="0005076B" w:rsidRPr="007673BD" w:rsidRDefault="0005076B" w:rsidP="0005076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An </w:t>
      </w:r>
      <w:hyperlink r:id="rId20" w:history="1">
        <w:r w:rsidRPr="007673BD">
          <w:rPr>
            <w:rStyle w:val="Hyperlink"/>
            <w:rFonts w:ascii="Arial" w:hAnsi="Arial" w:cs="Arial"/>
            <w:sz w:val="21"/>
            <w:szCs w:val="21"/>
          </w:rPr>
          <w:t>Asset Disposal Form</w:t>
        </w:r>
      </w:hyperlink>
      <w:r w:rsidRPr="007673BD">
        <w:rPr>
          <w:rFonts w:ascii="Arial" w:hAnsi="Arial" w:cs="Arial"/>
          <w:sz w:val="21"/>
          <w:szCs w:val="21"/>
        </w:rPr>
        <w:t xml:space="preserve"> must be completed and approved by the relevant Director and forwarded to the Chief Finance Officer </w:t>
      </w:r>
      <w:r w:rsidR="00704C75" w:rsidRPr="007673BD">
        <w:rPr>
          <w:rFonts w:ascii="Arial" w:hAnsi="Arial" w:cs="Arial"/>
          <w:sz w:val="21"/>
          <w:szCs w:val="21"/>
        </w:rPr>
        <w:t xml:space="preserve">or Finance Manager </w:t>
      </w:r>
      <w:r w:rsidRPr="007673BD">
        <w:rPr>
          <w:rFonts w:ascii="Arial" w:hAnsi="Arial" w:cs="Arial"/>
          <w:sz w:val="21"/>
          <w:szCs w:val="21"/>
        </w:rPr>
        <w:t>for approval prior to the disposal. The Finance Section will update OneFMA or TheDock where relevant for the disposal.</w:t>
      </w:r>
    </w:p>
    <w:p w14:paraId="1BE0A9E9" w14:textId="3B9E084B" w:rsidR="00BD624C" w:rsidRPr="007673BD" w:rsidRDefault="004B7200" w:rsidP="0005076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Disposal of any security assets must be approved by </w:t>
      </w:r>
      <w:r w:rsidR="00500234" w:rsidRPr="007673BD">
        <w:rPr>
          <w:rFonts w:ascii="Arial" w:hAnsi="Arial" w:cs="Arial"/>
          <w:sz w:val="21"/>
          <w:szCs w:val="21"/>
        </w:rPr>
        <w:t xml:space="preserve">Agency Security Advisor and/or </w:t>
      </w:r>
      <w:r w:rsidR="00382D76" w:rsidRPr="007673BD">
        <w:rPr>
          <w:rFonts w:ascii="Arial" w:hAnsi="Arial" w:cs="Arial"/>
          <w:sz w:val="21"/>
          <w:szCs w:val="21"/>
        </w:rPr>
        <w:t xml:space="preserve">the </w:t>
      </w:r>
      <w:r w:rsidR="009E3EF9" w:rsidRPr="007673BD">
        <w:rPr>
          <w:rFonts w:ascii="Arial" w:hAnsi="Arial" w:cs="Arial"/>
          <w:sz w:val="21"/>
          <w:szCs w:val="21"/>
        </w:rPr>
        <w:t>Chief Finance Officer</w:t>
      </w:r>
      <w:r w:rsidRPr="007673BD">
        <w:rPr>
          <w:rFonts w:ascii="Arial" w:hAnsi="Arial" w:cs="Arial"/>
          <w:sz w:val="21"/>
          <w:szCs w:val="21"/>
        </w:rPr>
        <w:t>.</w:t>
      </w:r>
      <w:r w:rsidR="00BD624C" w:rsidRPr="007673BD">
        <w:rPr>
          <w:rFonts w:ascii="Arial" w:hAnsi="Arial" w:cs="Arial"/>
          <w:sz w:val="21"/>
          <w:szCs w:val="21"/>
        </w:rPr>
        <w:t xml:space="preserve"> </w:t>
      </w:r>
    </w:p>
    <w:p w14:paraId="6B74F560" w14:textId="06947772" w:rsidR="004B7200" w:rsidRPr="007673BD" w:rsidRDefault="004B7200" w:rsidP="007673BD">
      <w:pPr>
        <w:pStyle w:val="NormalWeb"/>
        <w:numPr>
          <w:ilvl w:val="0"/>
          <w:numId w:val="6"/>
        </w:numPr>
        <w:shd w:val="clear" w:color="auto" w:fill="FFFFFF"/>
        <w:spacing w:before="0" w:beforeAutospacing="0" w:after="80" w:afterAutospacing="0"/>
        <w:rPr>
          <w:rFonts w:ascii="Arial" w:hAnsi="Arial" w:cs="Arial"/>
          <w:sz w:val="21"/>
          <w:szCs w:val="21"/>
        </w:rPr>
      </w:pPr>
      <w:bookmarkStart w:id="29" w:name="_Ref436131810"/>
      <w:r w:rsidRPr="007673BD">
        <w:rPr>
          <w:rFonts w:ascii="Arial" w:hAnsi="Arial" w:cs="Arial"/>
          <w:sz w:val="21"/>
          <w:szCs w:val="21"/>
        </w:rPr>
        <w:t xml:space="preserve">Additionally, </w:t>
      </w:r>
      <w:r w:rsidR="00FC5887" w:rsidRPr="007673BD">
        <w:rPr>
          <w:rFonts w:ascii="Arial" w:hAnsi="Arial" w:cs="Arial"/>
          <w:sz w:val="21"/>
          <w:szCs w:val="21"/>
        </w:rPr>
        <w:t>du</w:t>
      </w:r>
      <w:r w:rsidR="004D0C2F" w:rsidRPr="007673BD">
        <w:rPr>
          <w:rFonts w:ascii="Arial" w:hAnsi="Arial" w:cs="Arial"/>
          <w:sz w:val="21"/>
          <w:szCs w:val="21"/>
        </w:rPr>
        <w:t>ring the asset stocktake process, the Finance s</w:t>
      </w:r>
      <w:r w:rsidR="00FC5887" w:rsidRPr="007673BD">
        <w:rPr>
          <w:rFonts w:ascii="Arial" w:hAnsi="Arial" w:cs="Arial"/>
          <w:sz w:val="21"/>
          <w:szCs w:val="21"/>
        </w:rPr>
        <w:t xml:space="preserve">ection </w:t>
      </w:r>
      <w:r w:rsidR="004D0C2F" w:rsidRPr="007673BD">
        <w:rPr>
          <w:rFonts w:ascii="Arial" w:hAnsi="Arial" w:cs="Arial"/>
          <w:sz w:val="21"/>
          <w:szCs w:val="21"/>
        </w:rPr>
        <w:t>(</w:t>
      </w:r>
      <w:r w:rsidR="00FC5887" w:rsidRPr="007673BD">
        <w:rPr>
          <w:rFonts w:ascii="Arial" w:hAnsi="Arial" w:cs="Arial"/>
          <w:sz w:val="21"/>
          <w:szCs w:val="21"/>
        </w:rPr>
        <w:t xml:space="preserve">in </w:t>
      </w:r>
      <w:r w:rsidR="004D0C2F" w:rsidRPr="007673BD">
        <w:rPr>
          <w:rFonts w:ascii="Arial" w:hAnsi="Arial" w:cs="Arial"/>
          <w:sz w:val="21"/>
          <w:szCs w:val="21"/>
        </w:rPr>
        <w:t>consultation</w:t>
      </w:r>
      <w:r w:rsidR="00FC5887" w:rsidRPr="007673BD">
        <w:rPr>
          <w:rFonts w:ascii="Arial" w:hAnsi="Arial" w:cs="Arial"/>
          <w:sz w:val="21"/>
          <w:szCs w:val="21"/>
        </w:rPr>
        <w:t xml:space="preserve"> with responsible sections</w:t>
      </w:r>
      <w:r w:rsidR="004D0C2F" w:rsidRPr="007673BD">
        <w:rPr>
          <w:rFonts w:ascii="Arial" w:hAnsi="Arial" w:cs="Arial"/>
          <w:sz w:val="21"/>
          <w:szCs w:val="21"/>
        </w:rPr>
        <w:t>)</w:t>
      </w:r>
      <w:r w:rsidR="001F5EAC" w:rsidRPr="007673BD">
        <w:rPr>
          <w:rFonts w:ascii="Arial" w:hAnsi="Arial" w:cs="Arial"/>
          <w:sz w:val="21"/>
          <w:szCs w:val="21"/>
        </w:rPr>
        <w:t xml:space="preserve"> will</w:t>
      </w:r>
      <w:r w:rsidR="00382D76" w:rsidRPr="007673BD">
        <w:rPr>
          <w:rFonts w:ascii="Arial" w:hAnsi="Arial" w:cs="Arial"/>
          <w:sz w:val="21"/>
          <w:szCs w:val="21"/>
        </w:rPr>
        <w:t xml:space="preserve"> consider </w:t>
      </w:r>
      <w:r w:rsidR="00FC5887" w:rsidRPr="007673BD">
        <w:rPr>
          <w:rFonts w:ascii="Arial" w:hAnsi="Arial" w:cs="Arial"/>
          <w:sz w:val="21"/>
          <w:szCs w:val="21"/>
        </w:rPr>
        <w:t xml:space="preserve">such </w:t>
      </w:r>
      <w:r w:rsidR="00382D76" w:rsidRPr="007673BD">
        <w:rPr>
          <w:rFonts w:ascii="Arial" w:hAnsi="Arial" w:cs="Arial"/>
          <w:sz w:val="21"/>
          <w:szCs w:val="21"/>
        </w:rPr>
        <w:t>factors as;</w:t>
      </w:r>
      <w:bookmarkEnd w:id="29"/>
    </w:p>
    <w:p w14:paraId="6B74F561" w14:textId="171C29D1" w:rsidR="004B7200" w:rsidRPr="007673BD" w:rsidRDefault="00A47CBE" w:rsidP="007673BD">
      <w:pPr>
        <w:numPr>
          <w:ilvl w:val="1"/>
          <w:numId w:val="6"/>
        </w:numPr>
        <w:shd w:val="clear" w:color="auto" w:fill="FFFFFF"/>
        <w:spacing w:after="80"/>
        <w:rPr>
          <w:rFonts w:cs="Arial"/>
          <w:sz w:val="21"/>
          <w:szCs w:val="21"/>
          <w:lang w:val="en-AU"/>
        </w:rPr>
      </w:pPr>
      <w:r w:rsidRPr="007673BD">
        <w:rPr>
          <w:rFonts w:cs="Arial"/>
          <w:sz w:val="21"/>
          <w:szCs w:val="21"/>
          <w:lang w:val="en-AU"/>
        </w:rPr>
        <w:t>T</w:t>
      </w:r>
      <w:r w:rsidR="00382D76" w:rsidRPr="007673BD">
        <w:rPr>
          <w:rFonts w:cs="Arial"/>
          <w:sz w:val="21"/>
          <w:szCs w:val="21"/>
          <w:lang w:val="en-AU"/>
        </w:rPr>
        <w:t>echnological obsolescence</w:t>
      </w:r>
    </w:p>
    <w:p w14:paraId="6B74F562" w14:textId="7386530C" w:rsidR="004B7200" w:rsidRPr="007673BD" w:rsidRDefault="00A47CBE" w:rsidP="007673BD">
      <w:pPr>
        <w:numPr>
          <w:ilvl w:val="1"/>
          <w:numId w:val="6"/>
        </w:numPr>
        <w:shd w:val="clear" w:color="auto" w:fill="FFFFFF"/>
        <w:spacing w:after="80"/>
        <w:rPr>
          <w:rFonts w:cs="Arial"/>
          <w:sz w:val="21"/>
          <w:szCs w:val="21"/>
          <w:lang w:val="en-AU"/>
        </w:rPr>
      </w:pPr>
      <w:r w:rsidRPr="007673BD">
        <w:rPr>
          <w:rFonts w:cs="Arial"/>
          <w:sz w:val="21"/>
          <w:szCs w:val="21"/>
          <w:lang w:val="en-AU"/>
        </w:rPr>
        <w:t>I</w:t>
      </w:r>
      <w:r w:rsidR="004B7200" w:rsidRPr="007673BD">
        <w:rPr>
          <w:rFonts w:cs="Arial"/>
          <w:sz w:val="21"/>
          <w:szCs w:val="21"/>
          <w:lang w:val="en-AU"/>
        </w:rPr>
        <w:t>tems beyond repair, or where the cost of repair outweighs the e</w:t>
      </w:r>
      <w:r w:rsidR="00382D76" w:rsidRPr="007673BD">
        <w:rPr>
          <w:rFonts w:cs="Arial"/>
          <w:sz w:val="21"/>
          <w:szCs w:val="21"/>
          <w:lang w:val="en-AU"/>
        </w:rPr>
        <w:t>xpected future service benefits</w:t>
      </w:r>
    </w:p>
    <w:p w14:paraId="6B74F563" w14:textId="6C137C7A" w:rsidR="004B7200" w:rsidRPr="007673BD" w:rsidRDefault="00A47CBE" w:rsidP="007673BD">
      <w:pPr>
        <w:numPr>
          <w:ilvl w:val="1"/>
          <w:numId w:val="6"/>
        </w:numPr>
        <w:shd w:val="clear" w:color="auto" w:fill="FFFFFF"/>
        <w:spacing w:after="80"/>
        <w:rPr>
          <w:rFonts w:cs="Arial"/>
          <w:sz w:val="21"/>
          <w:szCs w:val="21"/>
          <w:lang w:val="en-AU"/>
        </w:rPr>
      </w:pPr>
      <w:r w:rsidRPr="007673BD">
        <w:rPr>
          <w:rFonts w:cs="Arial"/>
          <w:sz w:val="21"/>
          <w:szCs w:val="21"/>
          <w:lang w:val="en-AU"/>
        </w:rPr>
        <w:t>I</w:t>
      </w:r>
      <w:r w:rsidR="004B7200" w:rsidRPr="007673BD">
        <w:rPr>
          <w:rFonts w:cs="Arial"/>
          <w:sz w:val="21"/>
          <w:szCs w:val="21"/>
          <w:lang w:val="en-AU"/>
        </w:rPr>
        <w:t>tems not expected to be util</w:t>
      </w:r>
      <w:r w:rsidR="00382D76" w:rsidRPr="007673BD">
        <w:rPr>
          <w:rFonts w:cs="Arial"/>
          <w:sz w:val="21"/>
          <w:szCs w:val="21"/>
          <w:lang w:val="en-AU"/>
        </w:rPr>
        <w:t>ised in the medium to long term,</w:t>
      </w:r>
      <w:r w:rsidR="004B7200" w:rsidRPr="007673BD">
        <w:rPr>
          <w:rFonts w:cs="Arial"/>
          <w:sz w:val="21"/>
          <w:szCs w:val="21"/>
          <w:lang w:val="en-AU"/>
        </w:rPr>
        <w:t xml:space="preserve"> and/or</w:t>
      </w:r>
    </w:p>
    <w:p w14:paraId="6B74F564" w14:textId="651472B3" w:rsidR="004B7200" w:rsidRPr="007673BD" w:rsidRDefault="00A47CBE" w:rsidP="00F41D76">
      <w:pPr>
        <w:numPr>
          <w:ilvl w:val="1"/>
          <w:numId w:val="6"/>
        </w:numPr>
        <w:shd w:val="clear" w:color="auto" w:fill="FFFFFF"/>
        <w:rPr>
          <w:rFonts w:cs="Arial"/>
          <w:sz w:val="21"/>
          <w:szCs w:val="21"/>
          <w:lang w:val="en-AU"/>
        </w:rPr>
      </w:pPr>
      <w:r w:rsidRPr="007673BD">
        <w:rPr>
          <w:rFonts w:cs="Arial"/>
          <w:sz w:val="21"/>
          <w:szCs w:val="21"/>
          <w:lang w:val="en-AU"/>
        </w:rPr>
        <w:t>C</w:t>
      </w:r>
      <w:r w:rsidR="004B7200" w:rsidRPr="007673BD">
        <w:rPr>
          <w:rFonts w:cs="Arial"/>
          <w:sz w:val="21"/>
          <w:szCs w:val="21"/>
          <w:lang w:val="en-AU"/>
        </w:rPr>
        <w:t>onformity with workplace and/or WH&amp;S requirements.</w:t>
      </w:r>
    </w:p>
    <w:p w14:paraId="6B74F565" w14:textId="77777777" w:rsidR="001F5EAC" w:rsidRPr="007673BD" w:rsidRDefault="004B7200" w:rsidP="001F5EAC">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For assets that are surplus to requirements and have </w:t>
      </w:r>
      <w:r w:rsidR="003A31B0" w:rsidRPr="007673BD">
        <w:rPr>
          <w:rFonts w:ascii="Arial" w:hAnsi="Arial" w:cs="Arial"/>
          <w:sz w:val="21"/>
          <w:szCs w:val="21"/>
        </w:rPr>
        <w:t xml:space="preserve">heritage, </w:t>
      </w:r>
      <w:r w:rsidRPr="007673BD">
        <w:rPr>
          <w:rFonts w:ascii="Arial" w:hAnsi="Arial" w:cs="Arial"/>
          <w:sz w:val="21"/>
          <w:szCs w:val="21"/>
        </w:rPr>
        <w:t>historical or cultural significance,</w:t>
      </w:r>
      <w:r w:rsidR="008841F0" w:rsidRPr="007673BD">
        <w:rPr>
          <w:rFonts w:ascii="Arial" w:hAnsi="Arial" w:cs="Arial"/>
          <w:sz w:val="21"/>
          <w:szCs w:val="21"/>
        </w:rPr>
        <w:t xml:space="preserve"> the</w:t>
      </w:r>
      <w:r w:rsidRPr="007673BD">
        <w:rPr>
          <w:rFonts w:ascii="Arial" w:hAnsi="Arial" w:cs="Arial"/>
          <w:sz w:val="21"/>
          <w:szCs w:val="21"/>
        </w:rPr>
        <w:t xml:space="preserve"> Finance </w:t>
      </w:r>
      <w:r w:rsidR="008C328C" w:rsidRPr="007673BD">
        <w:rPr>
          <w:rFonts w:ascii="Arial" w:hAnsi="Arial" w:cs="Arial"/>
          <w:sz w:val="21"/>
          <w:szCs w:val="21"/>
        </w:rPr>
        <w:t xml:space="preserve">section </w:t>
      </w:r>
      <w:r w:rsidRPr="007673BD">
        <w:rPr>
          <w:rFonts w:ascii="Arial" w:hAnsi="Arial" w:cs="Arial"/>
          <w:sz w:val="21"/>
          <w:szCs w:val="21"/>
        </w:rPr>
        <w:t>should be advised, and full details of the asset provided, before any action is taken.</w:t>
      </w:r>
    </w:p>
    <w:p w14:paraId="6B74F566" w14:textId="77777777" w:rsidR="004B7200" w:rsidRPr="00F41D76" w:rsidRDefault="004B7200" w:rsidP="004C511C">
      <w:pPr>
        <w:pStyle w:val="Heading4"/>
        <w:rPr>
          <w:rFonts w:cs="Arial"/>
        </w:rPr>
      </w:pPr>
      <w:r w:rsidRPr="00F41D76">
        <w:rPr>
          <w:rFonts w:cs="Arial"/>
        </w:rPr>
        <w:t>Profit/</w:t>
      </w:r>
      <w:r w:rsidR="004C511C" w:rsidRPr="00F41D76">
        <w:rPr>
          <w:rFonts w:cs="Arial"/>
        </w:rPr>
        <w:t xml:space="preserve"> loss on sale of a</w:t>
      </w:r>
      <w:r w:rsidRPr="00F41D76">
        <w:rPr>
          <w:rFonts w:cs="Arial"/>
        </w:rPr>
        <w:t>ssets</w:t>
      </w:r>
    </w:p>
    <w:p w14:paraId="6B74F567" w14:textId="77777777" w:rsidR="00700B62"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For assets purchased from capital funds, any profit/loss on subsequent sale of assets is to be returned to </w:t>
      </w:r>
      <w:r w:rsidR="00BA1E99" w:rsidRPr="007673BD">
        <w:rPr>
          <w:rFonts w:ascii="Arial" w:hAnsi="Arial" w:cs="Arial"/>
          <w:sz w:val="21"/>
          <w:szCs w:val="21"/>
        </w:rPr>
        <w:t xml:space="preserve">the agency’s </w:t>
      </w:r>
      <w:r w:rsidRPr="007673BD">
        <w:rPr>
          <w:rFonts w:ascii="Arial" w:hAnsi="Arial" w:cs="Arial"/>
          <w:sz w:val="21"/>
          <w:szCs w:val="21"/>
        </w:rPr>
        <w:t xml:space="preserve">bank account. The </w:t>
      </w:r>
      <w:r w:rsidR="009E3EF9" w:rsidRPr="007673BD">
        <w:rPr>
          <w:rFonts w:ascii="Arial" w:hAnsi="Arial" w:cs="Arial"/>
          <w:sz w:val="21"/>
          <w:szCs w:val="21"/>
        </w:rPr>
        <w:t>Chief Finance Officer</w:t>
      </w:r>
      <w:r w:rsidRPr="007673BD">
        <w:rPr>
          <w:rFonts w:ascii="Arial" w:hAnsi="Arial" w:cs="Arial"/>
          <w:sz w:val="21"/>
          <w:szCs w:val="21"/>
        </w:rPr>
        <w:t xml:space="preserve"> will monitor the disposal of these assets to determine whether returns on disposals are in line with that advised as part of the CMP process (where applicable)</w:t>
      </w:r>
      <w:r w:rsidR="00BA1E99" w:rsidRPr="007673BD">
        <w:rPr>
          <w:rFonts w:ascii="Arial" w:hAnsi="Arial" w:cs="Arial"/>
          <w:sz w:val="21"/>
          <w:szCs w:val="21"/>
        </w:rPr>
        <w:t>,</w:t>
      </w:r>
      <w:r w:rsidRPr="007673BD">
        <w:rPr>
          <w:rFonts w:ascii="Arial" w:hAnsi="Arial" w:cs="Arial"/>
          <w:sz w:val="21"/>
          <w:szCs w:val="21"/>
        </w:rPr>
        <w:t xml:space="preserve"> and whether </w:t>
      </w:r>
      <w:r w:rsidR="008C328C" w:rsidRPr="007673BD">
        <w:rPr>
          <w:rFonts w:ascii="Arial" w:hAnsi="Arial" w:cs="Arial"/>
          <w:sz w:val="21"/>
          <w:szCs w:val="21"/>
        </w:rPr>
        <w:t>section</w:t>
      </w:r>
      <w:r w:rsidRPr="007673BD">
        <w:rPr>
          <w:rFonts w:ascii="Arial" w:hAnsi="Arial" w:cs="Arial"/>
          <w:sz w:val="21"/>
          <w:szCs w:val="21"/>
        </w:rPr>
        <w:t xml:space="preserve">s have consciously pursued the best net outcome for </w:t>
      </w:r>
      <w:r w:rsidR="00BA1E99" w:rsidRPr="007673BD">
        <w:rPr>
          <w:rFonts w:ascii="Arial" w:hAnsi="Arial" w:cs="Arial"/>
          <w:sz w:val="21"/>
          <w:szCs w:val="21"/>
        </w:rPr>
        <w:t xml:space="preserve">the agency </w:t>
      </w:r>
      <w:r w:rsidRPr="007673BD">
        <w:rPr>
          <w:rFonts w:ascii="Arial" w:hAnsi="Arial" w:cs="Arial"/>
          <w:sz w:val="21"/>
          <w:szCs w:val="21"/>
        </w:rPr>
        <w:t xml:space="preserve">from the disposal. </w:t>
      </w:r>
    </w:p>
    <w:p w14:paraId="6B74F568" w14:textId="77777777" w:rsidR="004B7200" w:rsidRPr="007673BD" w:rsidRDefault="004B7200" w:rsidP="00A40A3D">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Finance </w:t>
      </w:r>
      <w:r w:rsidR="008C328C" w:rsidRPr="007673BD">
        <w:rPr>
          <w:rFonts w:ascii="Arial" w:hAnsi="Arial" w:cs="Arial"/>
          <w:sz w:val="21"/>
          <w:szCs w:val="21"/>
        </w:rPr>
        <w:t xml:space="preserve">section </w:t>
      </w:r>
      <w:r w:rsidRPr="007673BD">
        <w:rPr>
          <w:rFonts w:ascii="Arial" w:hAnsi="Arial" w:cs="Arial"/>
          <w:sz w:val="21"/>
          <w:szCs w:val="21"/>
        </w:rPr>
        <w:t>should be advised as early as possible if a significant loss on sale of an asset is expected and/or where the loss will be greater than forecast by the work area as part of the CMP process.</w:t>
      </w:r>
    </w:p>
    <w:p w14:paraId="6B74F569" w14:textId="247C69E1" w:rsidR="004B7200" w:rsidRPr="007673BD" w:rsidRDefault="00FC5887" w:rsidP="00A40A3D">
      <w:pPr>
        <w:numPr>
          <w:ilvl w:val="0"/>
          <w:numId w:val="6"/>
        </w:numPr>
        <w:shd w:val="clear" w:color="auto" w:fill="FFFFFF"/>
        <w:rPr>
          <w:rFonts w:cs="Arial"/>
          <w:sz w:val="21"/>
          <w:szCs w:val="21"/>
          <w:lang w:val="en-AU"/>
        </w:rPr>
      </w:pPr>
      <w:r w:rsidRPr="007673BD">
        <w:rPr>
          <w:rFonts w:cs="Arial"/>
          <w:sz w:val="21"/>
          <w:szCs w:val="21"/>
        </w:rPr>
        <w:t xml:space="preserve">The profit or loss arising from the sale of an asset is determined as the difference between net sale proceeds, if any (that is, proceeds minus costs of selling, such as auctioneer, freight, transfer </w:t>
      </w:r>
      <w:r w:rsidR="00323E41" w:rsidRPr="007673BD">
        <w:rPr>
          <w:rFonts w:cs="Arial"/>
          <w:sz w:val="21"/>
          <w:szCs w:val="21"/>
        </w:rPr>
        <w:t>etc.</w:t>
      </w:r>
      <w:r w:rsidRPr="007673BD">
        <w:rPr>
          <w:rFonts w:cs="Arial"/>
          <w:sz w:val="21"/>
          <w:szCs w:val="21"/>
        </w:rPr>
        <w:t>), and the carrying amount of the item, even if that amount is zero.</w:t>
      </w:r>
      <w:r w:rsidR="004B7200" w:rsidRPr="007673BD">
        <w:rPr>
          <w:rFonts w:cs="Arial"/>
          <w:sz w:val="21"/>
          <w:szCs w:val="21"/>
          <w:lang w:val="en-AU"/>
        </w:rPr>
        <w:t xml:space="preserve"> </w:t>
      </w:r>
      <w:r w:rsidR="002C13D7" w:rsidRPr="007673BD">
        <w:rPr>
          <w:rFonts w:cs="Arial"/>
          <w:sz w:val="21"/>
          <w:szCs w:val="21"/>
          <w:lang w:val="en-AU"/>
        </w:rPr>
        <w:t>W</w:t>
      </w:r>
      <w:r w:rsidR="004B7200" w:rsidRPr="007673BD">
        <w:rPr>
          <w:rFonts w:cs="Arial"/>
          <w:sz w:val="21"/>
          <w:szCs w:val="21"/>
          <w:lang w:val="en-AU"/>
        </w:rPr>
        <w:t xml:space="preserve">here </w:t>
      </w:r>
      <w:r w:rsidR="002C13D7" w:rsidRPr="007673BD">
        <w:rPr>
          <w:rFonts w:cs="Arial"/>
          <w:sz w:val="21"/>
          <w:szCs w:val="21"/>
          <w:lang w:val="en-AU"/>
        </w:rPr>
        <w:t>direct sales costs</w:t>
      </w:r>
      <w:r w:rsidR="004B7200" w:rsidRPr="007673BD">
        <w:rPr>
          <w:rFonts w:cs="Arial"/>
          <w:sz w:val="21"/>
          <w:szCs w:val="21"/>
          <w:lang w:val="en-AU"/>
        </w:rPr>
        <w:t xml:space="preserve"> are expected to be significant, the </w:t>
      </w:r>
      <w:r w:rsidR="009E3EF9" w:rsidRPr="007673BD">
        <w:rPr>
          <w:rFonts w:cs="Arial"/>
          <w:sz w:val="21"/>
          <w:szCs w:val="21"/>
          <w:lang w:val="en-AU"/>
        </w:rPr>
        <w:t>Chief Finance Officer</w:t>
      </w:r>
      <w:r w:rsidR="004B7200" w:rsidRPr="007673BD">
        <w:rPr>
          <w:rFonts w:cs="Arial"/>
          <w:sz w:val="21"/>
          <w:szCs w:val="21"/>
          <w:lang w:val="en-AU"/>
        </w:rPr>
        <w:t xml:space="preserve"> should be consulted before any disposal action is undertaken.</w:t>
      </w:r>
    </w:p>
    <w:p w14:paraId="6B74F56A" w14:textId="77777777" w:rsidR="004B7200" w:rsidRPr="00575808" w:rsidRDefault="004B7200" w:rsidP="00ED4539">
      <w:pPr>
        <w:pStyle w:val="Heading2"/>
        <w:rPr>
          <w:rFonts w:cs="Arial"/>
        </w:rPr>
      </w:pPr>
      <w:bookmarkStart w:id="30" w:name="_Toc417380702"/>
      <w:r w:rsidRPr="0055665E">
        <w:rPr>
          <w:rFonts w:cs="Arial"/>
        </w:rPr>
        <w:t xml:space="preserve">Intangible </w:t>
      </w:r>
      <w:r w:rsidR="004C511C" w:rsidRPr="0055665E">
        <w:rPr>
          <w:rFonts w:cs="Arial"/>
        </w:rPr>
        <w:t>a</w:t>
      </w:r>
      <w:r w:rsidRPr="0055665E">
        <w:rPr>
          <w:rFonts w:cs="Arial"/>
        </w:rPr>
        <w:t xml:space="preserve">ssets and </w:t>
      </w:r>
      <w:r w:rsidR="001A5282" w:rsidRPr="00AD3FB3">
        <w:rPr>
          <w:rFonts w:cs="Arial"/>
        </w:rPr>
        <w:t>i</w:t>
      </w:r>
      <w:r w:rsidRPr="00BD2B73">
        <w:rPr>
          <w:rFonts w:cs="Arial"/>
        </w:rPr>
        <w:t xml:space="preserve">ntellectual </w:t>
      </w:r>
      <w:r w:rsidR="001A5282" w:rsidRPr="00BD2B73">
        <w:rPr>
          <w:rFonts w:cs="Arial"/>
        </w:rPr>
        <w:t>p</w:t>
      </w:r>
      <w:r w:rsidRPr="00575808">
        <w:rPr>
          <w:rFonts w:cs="Arial"/>
        </w:rPr>
        <w:t>roperty</w:t>
      </w:r>
      <w:bookmarkEnd w:id="30"/>
    </w:p>
    <w:p w14:paraId="50D1F684" w14:textId="0CCCC15F" w:rsidR="00EB3C53" w:rsidRPr="007673BD" w:rsidRDefault="00EB3C53" w:rsidP="00EB3C53">
      <w:pPr>
        <w:numPr>
          <w:ilvl w:val="0"/>
          <w:numId w:val="6"/>
        </w:numPr>
        <w:shd w:val="clear" w:color="auto" w:fill="FFFFFF"/>
        <w:rPr>
          <w:rFonts w:cs="Arial"/>
          <w:sz w:val="21"/>
          <w:szCs w:val="21"/>
        </w:rPr>
      </w:pPr>
      <w:r w:rsidRPr="007673BD">
        <w:rPr>
          <w:rFonts w:cs="Arial"/>
          <w:sz w:val="21"/>
          <w:szCs w:val="21"/>
          <w:lang w:val="en-AU"/>
        </w:rPr>
        <w:t>Within the agency, intangible assets generally relate to software purchased ‘off the shelf’ (externally developed software), and software that has been developed ‘in house’ (internally developed software).</w:t>
      </w:r>
      <w:r w:rsidRPr="007673BD">
        <w:rPr>
          <w:sz w:val="21"/>
          <w:szCs w:val="21"/>
        </w:rPr>
        <w:t xml:space="preserve"> </w:t>
      </w:r>
      <w:r w:rsidRPr="007673BD">
        <w:rPr>
          <w:rFonts w:cs="Arial"/>
          <w:sz w:val="21"/>
          <w:szCs w:val="21"/>
          <w:lang w:val="en-AU"/>
        </w:rPr>
        <w:t>Patents, copyrights, trademarks and intellectual property may also be considered ‘intangible assets’ so long as they are identifiable  and future economic benefits are expected to flow (e.g., revenue from the sale of products or services, cost savings, or other benefits resulting from the use of the asset by the agency)</w:t>
      </w:r>
      <w:r w:rsidR="008627AC" w:rsidRPr="007673BD">
        <w:rPr>
          <w:rFonts w:cs="Arial"/>
          <w:sz w:val="21"/>
          <w:szCs w:val="21"/>
          <w:lang w:val="en-AU"/>
        </w:rPr>
        <w:fldChar w:fldCharType="begin"/>
      </w:r>
      <w:r w:rsidR="008627AC" w:rsidRPr="007673BD">
        <w:rPr>
          <w:rFonts w:cs="Arial"/>
          <w:sz w:val="21"/>
          <w:szCs w:val="21"/>
          <w:lang w:val="en-AU"/>
        </w:rPr>
        <w:instrText xml:space="preserve"> NOTEREF _Ref417379638 \f \h </w:instrText>
      </w:r>
      <w:r w:rsidR="007673BD">
        <w:rPr>
          <w:rFonts w:cs="Arial"/>
          <w:sz w:val="21"/>
          <w:szCs w:val="21"/>
          <w:lang w:val="en-AU"/>
        </w:rPr>
        <w:instrText xml:space="preserve"> \* MERGEFORMAT </w:instrText>
      </w:r>
      <w:r w:rsidR="008627AC" w:rsidRPr="007673BD">
        <w:rPr>
          <w:rFonts w:cs="Arial"/>
          <w:sz w:val="21"/>
          <w:szCs w:val="21"/>
          <w:lang w:val="en-AU"/>
        </w:rPr>
      </w:r>
      <w:r w:rsidR="008627AC" w:rsidRPr="007673BD">
        <w:rPr>
          <w:rFonts w:cs="Arial"/>
          <w:sz w:val="21"/>
          <w:szCs w:val="21"/>
          <w:lang w:val="en-AU"/>
        </w:rPr>
        <w:fldChar w:fldCharType="separate"/>
      </w:r>
      <w:r w:rsidR="00A1335C" w:rsidRPr="00A1335C">
        <w:rPr>
          <w:rStyle w:val="EndnoteReference"/>
          <w:sz w:val="21"/>
          <w:szCs w:val="21"/>
        </w:rPr>
        <w:t>9</w:t>
      </w:r>
      <w:r w:rsidR="008627AC" w:rsidRPr="007673BD">
        <w:rPr>
          <w:rFonts w:cs="Arial"/>
          <w:sz w:val="21"/>
          <w:szCs w:val="21"/>
          <w:lang w:val="en-AU"/>
        </w:rPr>
        <w:fldChar w:fldCharType="end"/>
      </w:r>
      <w:r w:rsidRPr="007673BD">
        <w:rPr>
          <w:rFonts w:cs="Arial"/>
          <w:sz w:val="21"/>
          <w:szCs w:val="21"/>
          <w:lang w:val="en-AU"/>
        </w:rPr>
        <w:t xml:space="preserve">. </w:t>
      </w:r>
    </w:p>
    <w:p w14:paraId="6B74F56C" w14:textId="77777777" w:rsidR="00FC5887" w:rsidRPr="00F41D76" w:rsidRDefault="00FC5887" w:rsidP="00FC5887">
      <w:pPr>
        <w:pStyle w:val="Heading3"/>
        <w:rPr>
          <w:rFonts w:cs="Arial"/>
        </w:rPr>
      </w:pPr>
      <w:bookmarkStart w:id="31" w:name="_Toc417380703"/>
      <w:r w:rsidRPr="00F41D76">
        <w:rPr>
          <w:rFonts w:cs="Arial"/>
        </w:rPr>
        <w:lastRenderedPageBreak/>
        <w:t>Externally developed software</w:t>
      </w:r>
    </w:p>
    <w:bookmarkEnd w:id="31"/>
    <w:p w14:paraId="6B74F56D" w14:textId="77777777"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For externally acquired/licensed software there is currently a great deal of variability in the pricing models used by software companies and the amount to be capitalised should reflect the particular contractual conditions of the software. Generally, the installation costs and associated expenses incurred in getting the software ready for use are capitalised along with the initial acquisition price. Costs incurred prior to purchase and after installation, such as support or maintenance fees, should not be capitalised.</w:t>
      </w:r>
    </w:p>
    <w:p w14:paraId="6B74F56E" w14:textId="77777777"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For some categories of externally acquired software there is an upfront charge that enables </w:t>
      </w:r>
      <w:r w:rsidR="005063DA" w:rsidRPr="007673BD">
        <w:rPr>
          <w:rFonts w:ascii="Arial" w:hAnsi="Arial" w:cs="Arial"/>
          <w:sz w:val="21"/>
          <w:szCs w:val="21"/>
        </w:rPr>
        <w:t xml:space="preserve">the agency </w:t>
      </w:r>
      <w:r w:rsidRPr="007673BD">
        <w:rPr>
          <w:rFonts w:ascii="Arial" w:hAnsi="Arial" w:cs="Arial"/>
          <w:sz w:val="21"/>
          <w:szCs w:val="21"/>
        </w:rPr>
        <w:t>to have ongoing access to the software product for a specified period of time. If this amount is over the general asset threshold of AUD</w:t>
      </w:r>
      <w:r w:rsidR="005063DA" w:rsidRPr="007673BD">
        <w:rPr>
          <w:rFonts w:ascii="Arial" w:hAnsi="Arial" w:cs="Arial"/>
          <w:sz w:val="21"/>
          <w:szCs w:val="21"/>
        </w:rPr>
        <w:t xml:space="preserve"> $</w:t>
      </w:r>
      <w:r w:rsidRPr="007673BD">
        <w:rPr>
          <w:rFonts w:ascii="Arial" w:hAnsi="Arial" w:cs="Arial"/>
          <w:sz w:val="21"/>
          <w:szCs w:val="21"/>
        </w:rPr>
        <w:t xml:space="preserve">5,000, then the costs associated with this purchase should be capitalised and depreciated </w:t>
      </w:r>
      <w:r w:rsidR="005063DA" w:rsidRPr="007673BD">
        <w:rPr>
          <w:rFonts w:ascii="Arial" w:hAnsi="Arial" w:cs="Arial"/>
          <w:sz w:val="21"/>
          <w:szCs w:val="21"/>
        </w:rPr>
        <w:t xml:space="preserve">either </w:t>
      </w:r>
      <w:r w:rsidRPr="007673BD">
        <w:rPr>
          <w:rFonts w:ascii="Arial" w:hAnsi="Arial" w:cs="Arial"/>
          <w:sz w:val="21"/>
          <w:szCs w:val="21"/>
        </w:rPr>
        <w:t>over five years</w:t>
      </w:r>
      <w:r w:rsidR="005063DA" w:rsidRPr="007673BD">
        <w:rPr>
          <w:rFonts w:ascii="Arial" w:hAnsi="Arial" w:cs="Arial"/>
          <w:sz w:val="21"/>
          <w:szCs w:val="21"/>
        </w:rPr>
        <w:t>,</w:t>
      </w:r>
      <w:r w:rsidRPr="007673BD">
        <w:rPr>
          <w:rFonts w:ascii="Arial" w:hAnsi="Arial" w:cs="Arial"/>
          <w:sz w:val="21"/>
          <w:szCs w:val="21"/>
        </w:rPr>
        <w:t xml:space="preserve"> or the expected life of the software package</w:t>
      </w:r>
      <w:r w:rsidR="005063DA" w:rsidRPr="007673BD">
        <w:rPr>
          <w:rFonts w:ascii="Arial" w:hAnsi="Arial" w:cs="Arial"/>
          <w:sz w:val="21"/>
          <w:szCs w:val="21"/>
        </w:rPr>
        <w:t xml:space="preserve"> (whichever is the lesser)</w:t>
      </w:r>
      <w:r w:rsidRPr="007673BD">
        <w:rPr>
          <w:rFonts w:ascii="Arial" w:hAnsi="Arial" w:cs="Arial"/>
          <w:sz w:val="21"/>
          <w:szCs w:val="21"/>
        </w:rPr>
        <w:t>.</w:t>
      </w:r>
    </w:p>
    <w:p w14:paraId="6B74F56F" w14:textId="2A47DB46" w:rsidR="004B7200" w:rsidRPr="007673BD" w:rsidRDefault="004B7200" w:rsidP="009B187A">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For some enterprise</w:t>
      </w:r>
      <w:r w:rsidR="005063DA" w:rsidRPr="007673BD">
        <w:rPr>
          <w:rFonts w:ascii="Arial" w:hAnsi="Arial" w:cs="Arial"/>
          <w:sz w:val="21"/>
          <w:szCs w:val="21"/>
        </w:rPr>
        <w:t>-</w:t>
      </w:r>
      <w:r w:rsidRPr="007673BD">
        <w:rPr>
          <w:rFonts w:ascii="Arial" w:hAnsi="Arial" w:cs="Arial"/>
          <w:sz w:val="21"/>
          <w:szCs w:val="21"/>
        </w:rPr>
        <w:t>based arrangements (e.g. the Microsoft Office suite) the asset may not be the software itself – but the right to use multiple copies of the software</w:t>
      </w:r>
      <w:r w:rsidR="005063DA" w:rsidRPr="007673BD">
        <w:rPr>
          <w:rFonts w:ascii="Arial" w:hAnsi="Arial" w:cs="Arial"/>
          <w:sz w:val="21"/>
          <w:szCs w:val="21"/>
        </w:rPr>
        <w:t xml:space="preserve"> (i.e., ‘licencing’)</w:t>
      </w:r>
      <w:r w:rsidRPr="007673BD">
        <w:rPr>
          <w:rFonts w:ascii="Arial" w:hAnsi="Arial" w:cs="Arial"/>
          <w:sz w:val="21"/>
          <w:szCs w:val="21"/>
        </w:rPr>
        <w:t xml:space="preserve">. </w:t>
      </w:r>
      <w:r w:rsidR="005063DA" w:rsidRPr="007673BD">
        <w:rPr>
          <w:rFonts w:ascii="Arial" w:hAnsi="Arial" w:cs="Arial"/>
          <w:sz w:val="21"/>
          <w:szCs w:val="21"/>
        </w:rPr>
        <w:t>In these kinds of circumstances</w:t>
      </w:r>
      <w:r w:rsidRPr="007673BD">
        <w:rPr>
          <w:rFonts w:ascii="Arial" w:hAnsi="Arial" w:cs="Arial"/>
          <w:sz w:val="21"/>
          <w:szCs w:val="21"/>
        </w:rPr>
        <w:t xml:space="preserve"> the decision </w:t>
      </w:r>
      <w:r w:rsidR="005063DA" w:rsidRPr="007673BD">
        <w:rPr>
          <w:rFonts w:ascii="Arial" w:hAnsi="Arial" w:cs="Arial"/>
          <w:sz w:val="21"/>
          <w:szCs w:val="21"/>
        </w:rPr>
        <w:t>regarding</w:t>
      </w:r>
      <w:r w:rsidRPr="007673BD">
        <w:rPr>
          <w:rFonts w:ascii="Arial" w:hAnsi="Arial" w:cs="Arial"/>
          <w:sz w:val="21"/>
          <w:szCs w:val="21"/>
        </w:rPr>
        <w:t xml:space="preserve"> what to capitalise should be considered in light of contractual arrangements. If </w:t>
      </w:r>
      <w:r w:rsidR="005063DA" w:rsidRPr="007673BD">
        <w:rPr>
          <w:rFonts w:ascii="Arial" w:hAnsi="Arial" w:cs="Arial"/>
          <w:sz w:val="21"/>
          <w:szCs w:val="21"/>
        </w:rPr>
        <w:t>the contract contains an</w:t>
      </w:r>
      <w:r w:rsidRPr="007673BD">
        <w:rPr>
          <w:rFonts w:ascii="Arial" w:hAnsi="Arial" w:cs="Arial"/>
          <w:sz w:val="21"/>
          <w:szCs w:val="21"/>
        </w:rPr>
        <w:t xml:space="preserve"> ongoing maintenance agreement, </w:t>
      </w:r>
      <w:r w:rsidR="005063DA" w:rsidRPr="007673BD">
        <w:rPr>
          <w:rFonts w:ascii="Arial" w:hAnsi="Arial" w:cs="Arial"/>
          <w:sz w:val="21"/>
          <w:szCs w:val="21"/>
        </w:rPr>
        <w:t>prepayment</w:t>
      </w:r>
      <w:r w:rsidRPr="007673BD">
        <w:rPr>
          <w:rFonts w:ascii="Arial" w:hAnsi="Arial" w:cs="Arial"/>
          <w:sz w:val="21"/>
          <w:szCs w:val="21"/>
        </w:rPr>
        <w:t xml:space="preserve"> and </w:t>
      </w:r>
      <w:hyperlink w:anchor="DepreciationAmortisation" w:history="1">
        <w:r w:rsidRPr="007673BD">
          <w:rPr>
            <w:rStyle w:val="Hyperlink"/>
            <w:rFonts w:ascii="Arial" w:hAnsi="Arial" w:cs="Arial"/>
            <w:i/>
            <w:sz w:val="21"/>
            <w:szCs w:val="21"/>
          </w:rPr>
          <w:t>amortis</w:t>
        </w:r>
        <w:r w:rsidR="005063DA" w:rsidRPr="007673BD">
          <w:rPr>
            <w:rStyle w:val="Hyperlink"/>
            <w:rFonts w:ascii="Arial" w:hAnsi="Arial" w:cs="Arial"/>
            <w:i/>
            <w:sz w:val="21"/>
            <w:szCs w:val="21"/>
          </w:rPr>
          <w:t>ation</w:t>
        </w:r>
      </w:hyperlink>
      <w:r w:rsidRPr="007673BD">
        <w:rPr>
          <w:rFonts w:ascii="Arial" w:hAnsi="Arial" w:cs="Arial"/>
          <w:sz w:val="21"/>
          <w:szCs w:val="21"/>
        </w:rPr>
        <w:t xml:space="preserve"> over the year/s</w:t>
      </w:r>
      <w:r w:rsidR="005063DA" w:rsidRPr="007673BD">
        <w:rPr>
          <w:rFonts w:ascii="Arial" w:hAnsi="Arial" w:cs="Arial"/>
          <w:sz w:val="21"/>
          <w:szCs w:val="21"/>
        </w:rPr>
        <w:t xml:space="preserve"> of its useful life will be established</w:t>
      </w:r>
      <w:r w:rsidRPr="007673BD">
        <w:rPr>
          <w:rFonts w:ascii="Arial" w:hAnsi="Arial" w:cs="Arial"/>
          <w:sz w:val="21"/>
          <w:szCs w:val="21"/>
        </w:rPr>
        <w:t>.</w:t>
      </w:r>
    </w:p>
    <w:p w14:paraId="6B74F570" w14:textId="77777777" w:rsidR="004B7200" w:rsidRPr="007673BD" w:rsidRDefault="004B7200" w:rsidP="009B187A">
      <w:pPr>
        <w:numPr>
          <w:ilvl w:val="0"/>
          <w:numId w:val="6"/>
        </w:numPr>
        <w:shd w:val="clear" w:color="auto" w:fill="FFFFFF"/>
        <w:rPr>
          <w:rFonts w:cs="Arial"/>
          <w:sz w:val="21"/>
          <w:szCs w:val="21"/>
          <w:lang w:val="en-AU"/>
        </w:rPr>
      </w:pPr>
      <w:r w:rsidRPr="007673BD">
        <w:rPr>
          <w:rFonts w:cs="Arial"/>
          <w:sz w:val="21"/>
          <w:szCs w:val="21"/>
          <w:lang w:val="en-AU"/>
        </w:rPr>
        <w:t xml:space="preserve">Ongoing annual maintenance and licensing costs </w:t>
      </w:r>
      <w:r w:rsidR="0025221E" w:rsidRPr="007673BD">
        <w:rPr>
          <w:rFonts w:cs="Arial"/>
          <w:sz w:val="21"/>
          <w:szCs w:val="21"/>
          <w:lang w:val="en-AU"/>
        </w:rPr>
        <w:t xml:space="preserve">are </w:t>
      </w:r>
      <w:r w:rsidRPr="007673BD">
        <w:rPr>
          <w:rFonts w:cs="Arial"/>
          <w:sz w:val="21"/>
          <w:szCs w:val="21"/>
          <w:lang w:val="en-AU"/>
        </w:rPr>
        <w:t>to be separated from the initial acquisition licensing and should be expensed as incurred (or a prepayment recorded if payment is made in advance). If the maintenance/licence payment is for more than one month</w:t>
      </w:r>
      <w:r w:rsidR="0025221E" w:rsidRPr="007673BD">
        <w:rPr>
          <w:rFonts w:cs="Arial"/>
          <w:sz w:val="21"/>
          <w:szCs w:val="21"/>
          <w:lang w:val="en-AU"/>
        </w:rPr>
        <w:t>,</w:t>
      </w:r>
      <w:r w:rsidRPr="007673BD">
        <w:rPr>
          <w:rFonts w:cs="Arial"/>
          <w:sz w:val="21"/>
          <w:szCs w:val="21"/>
          <w:lang w:val="en-AU"/>
        </w:rPr>
        <w:t xml:space="preserve"> then the payment should be treated as a prepayment and expensed over the course of the maintenance/licence period.</w:t>
      </w:r>
    </w:p>
    <w:p w14:paraId="6B74F571" w14:textId="0BE3C16B" w:rsidR="004B7200" w:rsidRPr="00AC3A52" w:rsidRDefault="004B7200" w:rsidP="004C511C">
      <w:pPr>
        <w:pStyle w:val="Heading3"/>
        <w:rPr>
          <w:rFonts w:cs="Arial"/>
        </w:rPr>
      </w:pPr>
      <w:bookmarkStart w:id="32" w:name="_Toc417380704"/>
      <w:r w:rsidRPr="00AC3A52">
        <w:rPr>
          <w:rFonts w:cs="Arial"/>
        </w:rPr>
        <w:t xml:space="preserve">Internally </w:t>
      </w:r>
      <w:r w:rsidR="004C511C" w:rsidRPr="00AC3A52">
        <w:rPr>
          <w:rFonts w:cs="Arial"/>
        </w:rPr>
        <w:t>developed s</w:t>
      </w:r>
      <w:r w:rsidRPr="00AC3A52">
        <w:rPr>
          <w:rFonts w:cs="Arial"/>
        </w:rPr>
        <w:t>oftware</w:t>
      </w:r>
      <w:bookmarkEnd w:id="32"/>
      <w:r w:rsidR="00CA7DAF">
        <w:rPr>
          <w:rFonts w:cs="Arial"/>
        </w:rPr>
        <w:t xml:space="preserve"> </w:t>
      </w:r>
    </w:p>
    <w:p w14:paraId="374006FB" w14:textId="0093DF88" w:rsidR="001E1A5F" w:rsidRPr="007673BD" w:rsidRDefault="001E1A5F" w:rsidP="005B1242">
      <w:pPr>
        <w:pStyle w:val="ListParagraph"/>
        <w:numPr>
          <w:ilvl w:val="0"/>
          <w:numId w:val="6"/>
        </w:numPr>
        <w:contextualSpacing w:val="0"/>
        <w:rPr>
          <w:sz w:val="21"/>
          <w:szCs w:val="21"/>
        </w:rPr>
      </w:pPr>
      <w:r w:rsidRPr="007673BD">
        <w:rPr>
          <w:rFonts w:cs="Arial"/>
          <w:sz w:val="21"/>
          <w:szCs w:val="21"/>
        </w:rPr>
        <w:t xml:space="preserve">Sections should initially </w:t>
      </w:r>
      <w:r w:rsidRPr="007673BD">
        <w:rPr>
          <w:sz w:val="21"/>
          <w:szCs w:val="21"/>
          <w:lang w:val="en-AU"/>
        </w:rPr>
        <w:t>capitalise</w:t>
      </w:r>
      <w:r w:rsidRPr="007673BD">
        <w:rPr>
          <w:rFonts w:cs="Arial"/>
          <w:sz w:val="21"/>
          <w:szCs w:val="21"/>
        </w:rPr>
        <w:t xml:space="preserve"> internally developed software at the full cost of development or acquisition. All costs directly traceable to the asset should be </w:t>
      </w:r>
      <w:r w:rsidRPr="007673BD">
        <w:rPr>
          <w:sz w:val="21"/>
          <w:szCs w:val="21"/>
          <w:lang w:val="en-AU"/>
        </w:rPr>
        <w:t>capitalised</w:t>
      </w:r>
      <w:r w:rsidRPr="007673BD">
        <w:rPr>
          <w:rFonts w:cs="Arial"/>
          <w:sz w:val="21"/>
          <w:szCs w:val="21"/>
        </w:rPr>
        <w:t>.</w:t>
      </w:r>
      <w:r w:rsidRPr="007673BD">
        <w:rPr>
          <w:sz w:val="21"/>
          <w:szCs w:val="21"/>
        </w:rPr>
        <w:t xml:space="preserve"> </w:t>
      </w:r>
    </w:p>
    <w:p w14:paraId="76B222B7" w14:textId="14E2BBBB" w:rsidR="005B1242" w:rsidRPr="007673BD" w:rsidRDefault="005B1242" w:rsidP="005B1242">
      <w:pPr>
        <w:pStyle w:val="ListParagraph"/>
        <w:numPr>
          <w:ilvl w:val="0"/>
          <w:numId w:val="6"/>
        </w:numPr>
        <w:contextualSpacing w:val="0"/>
        <w:rPr>
          <w:sz w:val="21"/>
          <w:szCs w:val="21"/>
        </w:rPr>
      </w:pPr>
      <w:r w:rsidRPr="007673BD">
        <w:rPr>
          <w:sz w:val="21"/>
          <w:szCs w:val="21"/>
        </w:rPr>
        <w:t xml:space="preserve">All costs incurred during the </w:t>
      </w:r>
      <w:r w:rsidR="00F5329A" w:rsidRPr="007673BD">
        <w:rPr>
          <w:sz w:val="21"/>
          <w:szCs w:val="21"/>
        </w:rPr>
        <w:t>‘</w:t>
      </w:r>
      <w:r w:rsidRPr="007673BD">
        <w:rPr>
          <w:sz w:val="21"/>
          <w:szCs w:val="21"/>
        </w:rPr>
        <w:t>research stage</w:t>
      </w:r>
      <w:r w:rsidR="00F5329A" w:rsidRPr="007673BD">
        <w:rPr>
          <w:sz w:val="21"/>
          <w:szCs w:val="21"/>
        </w:rPr>
        <w:t>’</w:t>
      </w:r>
      <w:r w:rsidRPr="007673BD">
        <w:rPr>
          <w:sz w:val="21"/>
          <w:szCs w:val="21"/>
        </w:rPr>
        <w:t xml:space="preserve"> of internally developed software (</w:t>
      </w:r>
      <w:r w:rsidR="00C077D5" w:rsidRPr="007673BD">
        <w:rPr>
          <w:sz w:val="21"/>
          <w:szCs w:val="21"/>
        </w:rPr>
        <w:t>e.g</w:t>
      </w:r>
      <w:r w:rsidRPr="007673BD">
        <w:rPr>
          <w:sz w:val="21"/>
          <w:szCs w:val="21"/>
        </w:rPr>
        <w:t xml:space="preserve">., activities </w:t>
      </w:r>
      <w:r w:rsidR="008D171A" w:rsidRPr="007673BD">
        <w:rPr>
          <w:sz w:val="21"/>
          <w:szCs w:val="21"/>
        </w:rPr>
        <w:t>relating</w:t>
      </w:r>
      <w:r w:rsidRPr="007673BD">
        <w:rPr>
          <w:sz w:val="21"/>
          <w:szCs w:val="21"/>
        </w:rPr>
        <w:t xml:space="preserve"> to obtaining knowledge, evaluating alternatives, searching for materials or products, and making selection decisions) should be expensed when they are incurred</w:t>
      </w:r>
      <w:r w:rsidR="001E1A5F" w:rsidRPr="007673BD">
        <w:rPr>
          <w:sz w:val="21"/>
          <w:szCs w:val="21"/>
        </w:rPr>
        <w:t xml:space="preserve">, and are not </w:t>
      </w:r>
      <w:r w:rsidR="001E1A5F" w:rsidRPr="007673BD">
        <w:rPr>
          <w:sz w:val="21"/>
          <w:szCs w:val="21"/>
          <w:lang w:val="en-AU"/>
        </w:rPr>
        <w:t>recognised</w:t>
      </w:r>
      <w:r w:rsidR="001E1A5F" w:rsidRPr="007673BD">
        <w:rPr>
          <w:sz w:val="21"/>
          <w:szCs w:val="21"/>
        </w:rPr>
        <w:t xml:space="preserve"> as an asset</w:t>
      </w:r>
      <w:r w:rsidR="00D94B41" w:rsidRPr="007673BD">
        <w:rPr>
          <w:sz w:val="21"/>
          <w:szCs w:val="21"/>
        </w:rPr>
        <w:fldChar w:fldCharType="begin"/>
      </w:r>
      <w:r w:rsidR="00D94B41" w:rsidRPr="007673BD">
        <w:rPr>
          <w:sz w:val="21"/>
          <w:szCs w:val="21"/>
        </w:rPr>
        <w:instrText xml:space="preserve"> NOTEREF _Ref415472390 \f \h </w:instrText>
      </w:r>
      <w:r w:rsidR="007673BD">
        <w:rPr>
          <w:sz w:val="21"/>
          <w:szCs w:val="21"/>
        </w:rPr>
        <w:instrText xml:space="preserve"> \* MERGEFORMAT </w:instrText>
      </w:r>
      <w:r w:rsidR="00D94B41" w:rsidRPr="007673BD">
        <w:rPr>
          <w:sz w:val="21"/>
          <w:szCs w:val="21"/>
        </w:rPr>
      </w:r>
      <w:r w:rsidR="00D94B41" w:rsidRPr="007673BD">
        <w:rPr>
          <w:sz w:val="21"/>
          <w:szCs w:val="21"/>
        </w:rPr>
        <w:fldChar w:fldCharType="separate"/>
      </w:r>
      <w:r w:rsidR="00A1335C" w:rsidRPr="00A1335C">
        <w:rPr>
          <w:rStyle w:val="EndnoteReference"/>
          <w:sz w:val="21"/>
          <w:szCs w:val="21"/>
        </w:rPr>
        <w:t>5</w:t>
      </w:r>
      <w:r w:rsidR="00D94B41" w:rsidRPr="007673BD">
        <w:rPr>
          <w:sz w:val="21"/>
          <w:szCs w:val="21"/>
        </w:rPr>
        <w:fldChar w:fldCharType="end"/>
      </w:r>
      <w:r w:rsidR="00D94B41" w:rsidRPr="007673BD">
        <w:rPr>
          <w:sz w:val="21"/>
          <w:szCs w:val="21"/>
          <w:vertAlign w:val="superscript"/>
        </w:rPr>
        <w:t xml:space="preserve">, </w:t>
      </w:r>
      <w:r w:rsidR="00D94B41" w:rsidRPr="007673BD">
        <w:rPr>
          <w:sz w:val="21"/>
          <w:szCs w:val="21"/>
        </w:rPr>
        <w:fldChar w:fldCharType="begin"/>
      </w:r>
      <w:r w:rsidR="00D94B41" w:rsidRPr="007673BD">
        <w:rPr>
          <w:sz w:val="21"/>
          <w:szCs w:val="21"/>
        </w:rPr>
        <w:instrText xml:space="preserve"> NOTEREF _Ref417379638 \f \h </w:instrText>
      </w:r>
      <w:r w:rsidR="007673BD">
        <w:rPr>
          <w:sz w:val="21"/>
          <w:szCs w:val="21"/>
        </w:rPr>
        <w:instrText xml:space="preserve"> \* MERGEFORMAT </w:instrText>
      </w:r>
      <w:r w:rsidR="00D94B41" w:rsidRPr="007673BD">
        <w:rPr>
          <w:sz w:val="21"/>
          <w:szCs w:val="21"/>
        </w:rPr>
      </w:r>
      <w:r w:rsidR="00D94B41" w:rsidRPr="007673BD">
        <w:rPr>
          <w:sz w:val="21"/>
          <w:szCs w:val="21"/>
        </w:rPr>
        <w:fldChar w:fldCharType="separate"/>
      </w:r>
      <w:r w:rsidR="00A1335C" w:rsidRPr="00A1335C">
        <w:rPr>
          <w:rStyle w:val="EndnoteReference"/>
          <w:sz w:val="21"/>
          <w:szCs w:val="21"/>
        </w:rPr>
        <w:t>9</w:t>
      </w:r>
      <w:r w:rsidR="00D94B41" w:rsidRPr="007673BD">
        <w:rPr>
          <w:sz w:val="21"/>
          <w:szCs w:val="21"/>
        </w:rPr>
        <w:fldChar w:fldCharType="end"/>
      </w:r>
      <w:r w:rsidR="00D94B41" w:rsidRPr="007673BD">
        <w:rPr>
          <w:sz w:val="21"/>
          <w:szCs w:val="21"/>
        </w:rPr>
        <w:t>.</w:t>
      </w:r>
      <w:r w:rsidRPr="007673BD">
        <w:rPr>
          <w:sz w:val="21"/>
          <w:szCs w:val="21"/>
        </w:rPr>
        <w:t xml:space="preserve"> </w:t>
      </w:r>
    </w:p>
    <w:p w14:paraId="7026E44B" w14:textId="777B3C92" w:rsidR="003447FA" w:rsidRPr="007673BD" w:rsidRDefault="003447FA" w:rsidP="005B1242">
      <w:pPr>
        <w:pStyle w:val="ListParagraph"/>
        <w:numPr>
          <w:ilvl w:val="0"/>
          <w:numId w:val="6"/>
        </w:numPr>
        <w:contextualSpacing w:val="0"/>
        <w:rPr>
          <w:sz w:val="21"/>
          <w:szCs w:val="21"/>
        </w:rPr>
      </w:pPr>
      <w:bookmarkStart w:id="33" w:name="_Ref436229661"/>
      <w:r w:rsidRPr="007673BD">
        <w:rPr>
          <w:sz w:val="21"/>
          <w:szCs w:val="21"/>
        </w:rPr>
        <w:t xml:space="preserve">Costs incurred during the ‘development stage’ should be </w:t>
      </w:r>
      <w:r w:rsidRPr="007673BD">
        <w:rPr>
          <w:sz w:val="21"/>
          <w:szCs w:val="21"/>
          <w:lang w:val="en-AU"/>
        </w:rPr>
        <w:t>capitalised</w:t>
      </w:r>
      <w:r w:rsidRPr="007673BD">
        <w:rPr>
          <w:sz w:val="21"/>
          <w:szCs w:val="21"/>
        </w:rPr>
        <w:t xml:space="preserve"> when the agency can demonstrate all of the following:</w:t>
      </w:r>
      <w:bookmarkEnd w:id="33"/>
    </w:p>
    <w:p w14:paraId="5EC854FF" w14:textId="0AC69D8E" w:rsidR="003447FA" w:rsidRPr="007673BD" w:rsidRDefault="00FA6C2B" w:rsidP="00E5186F">
      <w:pPr>
        <w:pStyle w:val="ListParagraph"/>
        <w:numPr>
          <w:ilvl w:val="1"/>
          <w:numId w:val="6"/>
        </w:numPr>
        <w:ind w:left="1276" w:hanging="709"/>
        <w:contextualSpacing w:val="0"/>
        <w:rPr>
          <w:sz w:val="21"/>
          <w:szCs w:val="21"/>
        </w:rPr>
      </w:pPr>
      <w:r w:rsidRPr="007673BD">
        <w:rPr>
          <w:sz w:val="21"/>
          <w:szCs w:val="21"/>
        </w:rPr>
        <w:t>T</w:t>
      </w:r>
      <w:r w:rsidR="003447FA" w:rsidRPr="007673BD">
        <w:rPr>
          <w:sz w:val="21"/>
          <w:szCs w:val="21"/>
        </w:rPr>
        <w:t xml:space="preserve">hat future economic benefit is expected </w:t>
      </w:r>
      <w:r w:rsidR="008D171A" w:rsidRPr="007673BD">
        <w:rPr>
          <w:sz w:val="21"/>
          <w:szCs w:val="21"/>
        </w:rPr>
        <w:t>(for</w:t>
      </w:r>
      <w:r w:rsidR="003447FA" w:rsidRPr="007673BD">
        <w:rPr>
          <w:sz w:val="21"/>
          <w:szCs w:val="21"/>
        </w:rPr>
        <w:t xml:space="preserve"> the agency</w:t>
      </w:r>
      <w:r w:rsidR="008D171A" w:rsidRPr="007673BD">
        <w:rPr>
          <w:sz w:val="21"/>
          <w:szCs w:val="21"/>
        </w:rPr>
        <w:t>)</w:t>
      </w:r>
      <w:r w:rsidR="003447FA" w:rsidRPr="007673BD">
        <w:rPr>
          <w:sz w:val="21"/>
          <w:szCs w:val="21"/>
        </w:rPr>
        <w:t xml:space="preserve"> because of the software </w:t>
      </w:r>
      <w:r w:rsidR="008D171A" w:rsidRPr="007673BD">
        <w:rPr>
          <w:sz w:val="21"/>
          <w:szCs w:val="21"/>
        </w:rPr>
        <w:t xml:space="preserve">- </w:t>
      </w:r>
      <w:r w:rsidR="003447FA" w:rsidRPr="007673BD">
        <w:rPr>
          <w:sz w:val="21"/>
          <w:szCs w:val="21"/>
        </w:rPr>
        <w:t xml:space="preserve">including how these benefits will be generated, and the </w:t>
      </w:r>
      <w:r w:rsidR="00C077D5" w:rsidRPr="007673BD">
        <w:rPr>
          <w:sz w:val="21"/>
          <w:szCs w:val="21"/>
        </w:rPr>
        <w:t xml:space="preserve">software’s </w:t>
      </w:r>
      <w:r w:rsidR="008D171A" w:rsidRPr="007673BD">
        <w:rPr>
          <w:sz w:val="21"/>
          <w:szCs w:val="21"/>
        </w:rPr>
        <w:t xml:space="preserve">internal </w:t>
      </w:r>
      <w:r w:rsidR="003447FA" w:rsidRPr="007673BD">
        <w:rPr>
          <w:sz w:val="21"/>
          <w:szCs w:val="21"/>
        </w:rPr>
        <w:t xml:space="preserve">usefulness </w:t>
      </w:r>
      <w:r w:rsidR="003447FA" w:rsidRPr="007673BD">
        <w:rPr>
          <w:sz w:val="21"/>
          <w:szCs w:val="21"/>
        </w:rPr>
        <w:br/>
      </w:r>
      <w:r w:rsidR="003447FA" w:rsidRPr="007673BD">
        <w:rPr>
          <w:b/>
          <w:color w:val="C00000"/>
          <w:sz w:val="21"/>
          <w:szCs w:val="21"/>
        </w:rPr>
        <w:t>Note</w:t>
      </w:r>
      <w:r w:rsidR="003447FA" w:rsidRPr="007673BD">
        <w:rPr>
          <w:sz w:val="21"/>
          <w:szCs w:val="21"/>
        </w:rPr>
        <w:t xml:space="preserve">:  </w:t>
      </w:r>
      <w:r w:rsidRPr="007673BD">
        <w:rPr>
          <w:sz w:val="21"/>
          <w:szCs w:val="21"/>
        </w:rPr>
        <w:t>‘P</w:t>
      </w:r>
      <w:r w:rsidR="003447FA" w:rsidRPr="007673BD">
        <w:rPr>
          <w:sz w:val="21"/>
          <w:szCs w:val="21"/>
        </w:rPr>
        <w:t>robability</w:t>
      </w:r>
      <w:r w:rsidRPr="007673BD">
        <w:rPr>
          <w:sz w:val="21"/>
          <w:szCs w:val="21"/>
        </w:rPr>
        <w:t>’</w:t>
      </w:r>
      <w:r w:rsidR="003447FA" w:rsidRPr="007673BD">
        <w:rPr>
          <w:sz w:val="21"/>
          <w:szCs w:val="21"/>
        </w:rPr>
        <w:t xml:space="preserve"> of expected future economic benefits </w:t>
      </w:r>
      <w:r w:rsidR="008D171A" w:rsidRPr="007673BD">
        <w:rPr>
          <w:sz w:val="21"/>
          <w:szCs w:val="21"/>
        </w:rPr>
        <w:t>is to</w:t>
      </w:r>
      <w:r w:rsidR="003447FA" w:rsidRPr="007673BD">
        <w:rPr>
          <w:sz w:val="21"/>
          <w:szCs w:val="21"/>
        </w:rPr>
        <w:t xml:space="preserve"> be assessed using reasonable, supportive assumptions which represent a best estimate</w:t>
      </w:r>
      <w:r w:rsidRPr="007673BD">
        <w:rPr>
          <w:sz w:val="21"/>
          <w:szCs w:val="21"/>
        </w:rPr>
        <w:t xml:space="preserve"> of the economic conditions that will exist over the asset’s useful life.</w:t>
      </w:r>
    </w:p>
    <w:p w14:paraId="5B806D81" w14:textId="46F67907" w:rsidR="00FA6C2B" w:rsidRPr="007673BD" w:rsidRDefault="00FA6C2B" w:rsidP="00E5186F">
      <w:pPr>
        <w:pStyle w:val="ListParagraph"/>
        <w:numPr>
          <w:ilvl w:val="1"/>
          <w:numId w:val="6"/>
        </w:numPr>
        <w:ind w:left="1276" w:hanging="709"/>
        <w:contextualSpacing w:val="0"/>
        <w:rPr>
          <w:sz w:val="21"/>
          <w:szCs w:val="21"/>
        </w:rPr>
      </w:pPr>
      <w:r w:rsidRPr="007673BD">
        <w:rPr>
          <w:sz w:val="21"/>
          <w:szCs w:val="21"/>
        </w:rPr>
        <w:t xml:space="preserve">The ability to measure reliably the expenditure attributable to the software during its development </w:t>
      </w:r>
    </w:p>
    <w:p w14:paraId="0613D1F7" w14:textId="436B1A7D" w:rsidR="00E5186F" w:rsidRPr="007673BD" w:rsidRDefault="00FA6C2B" w:rsidP="00E5186F">
      <w:pPr>
        <w:pStyle w:val="ListParagraph"/>
        <w:numPr>
          <w:ilvl w:val="1"/>
          <w:numId w:val="6"/>
        </w:numPr>
        <w:ind w:left="1276" w:hanging="709"/>
        <w:contextualSpacing w:val="0"/>
        <w:rPr>
          <w:sz w:val="21"/>
          <w:szCs w:val="21"/>
        </w:rPr>
      </w:pPr>
      <w:r w:rsidRPr="007673BD">
        <w:rPr>
          <w:sz w:val="21"/>
          <w:szCs w:val="21"/>
        </w:rPr>
        <w:t>The</w:t>
      </w:r>
      <w:r w:rsidR="00E5186F" w:rsidRPr="007673BD">
        <w:rPr>
          <w:sz w:val="21"/>
          <w:szCs w:val="21"/>
        </w:rPr>
        <w:t xml:space="preserve"> technical feasibility of completing the software so it will be available for use</w:t>
      </w:r>
    </w:p>
    <w:p w14:paraId="5FC0D32E" w14:textId="49FCDC7D" w:rsidR="00E5186F" w:rsidRPr="007673BD" w:rsidRDefault="00FA6C2B" w:rsidP="00E5186F">
      <w:pPr>
        <w:pStyle w:val="ListParagraph"/>
        <w:numPr>
          <w:ilvl w:val="1"/>
          <w:numId w:val="6"/>
        </w:numPr>
        <w:ind w:left="1276" w:hanging="709"/>
        <w:contextualSpacing w:val="0"/>
        <w:rPr>
          <w:sz w:val="21"/>
          <w:szCs w:val="21"/>
        </w:rPr>
      </w:pPr>
      <w:r w:rsidRPr="007673BD">
        <w:rPr>
          <w:sz w:val="21"/>
          <w:szCs w:val="21"/>
        </w:rPr>
        <w:t>An</w:t>
      </w:r>
      <w:r w:rsidR="00E5186F" w:rsidRPr="007673BD">
        <w:rPr>
          <w:sz w:val="21"/>
          <w:szCs w:val="21"/>
        </w:rPr>
        <w:t xml:space="preserve"> intention and ability to complete and use the software</w:t>
      </w:r>
    </w:p>
    <w:p w14:paraId="6B74F574" w14:textId="3C3912FC" w:rsidR="004B7200" w:rsidRPr="007673BD" w:rsidRDefault="00FA6C2B" w:rsidP="00C077D5">
      <w:pPr>
        <w:pStyle w:val="ListParagraph"/>
        <w:numPr>
          <w:ilvl w:val="1"/>
          <w:numId w:val="6"/>
        </w:numPr>
        <w:ind w:left="1276" w:hanging="709"/>
        <w:contextualSpacing w:val="0"/>
        <w:rPr>
          <w:sz w:val="21"/>
          <w:szCs w:val="21"/>
        </w:rPr>
      </w:pPr>
      <w:r w:rsidRPr="007673BD">
        <w:rPr>
          <w:sz w:val="21"/>
          <w:szCs w:val="21"/>
        </w:rPr>
        <w:t>The</w:t>
      </w:r>
      <w:r w:rsidR="00E5186F" w:rsidRPr="007673BD">
        <w:rPr>
          <w:sz w:val="21"/>
          <w:szCs w:val="21"/>
        </w:rPr>
        <w:t xml:space="preserve"> availability of adequate technical, financial and other resources to complete the </w:t>
      </w:r>
      <w:r w:rsidR="00C077D5" w:rsidRPr="007673BD">
        <w:rPr>
          <w:sz w:val="21"/>
          <w:szCs w:val="21"/>
        </w:rPr>
        <w:t xml:space="preserve">software’s </w:t>
      </w:r>
      <w:r w:rsidR="00E5186F" w:rsidRPr="007673BD">
        <w:rPr>
          <w:sz w:val="21"/>
          <w:szCs w:val="21"/>
        </w:rPr>
        <w:t>development</w:t>
      </w:r>
      <w:r w:rsidR="00E5186F" w:rsidRPr="007673BD">
        <w:rPr>
          <w:sz w:val="21"/>
          <w:szCs w:val="21"/>
        </w:rPr>
        <w:fldChar w:fldCharType="begin"/>
      </w:r>
      <w:r w:rsidR="00E5186F" w:rsidRPr="007673BD">
        <w:rPr>
          <w:sz w:val="21"/>
          <w:szCs w:val="21"/>
        </w:rPr>
        <w:instrText xml:space="preserve"> NOTEREF _Ref417379638 \f \h </w:instrText>
      </w:r>
      <w:r w:rsidR="007673BD">
        <w:rPr>
          <w:sz w:val="21"/>
          <w:szCs w:val="21"/>
        </w:rPr>
        <w:instrText xml:space="preserve"> \* MERGEFORMAT </w:instrText>
      </w:r>
      <w:r w:rsidR="00E5186F" w:rsidRPr="007673BD">
        <w:rPr>
          <w:sz w:val="21"/>
          <w:szCs w:val="21"/>
        </w:rPr>
      </w:r>
      <w:r w:rsidR="00E5186F" w:rsidRPr="007673BD">
        <w:rPr>
          <w:sz w:val="21"/>
          <w:szCs w:val="21"/>
        </w:rPr>
        <w:fldChar w:fldCharType="separate"/>
      </w:r>
      <w:r w:rsidR="00A1335C" w:rsidRPr="00A1335C">
        <w:rPr>
          <w:rStyle w:val="EndnoteReference"/>
          <w:sz w:val="21"/>
          <w:szCs w:val="21"/>
        </w:rPr>
        <w:t>9</w:t>
      </w:r>
      <w:r w:rsidR="00E5186F" w:rsidRPr="007673BD">
        <w:rPr>
          <w:sz w:val="21"/>
          <w:szCs w:val="21"/>
        </w:rPr>
        <w:fldChar w:fldCharType="end"/>
      </w:r>
      <w:r w:rsidR="00E5186F" w:rsidRPr="007673BD">
        <w:rPr>
          <w:sz w:val="21"/>
          <w:szCs w:val="21"/>
        </w:rPr>
        <w:t>.</w:t>
      </w:r>
    </w:p>
    <w:p w14:paraId="6B74F575" w14:textId="5BF053E8" w:rsidR="004B7200" w:rsidRPr="007673BD" w:rsidRDefault="00EF61C1" w:rsidP="001A5282">
      <w:pPr>
        <w:numPr>
          <w:ilvl w:val="0"/>
          <w:numId w:val="6"/>
        </w:numPr>
        <w:shd w:val="clear" w:color="auto" w:fill="FFFFFF"/>
        <w:rPr>
          <w:rFonts w:cs="Arial"/>
          <w:sz w:val="21"/>
          <w:szCs w:val="21"/>
          <w:lang w:val="en-AU"/>
        </w:rPr>
      </w:pPr>
      <w:r w:rsidRPr="007673BD">
        <w:rPr>
          <w:rFonts w:cs="Arial"/>
          <w:sz w:val="21"/>
          <w:szCs w:val="21"/>
          <w:lang w:val="en-AU"/>
        </w:rPr>
        <w:fldChar w:fldCharType="begin"/>
      </w:r>
      <w:r w:rsidRPr="007673BD">
        <w:rPr>
          <w:rFonts w:cs="Arial"/>
          <w:sz w:val="21"/>
          <w:szCs w:val="21"/>
          <w:lang w:val="en-AU"/>
        </w:rPr>
        <w:instrText xml:space="preserve"> REF _Ref415237299 \h </w:instrText>
      </w:r>
      <w:r w:rsidR="00F55FD7" w:rsidRPr="007673BD">
        <w:rPr>
          <w:rFonts w:cs="Arial"/>
          <w:sz w:val="21"/>
          <w:szCs w:val="21"/>
          <w:lang w:val="en-AU"/>
        </w:rPr>
        <w:instrText xml:space="preserve"> \* MERGEFORMAT </w:instrText>
      </w:r>
      <w:r w:rsidRPr="007673BD">
        <w:rPr>
          <w:rFonts w:cs="Arial"/>
          <w:sz w:val="21"/>
          <w:szCs w:val="21"/>
          <w:lang w:val="en-AU"/>
        </w:rPr>
      </w:r>
      <w:r w:rsidRPr="007673BD">
        <w:rPr>
          <w:rFonts w:cs="Arial"/>
          <w:sz w:val="21"/>
          <w:szCs w:val="21"/>
          <w:lang w:val="en-AU"/>
        </w:rPr>
        <w:fldChar w:fldCharType="separate"/>
      </w:r>
      <w:r w:rsidR="00A1335C" w:rsidRPr="00A1335C">
        <w:rPr>
          <w:rFonts w:cs="Arial"/>
          <w:sz w:val="21"/>
          <w:szCs w:val="21"/>
        </w:rPr>
        <w:t xml:space="preserve">Table </w:t>
      </w:r>
      <w:r w:rsidR="00A1335C" w:rsidRPr="00A1335C">
        <w:rPr>
          <w:rFonts w:cs="Arial"/>
          <w:noProof/>
          <w:sz w:val="21"/>
          <w:szCs w:val="21"/>
        </w:rPr>
        <w:t>4</w:t>
      </w:r>
      <w:r w:rsidRPr="007673BD">
        <w:rPr>
          <w:rFonts w:cs="Arial"/>
          <w:sz w:val="21"/>
          <w:szCs w:val="21"/>
          <w:lang w:val="en-AU"/>
        </w:rPr>
        <w:fldChar w:fldCharType="end"/>
      </w:r>
      <w:r w:rsidRPr="007673BD">
        <w:rPr>
          <w:rFonts w:cs="Arial"/>
          <w:sz w:val="21"/>
          <w:szCs w:val="21"/>
          <w:lang w:val="en-AU"/>
        </w:rPr>
        <w:t xml:space="preserve"> </w:t>
      </w:r>
      <w:r w:rsidR="004B7200" w:rsidRPr="007673BD">
        <w:rPr>
          <w:rFonts w:cs="Arial"/>
          <w:sz w:val="21"/>
          <w:szCs w:val="21"/>
          <w:lang w:val="en-AU"/>
        </w:rPr>
        <w:t>identifies three stages of a software development project</w:t>
      </w:r>
      <w:r w:rsidR="00184322" w:rsidRPr="007673BD">
        <w:rPr>
          <w:rFonts w:cs="Arial"/>
          <w:sz w:val="21"/>
          <w:szCs w:val="21"/>
          <w:lang w:val="en-AU"/>
        </w:rPr>
        <w:t>,</w:t>
      </w:r>
      <w:r w:rsidR="004B7200" w:rsidRPr="007673BD">
        <w:rPr>
          <w:rFonts w:cs="Arial"/>
          <w:sz w:val="21"/>
          <w:szCs w:val="21"/>
          <w:lang w:val="en-AU"/>
        </w:rPr>
        <w:t xml:space="preserve"> and </w:t>
      </w:r>
      <w:r w:rsidR="00F5329A" w:rsidRPr="007673BD">
        <w:rPr>
          <w:rFonts w:cs="Arial"/>
          <w:sz w:val="21"/>
          <w:szCs w:val="21"/>
          <w:lang w:val="en-AU"/>
        </w:rPr>
        <w:t xml:space="preserve">provides guidance on </w:t>
      </w:r>
      <w:r w:rsidR="00237E62" w:rsidRPr="007673BD">
        <w:rPr>
          <w:rFonts w:cs="Arial"/>
          <w:sz w:val="21"/>
          <w:szCs w:val="21"/>
          <w:lang w:val="en-AU"/>
        </w:rPr>
        <w:t xml:space="preserve">whether to capitalise or expense various costs. The list is not exhaustive, and assumes the </w:t>
      </w:r>
      <w:r w:rsidR="00FA6C2B" w:rsidRPr="007673BD">
        <w:rPr>
          <w:rFonts w:cs="Arial"/>
          <w:sz w:val="21"/>
          <w:szCs w:val="21"/>
          <w:lang w:val="en-AU"/>
        </w:rPr>
        <w:t xml:space="preserve">requirements to capitalise (at clause </w:t>
      </w:r>
      <w:r w:rsidR="00FA6C2B" w:rsidRPr="007673BD">
        <w:rPr>
          <w:rFonts w:cs="Arial"/>
          <w:sz w:val="21"/>
          <w:szCs w:val="21"/>
          <w:lang w:val="en-AU"/>
        </w:rPr>
        <w:fldChar w:fldCharType="begin"/>
      </w:r>
      <w:r w:rsidR="00FA6C2B" w:rsidRPr="007673BD">
        <w:rPr>
          <w:rFonts w:cs="Arial"/>
          <w:sz w:val="21"/>
          <w:szCs w:val="21"/>
          <w:lang w:val="en-AU"/>
        </w:rPr>
        <w:instrText xml:space="preserve"> REF _Ref436229661 \r \h </w:instrText>
      </w:r>
      <w:r w:rsidR="007673BD">
        <w:rPr>
          <w:rFonts w:cs="Arial"/>
          <w:sz w:val="21"/>
          <w:szCs w:val="21"/>
          <w:lang w:val="en-AU"/>
        </w:rPr>
        <w:instrText xml:space="preserve"> \* MERGEFORMAT </w:instrText>
      </w:r>
      <w:r w:rsidR="00FA6C2B" w:rsidRPr="007673BD">
        <w:rPr>
          <w:rFonts w:cs="Arial"/>
          <w:sz w:val="21"/>
          <w:szCs w:val="21"/>
          <w:lang w:val="en-AU"/>
        </w:rPr>
      </w:r>
      <w:r w:rsidR="00FA6C2B" w:rsidRPr="007673BD">
        <w:rPr>
          <w:rFonts w:cs="Arial"/>
          <w:sz w:val="21"/>
          <w:szCs w:val="21"/>
          <w:lang w:val="en-AU"/>
        </w:rPr>
        <w:fldChar w:fldCharType="separate"/>
      </w:r>
      <w:r w:rsidR="00A1335C">
        <w:rPr>
          <w:rFonts w:cs="Arial"/>
          <w:sz w:val="21"/>
          <w:szCs w:val="21"/>
          <w:lang w:val="en-AU"/>
        </w:rPr>
        <w:t>108</w:t>
      </w:r>
      <w:r w:rsidR="00FA6C2B" w:rsidRPr="007673BD">
        <w:rPr>
          <w:rFonts w:cs="Arial"/>
          <w:sz w:val="21"/>
          <w:szCs w:val="21"/>
          <w:lang w:val="en-AU"/>
        </w:rPr>
        <w:fldChar w:fldCharType="end"/>
      </w:r>
      <w:r w:rsidR="00FA6C2B" w:rsidRPr="007673BD">
        <w:rPr>
          <w:rFonts w:cs="Arial"/>
          <w:sz w:val="21"/>
          <w:szCs w:val="21"/>
          <w:lang w:val="en-AU"/>
        </w:rPr>
        <w:t>) have been met</w:t>
      </w:r>
      <w:r w:rsidR="006C7710" w:rsidRPr="007673BD">
        <w:rPr>
          <w:rFonts w:cs="Arial"/>
          <w:sz w:val="21"/>
          <w:szCs w:val="21"/>
          <w:lang w:val="en-AU"/>
        </w:rPr>
        <w:t>.</w:t>
      </w:r>
    </w:p>
    <w:p w14:paraId="6B74F576" w14:textId="0EB083C4" w:rsidR="00EC5075" w:rsidRPr="00F41D76" w:rsidRDefault="00EC5075" w:rsidP="00EC5075">
      <w:pPr>
        <w:pStyle w:val="Caption"/>
        <w:keepNext/>
        <w:spacing w:after="0"/>
        <w:ind w:left="567"/>
        <w:rPr>
          <w:rFonts w:cs="Arial"/>
          <w:vertAlign w:val="superscript"/>
        </w:rPr>
      </w:pPr>
      <w:bookmarkStart w:id="34" w:name="_Ref415237299"/>
      <w:r w:rsidRPr="00F41D76">
        <w:rPr>
          <w:rFonts w:cs="Arial"/>
        </w:rPr>
        <w:lastRenderedPageBreak/>
        <w:t xml:space="preserve">Table </w:t>
      </w:r>
      <w:r w:rsidRPr="00F41D76">
        <w:rPr>
          <w:rFonts w:cs="Arial"/>
        </w:rPr>
        <w:fldChar w:fldCharType="begin"/>
      </w:r>
      <w:r w:rsidRPr="00AC3A52">
        <w:rPr>
          <w:rFonts w:cs="Arial"/>
        </w:rPr>
        <w:instrText xml:space="preserve"> SEQ Table \* ARABIC </w:instrText>
      </w:r>
      <w:r w:rsidRPr="00F41D76">
        <w:rPr>
          <w:rFonts w:cs="Arial"/>
        </w:rPr>
        <w:fldChar w:fldCharType="separate"/>
      </w:r>
      <w:r w:rsidR="00A1335C">
        <w:rPr>
          <w:rFonts w:cs="Arial"/>
          <w:noProof/>
        </w:rPr>
        <w:t>4</w:t>
      </w:r>
      <w:r w:rsidRPr="00F41D76">
        <w:rPr>
          <w:rFonts w:cs="Arial"/>
        </w:rPr>
        <w:fldChar w:fldCharType="end"/>
      </w:r>
      <w:bookmarkEnd w:id="34"/>
      <w:r w:rsidRPr="00F41D76">
        <w:rPr>
          <w:rFonts w:cs="Arial"/>
          <w:b w:val="0"/>
        </w:rPr>
        <w:t xml:space="preserve">: Stages of internally-developed software and whether to expense or </w:t>
      </w:r>
      <w:r w:rsidRPr="00EC5577">
        <w:rPr>
          <w:rFonts w:cs="Arial"/>
          <w:b w:val="0"/>
          <w:lang w:val="en-AU"/>
        </w:rPr>
        <w:t>capitalise</w:t>
      </w:r>
      <w:r w:rsidRPr="00EC5577">
        <w:rPr>
          <w:rFonts w:cs="Arial"/>
          <w:b w:val="0"/>
        </w:rPr>
        <w:t xml:space="preserve"> costs</w:t>
      </w:r>
      <w:bookmarkStart w:id="35" w:name="_Ref415237992"/>
      <w:r w:rsidR="00F55FD7">
        <w:rPr>
          <w:rFonts w:cs="Arial"/>
          <w:b w:val="0"/>
          <w:vertAlign w:val="superscript"/>
        </w:rPr>
        <w:fldChar w:fldCharType="begin"/>
      </w:r>
      <w:r w:rsidR="00F55FD7">
        <w:rPr>
          <w:rFonts w:cs="Arial"/>
          <w:b w:val="0"/>
        </w:rPr>
        <w:instrText xml:space="preserve"> NOTEREF _Ref417379638 \f \h </w:instrText>
      </w:r>
      <w:r w:rsidR="00F55FD7">
        <w:rPr>
          <w:rFonts w:cs="Arial"/>
          <w:b w:val="0"/>
          <w:vertAlign w:val="superscript"/>
        </w:rPr>
      </w:r>
      <w:r w:rsidR="00F55FD7">
        <w:rPr>
          <w:rFonts w:cs="Arial"/>
          <w:b w:val="0"/>
          <w:vertAlign w:val="superscript"/>
        </w:rPr>
        <w:fldChar w:fldCharType="separate"/>
      </w:r>
      <w:r w:rsidR="00A1335C" w:rsidRPr="00A1335C">
        <w:rPr>
          <w:rStyle w:val="EndnoteReference"/>
        </w:rPr>
        <w:t>9</w:t>
      </w:r>
      <w:r w:rsidR="00F55FD7">
        <w:rPr>
          <w:rFonts w:cs="Arial"/>
          <w:b w:val="0"/>
          <w:vertAlign w:val="superscript"/>
        </w:rPr>
        <w:fldChar w:fldCharType="end"/>
      </w:r>
      <w:r w:rsidR="00CF767D" w:rsidRPr="00F41D76">
        <w:rPr>
          <w:rFonts w:cs="Arial"/>
          <w:b w:val="0"/>
          <w:vertAlign w:val="superscript"/>
        </w:rPr>
        <w:t>,</w:t>
      </w:r>
      <w:bookmarkStart w:id="36" w:name="_Ref415472390"/>
      <w:r w:rsidR="00184322" w:rsidRPr="00F41D76">
        <w:rPr>
          <w:rStyle w:val="EndnoteReference"/>
          <w:rFonts w:cs="Arial"/>
          <w:b w:val="0"/>
        </w:rPr>
        <w:endnoteReference w:id="6"/>
      </w:r>
      <w:bookmarkEnd w:id="35"/>
      <w:bookmarkEnd w:id="36"/>
    </w:p>
    <w:tbl>
      <w:tblPr>
        <w:tblStyle w:val="TableGrid"/>
        <w:tblW w:w="8515" w:type="dxa"/>
        <w:tblInd w:w="544"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ayout w:type="fixed"/>
        <w:tblLook w:val="04A0" w:firstRow="1" w:lastRow="0" w:firstColumn="1" w:lastColumn="0" w:noHBand="0" w:noVBand="1"/>
        <w:tblCaption w:val="Stages of Software development Cycle"/>
        <w:tblDescription w:val="Table listing Stages of Software development Cycle"/>
      </w:tblPr>
      <w:tblGrid>
        <w:gridCol w:w="5529"/>
        <w:gridCol w:w="992"/>
        <w:gridCol w:w="992"/>
        <w:gridCol w:w="992"/>
        <w:gridCol w:w="10"/>
      </w:tblGrid>
      <w:tr w:rsidR="00844472" w:rsidRPr="007673BD" w14:paraId="6B74F579" w14:textId="77777777" w:rsidTr="007673BD">
        <w:trPr>
          <w:gridAfter w:val="1"/>
          <w:wAfter w:w="10" w:type="dxa"/>
          <w:tblHeader/>
        </w:trPr>
        <w:tc>
          <w:tcPr>
            <w:tcW w:w="5529" w:type="dxa"/>
            <w:tcBorders>
              <w:bottom w:val="single" w:sz="18" w:space="0" w:color="DEEAF6" w:themeColor="accent1" w:themeTint="33"/>
            </w:tcBorders>
            <w:shd w:val="clear" w:color="auto" w:fill="BDD6EE" w:themeFill="accent1" w:themeFillTint="66"/>
          </w:tcPr>
          <w:p w14:paraId="6B74F577" w14:textId="77777777" w:rsidR="00844472" w:rsidRPr="007673BD" w:rsidRDefault="00844472" w:rsidP="008D171A">
            <w:pPr>
              <w:spacing w:before="100" w:beforeAutospacing="1" w:after="100" w:afterAutospacing="1"/>
              <w:rPr>
                <w:rFonts w:cs="Arial"/>
                <w:b/>
                <w:sz w:val="19"/>
                <w:szCs w:val="19"/>
                <w:lang w:val="en-AU"/>
              </w:rPr>
            </w:pPr>
            <w:r w:rsidRPr="007673BD">
              <w:rPr>
                <w:rFonts w:cs="Arial"/>
                <w:b/>
                <w:sz w:val="19"/>
                <w:szCs w:val="19"/>
                <w:lang w:val="en-AU"/>
              </w:rPr>
              <w:t>Stages of Software Development Cycle</w:t>
            </w:r>
          </w:p>
        </w:tc>
        <w:tc>
          <w:tcPr>
            <w:tcW w:w="992" w:type="dxa"/>
            <w:tcBorders>
              <w:bottom w:val="single" w:sz="18" w:space="0" w:color="DEEAF6" w:themeColor="accent1" w:themeTint="33"/>
            </w:tcBorders>
            <w:shd w:val="clear" w:color="auto" w:fill="BDD6EE" w:themeFill="accent1" w:themeFillTint="66"/>
          </w:tcPr>
          <w:p w14:paraId="3A1EE418" w14:textId="47A6C7A1" w:rsidR="00844472" w:rsidRPr="007673BD" w:rsidRDefault="00844472" w:rsidP="004464F0">
            <w:pPr>
              <w:spacing w:before="100" w:beforeAutospacing="1" w:after="100" w:afterAutospacing="1"/>
              <w:ind w:left="-108" w:right="-108"/>
              <w:jc w:val="center"/>
              <w:rPr>
                <w:rFonts w:cs="Arial"/>
                <w:b/>
                <w:sz w:val="19"/>
                <w:szCs w:val="19"/>
                <w:lang w:val="en-AU"/>
              </w:rPr>
            </w:pPr>
            <w:r w:rsidRPr="007673BD">
              <w:rPr>
                <w:rFonts w:cs="Arial"/>
                <w:b/>
                <w:sz w:val="19"/>
                <w:szCs w:val="19"/>
                <w:lang w:val="en-AU"/>
              </w:rPr>
              <w:t>Expense</w:t>
            </w:r>
          </w:p>
        </w:tc>
        <w:tc>
          <w:tcPr>
            <w:tcW w:w="992" w:type="dxa"/>
            <w:tcBorders>
              <w:bottom w:val="single" w:sz="18" w:space="0" w:color="DEEAF6" w:themeColor="accent1" w:themeTint="33"/>
            </w:tcBorders>
            <w:shd w:val="clear" w:color="auto" w:fill="BDD6EE" w:themeFill="accent1" w:themeFillTint="66"/>
          </w:tcPr>
          <w:p w14:paraId="1698BCA9" w14:textId="4E838865" w:rsidR="00844472" w:rsidRPr="007673BD" w:rsidRDefault="00844472" w:rsidP="008D171A">
            <w:pPr>
              <w:spacing w:after="0"/>
              <w:jc w:val="center"/>
              <w:rPr>
                <w:rFonts w:cs="Arial"/>
                <w:sz w:val="19"/>
                <w:szCs w:val="19"/>
                <w:lang w:val="en-AU"/>
              </w:rPr>
            </w:pPr>
            <w:r w:rsidRPr="007673BD">
              <w:rPr>
                <w:rFonts w:cs="Arial"/>
                <w:b/>
                <w:sz w:val="19"/>
                <w:szCs w:val="19"/>
                <w:lang w:val="en-AU"/>
              </w:rPr>
              <w:t>Capital</w:t>
            </w:r>
            <w:r w:rsidRPr="007673BD">
              <w:rPr>
                <w:rFonts w:cs="Arial"/>
                <w:sz w:val="19"/>
                <w:szCs w:val="19"/>
                <w:lang w:val="en-AU"/>
              </w:rPr>
              <w:br/>
            </w:r>
            <w:r w:rsidRPr="007673BD">
              <w:rPr>
                <w:rFonts w:ascii="Arial Narrow" w:hAnsi="Arial Narrow" w:cs="Arial"/>
                <w:sz w:val="19"/>
                <w:szCs w:val="19"/>
                <w:lang w:val="en-AU"/>
              </w:rPr>
              <w:t>(intangible asset)</w:t>
            </w:r>
          </w:p>
        </w:tc>
        <w:tc>
          <w:tcPr>
            <w:tcW w:w="992" w:type="dxa"/>
            <w:tcBorders>
              <w:bottom w:val="single" w:sz="18" w:space="0" w:color="DEEAF6" w:themeColor="accent1" w:themeTint="33"/>
            </w:tcBorders>
            <w:shd w:val="clear" w:color="auto" w:fill="BDD6EE" w:themeFill="accent1" w:themeFillTint="66"/>
          </w:tcPr>
          <w:p w14:paraId="6B74F578" w14:textId="6F75A7CC" w:rsidR="00844472" w:rsidRPr="007673BD" w:rsidRDefault="00844472" w:rsidP="008D171A">
            <w:pPr>
              <w:spacing w:after="0"/>
              <w:ind w:left="-57" w:right="-6"/>
              <w:jc w:val="center"/>
              <w:rPr>
                <w:rFonts w:cs="Arial"/>
                <w:b/>
                <w:sz w:val="19"/>
                <w:szCs w:val="19"/>
                <w:lang w:val="en-AU"/>
              </w:rPr>
            </w:pPr>
            <w:r w:rsidRPr="007673BD">
              <w:rPr>
                <w:rFonts w:cs="Arial"/>
                <w:b/>
                <w:sz w:val="19"/>
                <w:szCs w:val="19"/>
                <w:lang w:val="en-AU"/>
              </w:rPr>
              <w:t>Capital</w:t>
            </w:r>
            <w:r w:rsidRPr="007673BD">
              <w:rPr>
                <w:rFonts w:cs="Arial"/>
                <w:b/>
                <w:sz w:val="19"/>
                <w:szCs w:val="19"/>
                <w:lang w:val="en-AU"/>
              </w:rPr>
              <w:br/>
            </w:r>
            <w:r w:rsidR="008D171A" w:rsidRPr="007673BD">
              <w:rPr>
                <w:rFonts w:ascii="Arial Narrow" w:hAnsi="Arial Narrow" w:cs="Arial"/>
                <w:sz w:val="19"/>
                <w:szCs w:val="19"/>
                <w:lang w:val="en-AU"/>
              </w:rPr>
              <w:t>(property, plant, equipment</w:t>
            </w:r>
            <w:r w:rsidRPr="007673BD">
              <w:rPr>
                <w:rFonts w:ascii="Arial Narrow" w:hAnsi="Arial Narrow" w:cs="Arial"/>
                <w:sz w:val="19"/>
                <w:szCs w:val="19"/>
                <w:lang w:val="en-AU"/>
              </w:rPr>
              <w:t>)</w:t>
            </w:r>
          </w:p>
        </w:tc>
      </w:tr>
      <w:tr w:rsidR="00844472" w:rsidRPr="007673BD" w14:paraId="6B74F57C" w14:textId="77777777" w:rsidTr="007673BD">
        <w:tc>
          <w:tcPr>
            <w:tcW w:w="8515" w:type="dxa"/>
            <w:gridSpan w:val="5"/>
            <w:tcBorders>
              <w:bottom w:val="single" w:sz="4" w:space="0" w:color="DEEAF6" w:themeColor="accent1" w:themeTint="33"/>
            </w:tcBorders>
            <w:shd w:val="clear" w:color="auto" w:fill="DEEAF6" w:themeFill="accent1" w:themeFillTint="33"/>
          </w:tcPr>
          <w:p w14:paraId="6B74F57B" w14:textId="53615814" w:rsidR="00844472" w:rsidRPr="007673BD" w:rsidRDefault="00844472" w:rsidP="008D171A">
            <w:pPr>
              <w:spacing w:before="100" w:beforeAutospacing="1" w:after="100" w:afterAutospacing="1"/>
              <w:rPr>
                <w:rFonts w:cs="Arial"/>
                <w:sz w:val="19"/>
                <w:szCs w:val="19"/>
                <w:lang w:val="en-AU"/>
              </w:rPr>
            </w:pPr>
            <w:r w:rsidRPr="007673BD">
              <w:rPr>
                <w:rFonts w:cs="Arial"/>
                <w:b/>
                <w:sz w:val="19"/>
                <w:szCs w:val="19"/>
                <w:lang w:val="en-AU"/>
              </w:rPr>
              <w:t>Research stage</w:t>
            </w:r>
          </w:p>
        </w:tc>
      </w:tr>
      <w:tr w:rsidR="00D832D4" w:rsidRPr="007673BD" w14:paraId="4283B04F"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12624784" w14:textId="0CC16EB7" w:rsidR="00844472" w:rsidRPr="007673BD" w:rsidRDefault="00844472" w:rsidP="008D171A">
            <w:pPr>
              <w:spacing w:after="0"/>
              <w:rPr>
                <w:rFonts w:cs="Arial"/>
                <w:sz w:val="19"/>
                <w:szCs w:val="19"/>
                <w:lang w:val="en-AU"/>
              </w:rPr>
            </w:pPr>
            <w:r w:rsidRPr="007673BD">
              <w:rPr>
                <w:rFonts w:cs="Arial"/>
                <w:sz w:val="19"/>
                <w:szCs w:val="19"/>
                <w:lang w:val="en-AU"/>
              </w:rPr>
              <w:t>User testing of existing software to inform a business case</w:t>
            </w:r>
          </w:p>
        </w:tc>
        <w:tc>
          <w:tcPr>
            <w:tcW w:w="992" w:type="dxa"/>
            <w:tcBorders>
              <w:top w:val="single" w:sz="4" w:space="0" w:color="DEEAF6" w:themeColor="accent1" w:themeTint="33"/>
              <w:bottom w:val="single" w:sz="4" w:space="0" w:color="DEEAF6" w:themeColor="accent1" w:themeTint="33"/>
            </w:tcBorders>
          </w:tcPr>
          <w:p w14:paraId="71DCB134" w14:textId="128CFDE0" w:rsidR="00844472" w:rsidRPr="007673BD" w:rsidRDefault="00844472" w:rsidP="00844472">
            <w:pPr>
              <w:spacing w:after="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6D5E2920" w14:textId="568971B9" w:rsidR="00844472" w:rsidRPr="007673BD" w:rsidRDefault="00844472" w:rsidP="00844472">
            <w:pPr>
              <w:spacing w:after="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5F5E5F87" w14:textId="1349AEBE" w:rsidR="00844472" w:rsidRPr="007673BD" w:rsidRDefault="00844472" w:rsidP="00844472">
            <w:pPr>
              <w:spacing w:after="0"/>
              <w:ind w:left="-7"/>
              <w:jc w:val="center"/>
              <w:rPr>
                <w:rFonts w:cs="Arial"/>
                <w:sz w:val="19"/>
                <w:szCs w:val="19"/>
                <w:lang w:val="en-AU"/>
              </w:rPr>
            </w:pPr>
          </w:p>
        </w:tc>
      </w:tr>
      <w:tr w:rsidR="00844472" w:rsidRPr="007673BD" w14:paraId="6B74F57F"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B74F57D" w14:textId="22B84C09" w:rsidR="00844472" w:rsidRPr="007673BD" w:rsidRDefault="00844472" w:rsidP="008D171A">
            <w:pPr>
              <w:spacing w:after="0"/>
              <w:rPr>
                <w:rFonts w:cs="Arial"/>
                <w:sz w:val="19"/>
                <w:szCs w:val="19"/>
                <w:lang w:val="en-AU"/>
              </w:rPr>
            </w:pPr>
            <w:r w:rsidRPr="007673BD">
              <w:rPr>
                <w:rFonts w:cs="Arial"/>
                <w:sz w:val="19"/>
                <w:szCs w:val="19"/>
                <w:lang w:val="en-AU"/>
              </w:rPr>
              <w:t>Consulting fees</w:t>
            </w:r>
          </w:p>
        </w:tc>
        <w:tc>
          <w:tcPr>
            <w:tcW w:w="992" w:type="dxa"/>
            <w:tcBorders>
              <w:top w:val="single" w:sz="4" w:space="0" w:color="DEEAF6" w:themeColor="accent1" w:themeTint="33"/>
              <w:bottom w:val="single" w:sz="4" w:space="0" w:color="DEEAF6" w:themeColor="accent1" w:themeTint="33"/>
            </w:tcBorders>
          </w:tcPr>
          <w:p w14:paraId="5D7EDDE2" w14:textId="42E63D7F" w:rsidR="00844472" w:rsidRPr="007673BD" w:rsidRDefault="00844472" w:rsidP="00844472">
            <w:pPr>
              <w:spacing w:after="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26BCA31E" w14:textId="59B05A23" w:rsidR="00844472" w:rsidRPr="007673BD" w:rsidRDefault="00844472" w:rsidP="00844472">
            <w:pPr>
              <w:spacing w:after="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6B74F57E" w14:textId="6B868564" w:rsidR="00844472" w:rsidRPr="007673BD" w:rsidRDefault="00844472" w:rsidP="00844472">
            <w:pPr>
              <w:spacing w:after="0"/>
              <w:ind w:left="-7"/>
              <w:jc w:val="center"/>
              <w:rPr>
                <w:rFonts w:cs="Arial"/>
                <w:sz w:val="19"/>
                <w:szCs w:val="19"/>
                <w:lang w:val="en-AU"/>
              </w:rPr>
            </w:pPr>
          </w:p>
        </w:tc>
      </w:tr>
      <w:tr w:rsidR="00844472" w:rsidRPr="007673BD" w14:paraId="6B74F582" w14:textId="77777777" w:rsidTr="007673BD">
        <w:trPr>
          <w:gridAfter w:val="1"/>
          <w:wAfter w:w="10" w:type="dxa"/>
        </w:trPr>
        <w:tc>
          <w:tcPr>
            <w:tcW w:w="5529" w:type="dxa"/>
            <w:tcBorders>
              <w:top w:val="single" w:sz="4" w:space="0" w:color="DEEAF6" w:themeColor="accent1" w:themeTint="33"/>
              <w:bottom w:val="single" w:sz="18" w:space="0" w:color="DEEAF6" w:themeColor="accent1" w:themeTint="33"/>
              <w:right w:val="single" w:sz="18" w:space="0" w:color="DEEAF6" w:themeColor="accent1" w:themeTint="33"/>
            </w:tcBorders>
          </w:tcPr>
          <w:p w14:paraId="6B74F580" w14:textId="75C3970B" w:rsidR="00844472" w:rsidRPr="007673BD" w:rsidRDefault="00844472" w:rsidP="008D171A">
            <w:pPr>
              <w:spacing w:after="0"/>
              <w:rPr>
                <w:rFonts w:cs="Arial"/>
                <w:sz w:val="19"/>
                <w:szCs w:val="19"/>
                <w:lang w:val="en-AU"/>
              </w:rPr>
            </w:pPr>
            <w:r w:rsidRPr="007673BD">
              <w:rPr>
                <w:rFonts w:cs="Arial"/>
                <w:sz w:val="19"/>
                <w:szCs w:val="19"/>
                <w:lang w:val="en-AU"/>
              </w:rPr>
              <w:t>Staff costs</w:t>
            </w:r>
          </w:p>
        </w:tc>
        <w:tc>
          <w:tcPr>
            <w:tcW w:w="992" w:type="dxa"/>
            <w:tcBorders>
              <w:top w:val="single" w:sz="4" w:space="0" w:color="DEEAF6" w:themeColor="accent1" w:themeTint="33"/>
              <w:bottom w:val="single" w:sz="18" w:space="0" w:color="DEEAF6" w:themeColor="accent1" w:themeTint="33"/>
            </w:tcBorders>
          </w:tcPr>
          <w:p w14:paraId="0F2FDBD5" w14:textId="37DBF4E5" w:rsidR="00844472" w:rsidRPr="007673BD" w:rsidRDefault="00844472" w:rsidP="00844472">
            <w:pPr>
              <w:spacing w:after="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18" w:space="0" w:color="DEEAF6" w:themeColor="accent1" w:themeTint="33"/>
              <w:right w:val="single" w:sz="18" w:space="0" w:color="DEEAF6" w:themeColor="accent1" w:themeTint="33"/>
            </w:tcBorders>
          </w:tcPr>
          <w:p w14:paraId="27F028B6" w14:textId="25D8F4B0" w:rsidR="00844472" w:rsidRPr="007673BD" w:rsidRDefault="00844472" w:rsidP="00844472">
            <w:pPr>
              <w:spacing w:after="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18" w:space="0" w:color="DEEAF6" w:themeColor="accent1" w:themeTint="33"/>
            </w:tcBorders>
          </w:tcPr>
          <w:p w14:paraId="6B74F581" w14:textId="36D71EC1" w:rsidR="00844472" w:rsidRPr="007673BD" w:rsidRDefault="00844472" w:rsidP="00844472">
            <w:pPr>
              <w:spacing w:after="0"/>
              <w:ind w:left="-7"/>
              <w:jc w:val="center"/>
              <w:rPr>
                <w:rFonts w:cs="Arial"/>
                <w:sz w:val="19"/>
                <w:szCs w:val="19"/>
                <w:lang w:val="en-AU"/>
              </w:rPr>
            </w:pPr>
          </w:p>
        </w:tc>
      </w:tr>
      <w:tr w:rsidR="00844472" w:rsidRPr="007673BD" w14:paraId="6B74F585" w14:textId="77777777" w:rsidTr="007673BD">
        <w:tc>
          <w:tcPr>
            <w:tcW w:w="8515" w:type="dxa"/>
            <w:gridSpan w:val="5"/>
            <w:tcBorders>
              <w:bottom w:val="single" w:sz="4" w:space="0" w:color="DEEAF6" w:themeColor="accent1" w:themeTint="33"/>
            </w:tcBorders>
            <w:shd w:val="clear" w:color="auto" w:fill="DEEAF6" w:themeFill="accent1" w:themeFillTint="33"/>
          </w:tcPr>
          <w:p w14:paraId="6B74F584" w14:textId="228EFB01" w:rsidR="00844472" w:rsidRPr="007673BD" w:rsidRDefault="00844472" w:rsidP="008D171A">
            <w:pPr>
              <w:spacing w:before="100" w:beforeAutospacing="1" w:after="100" w:afterAutospacing="1"/>
              <w:rPr>
                <w:rFonts w:cs="Arial"/>
                <w:sz w:val="19"/>
                <w:szCs w:val="19"/>
                <w:lang w:val="en-AU"/>
              </w:rPr>
            </w:pPr>
            <w:r w:rsidRPr="007673BD">
              <w:rPr>
                <w:rFonts w:cs="Arial"/>
                <w:b/>
                <w:sz w:val="19"/>
                <w:szCs w:val="19"/>
                <w:lang w:val="en-AU"/>
              </w:rPr>
              <w:t>Development stage</w:t>
            </w:r>
          </w:p>
        </w:tc>
      </w:tr>
      <w:tr w:rsidR="00844472" w:rsidRPr="007673BD" w14:paraId="6B74F588"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B74F586" w14:textId="13C15FD8" w:rsidR="00844472" w:rsidRPr="007673BD" w:rsidRDefault="00844472" w:rsidP="008D171A">
            <w:pPr>
              <w:spacing w:after="60"/>
              <w:rPr>
                <w:rFonts w:cs="Arial"/>
                <w:sz w:val="19"/>
                <w:szCs w:val="19"/>
                <w:lang w:val="en-AU"/>
              </w:rPr>
            </w:pPr>
            <w:r w:rsidRPr="007673BD">
              <w:rPr>
                <w:rFonts w:cs="Arial"/>
                <w:sz w:val="19"/>
                <w:szCs w:val="19"/>
                <w:lang w:val="en-AU"/>
              </w:rPr>
              <w:t>Off the shelf system</w:t>
            </w:r>
          </w:p>
        </w:tc>
        <w:tc>
          <w:tcPr>
            <w:tcW w:w="992" w:type="dxa"/>
            <w:tcBorders>
              <w:top w:val="single" w:sz="4" w:space="0" w:color="DEEAF6" w:themeColor="accent1" w:themeTint="33"/>
              <w:bottom w:val="single" w:sz="4" w:space="0" w:color="DEEAF6" w:themeColor="accent1" w:themeTint="33"/>
            </w:tcBorders>
          </w:tcPr>
          <w:p w14:paraId="1807AFB5" w14:textId="69B94BC7" w:rsidR="00844472" w:rsidRPr="007673BD" w:rsidRDefault="00844472"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19B7EBCB" w14:textId="7B10E6F3" w:rsidR="00844472" w:rsidRPr="007673BD" w:rsidRDefault="00844472" w:rsidP="00844472">
            <w:pPr>
              <w:spacing w:after="60"/>
              <w:ind w:left="14"/>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6B74F587" w14:textId="75505987" w:rsidR="00844472" w:rsidRPr="007673BD" w:rsidRDefault="00844472" w:rsidP="00844472">
            <w:pPr>
              <w:spacing w:after="60"/>
              <w:ind w:left="-7"/>
              <w:jc w:val="center"/>
              <w:rPr>
                <w:rFonts w:cs="Arial"/>
                <w:sz w:val="19"/>
                <w:szCs w:val="19"/>
                <w:lang w:val="en-AU"/>
              </w:rPr>
            </w:pPr>
          </w:p>
        </w:tc>
      </w:tr>
      <w:tr w:rsidR="00053323" w:rsidRPr="007673BD" w14:paraId="6B74F58B"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B74F589" w14:textId="05DF3A72" w:rsidR="00053323" w:rsidRPr="007673BD" w:rsidRDefault="00053323" w:rsidP="008D171A">
            <w:pPr>
              <w:spacing w:after="60"/>
              <w:rPr>
                <w:rFonts w:cs="Arial"/>
                <w:sz w:val="19"/>
                <w:szCs w:val="19"/>
                <w:lang w:val="en-AU"/>
              </w:rPr>
            </w:pPr>
            <w:r w:rsidRPr="007673BD">
              <w:rPr>
                <w:rFonts w:cs="Arial"/>
                <w:sz w:val="19"/>
                <w:szCs w:val="19"/>
                <w:lang w:val="en-AU"/>
              </w:rPr>
              <w:t>Administration costs not directly related to development</w:t>
            </w:r>
          </w:p>
        </w:tc>
        <w:tc>
          <w:tcPr>
            <w:tcW w:w="992" w:type="dxa"/>
            <w:tcBorders>
              <w:top w:val="single" w:sz="4" w:space="0" w:color="DEEAF6" w:themeColor="accent1" w:themeTint="33"/>
              <w:bottom w:val="single" w:sz="4" w:space="0" w:color="DEEAF6" w:themeColor="accent1" w:themeTint="33"/>
            </w:tcBorders>
          </w:tcPr>
          <w:p w14:paraId="1BF5F19C" w14:textId="05EE12C2" w:rsidR="00053323" w:rsidRPr="007673BD" w:rsidRDefault="00053323"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4C488142" w14:textId="7744D96F" w:rsidR="00053323" w:rsidRPr="007673BD" w:rsidRDefault="00053323"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6B74F58A" w14:textId="6353187C" w:rsidR="00053323" w:rsidRPr="007673BD" w:rsidRDefault="00053323" w:rsidP="00844472">
            <w:pPr>
              <w:spacing w:after="60"/>
              <w:ind w:left="-7"/>
              <w:jc w:val="center"/>
              <w:rPr>
                <w:rFonts w:cs="Arial"/>
                <w:sz w:val="19"/>
                <w:szCs w:val="19"/>
                <w:lang w:val="en-AU"/>
              </w:rPr>
            </w:pPr>
          </w:p>
        </w:tc>
      </w:tr>
      <w:tr w:rsidR="00053323" w:rsidRPr="007673BD" w14:paraId="67237DE9"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A0A078D" w14:textId="2C2ACB17" w:rsidR="00053323" w:rsidRPr="007673BD" w:rsidRDefault="00053323" w:rsidP="008D171A">
            <w:pPr>
              <w:spacing w:after="60"/>
              <w:rPr>
                <w:rFonts w:cs="Arial"/>
                <w:sz w:val="19"/>
                <w:szCs w:val="19"/>
                <w:lang w:val="en-AU"/>
              </w:rPr>
            </w:pPr>
            <w:r w:rsidRPr="007673BD">
              <w:rPr>
                <w:rFonts w:cs="Arial"/>
                <w:sz w:val="19"/>
                <w:szCs w:val="19"/>
                <w:lang w:val="en-AU"/>
              </w:rPr>
              <w:t xml:space="preserve">Project governance </w:t>
            </w:r>
            <w:r w:rsidR="00E4500B" w:rsidRPr="007673BD">
              <w:rPr>
                <w:rFonts w:cs="Arial"/>
                <w:sz w:val="19"/>
                <w:szCs w:val="19"/>
                <w:lang w:val="en-AU"/>
              </w:rPr>
              <w:t>/</w:t>
            </w:r>
            <w:r w:rsidRPr="007673BD">
              <w:rPr>
                <w:rFonts w:cs="Arial"/>
                <w:sz w:val="19"/>
                <w:szCs w:val="19"/>
                <w:lang w:val="en-AU"/>
              </w:rPr>
              <w:t xml:space="preserve"> stakeholder meetings</w:t>
            </w:r>
          </w:p>
        </w:tc>
        <w:tc>
          <w:tcPr>
            <w:tcW w:w="992" w:type="dxa"/>
            <w:tcBorders>
              <w:top w:val="single" w:sz="4" w:space="0" w:color="DEEAF6" w:themeColor="accent1" w:themeTint="33"/>
              <w:bottom w:val="single" w:sz="4" w:space="0" w:color="DEEAF6" w:themeColor="accent1" w:themeTint="33"/>
            </w:tcBorders>
          </w:tcPr>
          <w:p w14:paraId="612B5978" w14:textId="1C8E11EC" w:rsidR="00053323" w:rsidRPr="007673BD" w:rsidRDefault="00053323"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0E07D38D" w14:textId="12ECE4BE" w:rsidR="00053323" w:rsidRPr="007673BD" w:rsidRDefault="00053323"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1DD09CFE" w14:textId="2511FBD2" w:rsidR="00053323" w:rsidRPr="007673BD" w:rsidRDefault="00053323" w:rsidP="00844472">
            <w:pPr>
              <w:spacing w:after="60"/>
              <w:ind w:left="-7"/>
              <w:jc w:val="center"/>
              <w:rPr>
                <w:rFonts w:cs="Arial"/>
                <w:sz w:val="19"/>
                <w:szCs w:val="19"/>
                <w:lang w:val="en-AU"/>
              </w:rPr>
            </w:pPr>
          </w:p>
        </w:tc>
      </w:tr>
      <w:tr w:rsidR="00E4500B" w:rsidRPr="007673BD" w14:paraId="2C4C1B42"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D00100B" w14:textId="4D428978" w:rsidR="00E4500B" w:rsidRPr="007673BD" w:rsidRDefault="00E4500B" w:rsidP="008D171A">
            <w:pPr>
              <w:spacing w:after="60"/>
              <w:rPr>
                <w:rFonts w:cs="Arial"/>
                <w:sz w:val="19"/>
                <w:szCs w:val="19"/>
                <w:lang w:val="en-AU"/>
              </w:rPr>
            </w:pPr>
            <w:r w:rsidRPr="007673BD">
              <w:rPr>
                <w:rFonts w:cs="Arial"/>
                <w:sz w:val="19"/>
                <w:szCs w:val="19"/>
                <w:lang w:val="en-AU"/>
              </w:rPr>
              <w:t>Consultant/supplier fees and costs - design, construction, development or testing</w:t>
            </w:r>
          </w:p>
        </w:tc>
        <w:tc>
          <w:tcPr>
            <w:tcW w:w="992" w:type="dxa"/>
            <w:tcBorders>
              <w:top w:val="single" w:sz="4" w:space="0" w:color="DEEAF6" w:themeColor="accent1" w:themeTint="33"/>
              <w:bottom w:val="single" w:sz="4" w:space="0" w:color="DEEAF6" w:themeColor="accent1" w:themeTint="33"/>
            </w:tcBorders>
          </w:tcPr>
          <w:p w14:paraId="256B8160" w14:textId="713AE851" w:rsidR="00E4500B" w:rsidRPr="007673BD" w:rsidRDefault="00E4500B"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6EAE1DAB" w14:textId="794967FA" w:rsidR="00E4500B" w:rsidRPr="007673BD" w:rsidRDefault="00E4500B" w:rsidP="00844472">
            <w:pPr>
              <w:spacing w:after="60"/>
              <w:ind w:left="14" w:hanging="33"/>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36747227" w14:textId="3A78F457" w:rsidR="00E4500B" w:rsidRPr="007673BD" w:rsidRDefault="00E4500B" w:rsidP="00844472">
            <w:pPr>
              <w:spacing w:after="60"/>
              <w:ind w:left="-7" w:hanging="33"/>
              <w:jc w:val="center"/>
              <w:rPr>
                <w:rFonts w:cs="Arial"/>
                <w:sz w:val="19"/>
                <w:szCs w:val="19"/>
                <w:lang w:val="en-AU"/>
              </w:rPr>
            </w:pPr>
          </w:p>
        </w:tc>
      </w:tr>
      <w:tr w:rsidR="00E4500B" w:rsidRPr="007673BD" w14:paraId="0D2A5B3F"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0512E696" w14:textId="5E1DDB75" w:rsidR="00E4500B" w:rsidRPr="007673BD" w:rsidRDefault="00E4500B" w:rsidP="008D171A">
            <w:pPr>
              <w:spacing w:after="60"/>
              <w:rPr>
                <w:rFonts w:cs="Arial"/>
                <w:sz w:val="19"/>
                <w:szCs w:val="19"/>
                <w:lang w:val="en-AU"/>
              </w:rPr>
            </w:pPr>
            <w:r w:rsidRPr="007673BD">
              <w:rPr>
                <w:rFonts w:cs="Arial"/>
                <w:sz w:val="19"/>
                <w:szCs w:val="19"/>
                <w:lang w:val="en-AU"/>
              </w:rPr>
              <w:t>Staff costs (including project managers) - development, testing</w:t>
            </w:r>
          </w:p>
        </w:tc>
        <w:tc>
          <w:tcPr>
            <w:tcW w:w="992" w:type="dxa"/>
            <w:tcBorders>
              <w:top w:val="single" w:sz="4" w:space="0" w:color="DEEAF6" w:themeColor="accent1" w:themeTint="33"/>
              <w:bottom w:val="single" w:sz="4" w:space="0" w:color="DEEAF6" w:themeColor="accent1" w:themeTint="33"/>
            </w:tcBorders>
          </w:tcPr>
          <w:p w14:paraId="4124ABA2" w14:textId="77777777" w:rsidR="00E4500B" w:rsidRPr="007673BD" w:rsidRDefault="00E4500B"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36D946F6" w14:textId="28E30EC3" w:rsidR="00E4500B" w:rsidRPr="007673BD" w:rsidRDefault="00E4500B" w:rsidP="00844472">
            <w:pPr>
              <w:spacing w:after="60"/>
              <w:ind w:left="14"/>
              <w:jc w:val="center"/>
              <w:rPr>
                <w:rFonts w:eastAsia="MS Gothic"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48840E6E" w14:textId="7AF32D4D" w:rsidR="00E4500B" w:rsidRPr="007673BD" w:rsidRDefault="00E4500B" w:rsidP="00844472">
            <w:pPr>
              <w:spacing w:after="60"/>
              <w:ind w:left="-7"/>
              <w:jc w:val="center"/>
              <w:rPr>
                <w:rFonts w:cs="Arial"/>
                <w:sz w:val="19"/>
                <w:szCs w:val="19"/>
                <w:lang w:val="en-AU"/>
              </w:rPr>
            </w:pPr>
          </w:p>
        </w:tc>
      </w:tr>
      <w:tr w:rsidR="00E4500B" w:rsidRPr="007673BD" w14:paraId="5213A59C"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038DB2E" w14:textId="610E417C" w:rsidR="00E4500B" w:rsidRPr="007673BD" w:rsidRDefault="00E4500B" w:rsidP="008D171A">
            <w:pPr>
              <w:spacing w:after="60"/>
              <w:rPr>
                <w:rFonts w:cs="Arial"/>
                <w:sz w:val="19"/>
                <w:szCs w:val="19"/>
                <w:lang w:val="en-AU"/>
              </w:rPr>
            </w:pPr>
            <w:r w:rsidRPr="007673BD">
              <w:rPr>
                <w:rFonts w:cs="Arial"/>
                <w:sz w:val="19"/>
                <w:szCs w:val="19"/>
                <w:lang w:val="en-AU"/>
              </w:rPr>
              <w:t>Staff costs (including project managers) - not directly related to the project (e.g., attending training)</w:t>
            </w:r>
          </w:p>
        </w:tc>
        <w:tc>
          <w:tcPr>
            <w:tcW w:w="992" w:type="dxa"/>
            <w:tcBorders>
              <w:top w:val="single" w:sz="4" w:space="0" w:color="DEEAF6" w:themeColor="accent1" w:themeTint="33"/>
              <w:bottom w:val="single" w:sz="4" w:space="0" w:color="DEEAF6" w:themeColor="accent1" w:themeTint="33"/>
            </w:tcBorders>
          </w:tcPr>
          <w:p w14:paraId="003D6528" w14:textId="1FEF554C" w:rsidR="00E4500B" w:rsidRPr="007673BD" w:rsidRDefault="00E4500B"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4E5E6328" w14:textId="44BA20EF" w:rsidR="00E4500B" w:rsidRPr="007673BD" w:rsidRDefault="00E4500B" w:rsidP="00844472">
            <w:pPr>
              <w:spacing w:after="60"/>
              <w:ind w:left="14"/>
              <w:jc w:val="center"/>
              <w:rPr>
                <w:rFonts w:eastAsia="MS Gothic"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160ED525" w14:textId="08C3F803" w:rsidR="00E4500B" w:rsidRPr="007673BD" w:rsidRDefault="00E4500B" w:rsidP="00844472">
            <w:pPr>
              <w:spacing w:after="60"/>
              <w:ind w:left="-7"/>
              <w:jc w:val="center"/>
              <w:rPr>
                <w:rFonts w:cs="Arial"/>
                <w:sz w:val="19"/>
                <w:szCs w:val="19"/>
                <w:lang w:val="en-AU"/>
              </w:rPr>
            </w:pPr>
          </w:p>
        </w:tc>
      </w:tr>
      <w:tr w:rsidR="00337A52" w:rsidRPr="007673BD" w14:paraId="23A2CC3E"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142031A0" w14:textId="7DB71298" w:rsidR="00337A52" w:rsidRPr="007673BD" w:rsidRDefault="00337A52" w:rsidP="008D171A">
            <w:pPr>
              <w:spacing w:after="60"/>
              <w:rPr>
                <w:rFonts w:cs="Arial"/>
                <w:sz w:val="19"/>
                <w:szCs w:val="19"/>
                <w:lang w:val="en-AU"/>
              </w:rPr>
            </w:pPr>
            <w:r w:rsidRPr="007673BD">
              <w:rPr>
                <w:rFonts w:cs="Arial"/>
                <w:sz w:val="19"/>
                <w:szCs w:val="19"/>
                <w:lang w:val="en-AU"/>
              </w:rPr>
              <w:t>Depreciation of software licences and computers required for development or testing</w:t>
            </w:r>
          </w:p>
        </w:tc>
        <w:tc>
          <w:tcPr>
            <w:tcW w:w="992" w:type="dxa"/>
            <w:tcBorders>
              <w:top w:val="single" w:sz="4" w:space="0" w:color="DEEAF6" w:themeColor="accent1" w:themeTint="33"/>
              <w:bottom w:val="single" w:sz="4" w:space="0" w:color="DEEAF6" w:themeColor="accent1" w:themeTint="33"/>
            </w:tcBorders>
          </w:tcPr>
          <w:p w14:paraId="321C968D" w14:textId="777D1E89" w:rsidR="00337A52" w:rsidRPr="007673BD" w:rsidRDefault="00337A52"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0DC86762" w14:textId="1275E3C9" w:rsidR="00337A52" w:rsidRPr="007673BD" w:rsidRDefault="00337A52" w:rsidP="00844472">
            <w:pPr>
              <w:spacing w:after="60"/>
              <w:ind w:left="14"/>
              <w:jc w:val="center"/>
              <w:rPr>
                <w:rFonts w:eastAsia="MS Gothic"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5C32CB01" w14:textId="13429E14" w:rsidR="00337A52" w:rsidRPr="007673BD" w:rsidRDefault="00337A52" w:rsidP="00844472">
            <w:pPr>
              <w:spacing w:after="60"/>
              <w:ind w:left="-7"/>
              <w:jc w:val="center"/>
              <w:rPr>
                <w:rFonts w:cs="Arial"/>
                <w:sz w:val="19"/>
                <w:szCs w:val="19"/>
                <w:lang w:val="en-AU"/>
              </w:rPr>
            </w:pPr>
          </w:p>
        </w:tc>
      </w:tr>
      <w:tr w:rsidR="00337A52" w:rsidRPr="007673BD" w14:paraId="72A48F49"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31F799DD" w14:textId="411CABB7" w:rsidR="00337A52" w:rsidRPr="007673BD" w:rsidRDefault="00337A52" w:rsidP="008D171A">
            <w:pPr>
              <w:spacing w:after="60"/>
              <w:rPr>
                <w:rFonts w:cs="Arial"/>
                <w:sz w:val="19"/>
                <w:szCs w:val="19"/>
                <w:lang w:val="en-AU"/>
              </w:rPr>
            </w:pPr>
            <w:r w:rsidRPr="007673BD">
              <w:rPr>
                <w:rFonts w:cs="Arial"/>
                <w:sz w:val="19"/>
                <w:szCs w:val="19"/>
                <w:lang w:val="en-AU"/>
              </w:rPr>
              <w:t xml:space="preserve">Equipment - other (e.g., printers, PC’s </w:t>
            </w:r>
            <w:r w:rsidR="00323E41" w:rsidRPr="007673BD">
              <w:rPr>
                <w:rFonts w:cs="Arial"/>
                <w:sz w:val="19"/>
                <w:szCs w:val="19"/>
                <w:lang w:val="en-AU"/>
              </w:rPr>
              <w:t>etc.</w:t>
            </w:r>
            <w:r w:rsidRPr="007673BD">
              <w:rPr>
                <w:rFonts w:cs="Arial"/>
                <w:sz w:val="19"/>
                <w:szCs w:val="19"/>
                <w:lang w:val="en-AU"/>
              </w:rPr>
              <w:t>)</w:t>
            </w:r>
          </w:p>
        </w:tc>
        <w:tc>
          <w:tcPr>
            <w:tcW w:w="992" w:type="dxa"/>
            <w:tcBorders>
              <w:top w:val="single" w:sz="4" w:space="0" w:color="DEEAF6" w:themeColor="accent1" w:themeTint="33"/>
              <w:bottom w:val="single" w:sz="4" w:space="0" w:color="DEEAF6" w:themeColor="accent1" w:themeTint="33"/>
            </w:tcBorders>
          </w:tcPr>
          <w:p w14:paraId="02D673A7" w14:textId="02D6C5EE" w:rsidR="00337A52" w:rsidRPr="007673BD" w:rsidRDefault="00337A52"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781F8244" w14:textId="77777777" w:rsidR="00337A52" w:rsidRPr="007673BD" w:rsidRDefault="00337A52" w:rsidP="00844472">
            <w:pPr>
              <w:spacing w:after="60"/>
              <w:ind w:left="14"/>
              <w:jc w:val="center"/>
              <w:rPr>
                <w:rFonts w:eastAsia="MS Gothic"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6BD5582C" w14:textId="59727BD2" w:rsidR="00337A52" w:rsidRPr="007673BD" w:rsidRDefault="00337A52" w:rsidP="00844472">
            <w:pPr>
              <w:spacing w:after="60"/>
              <w:ind w:left="-7"/>
              <w:jc w:val="center"/>
              <w:rPr>
                <w:rFonts w:cs="Arial"/>
                <w:sz w:val="19"/>
                <w:szCs w:val="19"/>
                <w:lang w:val="en-AU"/>
              </w:rPr>
            </w:pPr>
            <w:r w:rsidRPr="007673BD">
              <w:rPr>
                <w:rFonts w:ascii="MS Gothic" w:eastAsia="MS Gothic" w:hAnsi="MS Gothic" w:cs="MS Gothic" w:hint="eastAsia"/>
                <w:sz w:val="19"/>
                <w:szCs w:val="19"/>
                <w:lang w:val="en-AU"/>
              </w:rPr>
              <w:t>✓</w:t>
            </w:r>
          </w:p>
        </w:tc>
      </w:tr>
      <w:tr w:rsidR="00337A52" w:rsidRPr="007673BD" w14:paraId="159FFC91"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E3A42C9" w14:textId="29F593D7" w:rsidR="00337A52" w:rsidRPr="007673BD" w:rsidRDefault="00337A52" w:rsidP="008D171A">
            <w:pPr>
              <w:spacing w:after="60"/>
              <w:rPr>
                <w:rFonts w:cs="Arial"/>
                <w:sz w:val="19"/>
                <w:szCs w:val="19"/>
                <w:lang w:val="en-AU"/>
              </w:rPr>
            </w:pPr>
            <w:r w:rsidRPr="007673BD">
              <w:rPr>
                <w:rFonts w:cs="Arial"/>
                <w:sz w:val="19"/>
                <w:szCs w:val="19"/>
                <w:lang w:val="en-AU"/>
              </w:rPr>
              <w:t>Data migration costs (test data used for system testing)</w:t>
            </w:r>
          </w:p>
        </w:tc>
        <w:tc>
          <w:tcPr>
            <w:tcW w:w="992" w:type="dxa"/>
            <w:tcBorders>
              <w:top w:val="single" w:sz="4" w:space="0" w:color="DEEAF6" w:themeColor="accent1" w:themeTint="33"/>
              <w:bottom w:val="single" w:sz="4" w:space="0" w:color="DEEAF6" w:themeColor="accent1" w:themeTint="33"/>
            </w:tcBorders>
          </w:tcPr>
          <w:p w14:paraId="4C2107D7" w14:textId="77777777" w:rsidR="00337A52" w:rsidRPr="007673BD" w:rsidRDefault="00337A52" w:rsidP="00D832D4">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2A368F76" w14:textId="38346A9A" w:rsidR="00337A52" w:rsidRPr="007673BD" w:rsidRDefault="00337A52" w:rsidP="00D832D4">
            <w:pPr>
              <w:spacing w:after="60"/>
              <w:ind w:left="14"/>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0A2A58DE" w14:textId="71C31610" w:rsidR="00337A52" w:rsidRPr="007673BD" w:rsidRDefault="00337A52" w:rsidP="00D832D4">
            <w:pPr>
              <w:spacing w:after="60"/>
              <w:ind w:left="-7"/>
              <w:jc w:val="center"/>
              <w:rPr>
                <w:rFonts w:cs="Arial"/>
                <w:sz w:val="19"/>
                <w:szCs w:val="19"/>
                <w:lang w:val="en-AU"/>
              </w:rPr>
            </w:pPr>
          </w:p>
        </w:tc>
      </w:tr>
      <w:tr w:rsidR="00337A52" w:rsidRPr="007673BD" w14:paraId="479F9C05"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233516D0" w14:textId="103FA003" w:rsidR="00337A52" w:rsidRPr="007673BD" w:rsidRDefault="00337A52" w:rsidP="008D171A">
            <w:pPr>
              <w:spacing w:after="60"/>
              <w:rPr>
                <w:rFonts w:cs="Arial"/>
                <w:sz w:val="19"/>
                <w:szCs w:val="19"/>
                <w:lang w:val="en-AU"/>
              </w:rPr>
            </w:pPr>
            <w:r w:rsidRPr="007673BD">
              <w:rPr>
                <w:rFonts w:cs="Arial"/>
                <w:sz w:val="19"/>
                <w:szCs w:val="19"/>
                <w:lang w:val="en-AU"/>
              </w:rPr>
              <w:t>Data migration costs (outside of system testing, including project manager costs for planning data migration and/or training)</w:t>
            </w:r>
          </w:p>
        </w:tc>
        <w:tc>
          <w:tcPr>
            <w:tcW w:w="992" w:type="dxa"/>
            <w:tcBorders>
              <w:top w:val="single" w:sz="4" w:space="0" w:color="DEEAF6" w:themeColor="accent1" w:themeTint="33"/>
              <w:bottom w:val="single" w:sz="4" w:space="0" w:color="DEEAF6" w:themeColor="accent1" w:themeTint="33"/>
            </w:tcBorders>
          </w:tcPr>
          <w:p w14:paraId="46B8E894" w14:textId="4EB5E45A" w:rsidR="00337A52" w:rsidRPr="007673BD" w:rsidRDefault="00337A52" w:rsidP="00D832D4">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3EBF4664" w14:textId="77777777" w:rsidR="00337A52" w:rsidRPr="007673BD" w:rsidRDefault="00337A52" w:rsidP="00D832D4">
            <w:pPr>
              <w:spacing w:after="60"/>
              <w:ind w:left="14"/>
              <w:jc w:val="center"/>
              <w:rPr>
                <w:rFonts w:eastAsia="MS Gothic"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4AFC2EE3" w14:textId="43501EB5" w:rsidR="00337A52" w:rsidRPr="007673BD" w:rsidRDefault="00337A52" w:rsidP="00D832D4">
            <w:pPr>
              <w:spacing w:after="60"/>
              <w:ind w:left="-7"/>
              <w:jc w:val="center"/>
              <w:rPr>
                <w:rFonts w:cs="Arial"/>
                <w:sz w:val="19"/>
                <w:szCs w:val="19"/>
                <w:lang w:val="en-AU"/>
              </w:rPr>
            </w:pPr>
          </w:p>
        </w:tc>
      </w:tr>
      <w:tr w:rsidR="00337A52" w:rsidRPr="007673BD" w14:paraId="699CE106"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2451A4D0" w14:textId="1D5BDDB1" w:rsidR="00337A52" w:rsidRPr="007673BD" w:rsidRDefault="00337A52" w:rsidP="008D171A">
            <w:pPr>
              <w:spacing w:after="60"/>
              <w:rPr>
                <w:rFonts w:cs="Arial"/>
                <w:sz w:val="19"/>
                <w:szCs w:val="19"/>
                <w:lang w:val="en-AU"/>
              </w:rPr>
            </w:pPr>
            <w:r w:rsidRPr="007673BD">
              <w:rPr>
                <w:rFonts w:cs="Arial"/>
                <w:sz w:val="19"/>
                <w:szCs w:val="19"/>
                <w:lang w:val="en-AU"/>
              </w:rPr>
              <w:t>Initial pilot to test feasibility prior to developing final system capable of being used</w:t>
            </w:r>
          </w:p>
        </w:tc>
        <w:tc>
          <w:tcPr>
            <w:tcW w:w="992" w:type="dxa"/>
            <w:tcBorders>
              <w:top w:val="single" w:sz="4" w:space="0" w:color="DEEAF6" w:themeColor="accent1" w:themeTint="33"/>
              <w:bottom w:val="single" w:sz="4" w:space="0" w:color="DEEAF6" w:themeColor="accent1" w:themeTint="33"/>
            </w:tcBorders>
          </w:tcPr>
          <w:p w14:paraId="6B2C8D09" w14:textId="77777777" w:rsidR="00337A52" w:rsidRPr="007673BD" w:rsidRDefault="00337A52"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272B8B6E" w14:textId="3098AB6E" w:rsidR="00337A52" w:rsidRPr="007673BD" w:rsidRDefault="00337A52" w:rsidP="00844472">
            <w:pPr>
              <w:spacing w:after="60"/>
              <w:ind w:left="14"/>
              <w:jc w:val="center"/>
              <w:rPr>
                <w:rFonts w:eastAsia="MS Gothic"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4C90C9DC" w14:textId="0ECE59E8" w:rsidR="00337A52" w:rsidRPr="007673BD" w:rsidRDefault="00337A52" w:rsidP="00844472">
            <w:pPr>
              <w:spacing w:after="60"/>
              <w:ind w:left="-7"/>
              <w:jc w:val="center"/>
              <w:rPr>
                <w:rFonts w:cs="Arial"/>
                <w:sz w:val="19"/>
                <w:szCs w:val="19"/>
                <w:lang w:val="en-AU"/>
              </w:rPr>
            </w:pPr>
          </w:p>
        </w:tc>
      </w:tr>
      <w:tr w:rsidR="00337A52" w:rsidRPr="007673BD" w14:paraId="6B74F58E"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B74F58C" w14:textId="6D904FFB" w:rsidR="00337A52" w:rsidRPr="007673BD" w:rsidRDefault="00337A52" w:rsidP="008D171A">
            <w:pPr>
              <w:spacing w:after="60"/>
              <w:rPr>
                <w:rFonts w:cs="Arial"/>
                <w:sz w:val="19"/>
                <w:szCs w:val="19"/>
                <w:lang w:val="en-AU"/>
              </w:rPr>
            </w:pPr>
            <w:r w:rsidRPr="007673BD">
              <w:rPr>
                <w:rFonts w:cs="Arial"/>
                <w:sz w:val="19"/>
                <w:szCs w:val="19"/>
                <w:lang w:val="en-AU"/>
              </w:rPr>
              <w:t>Inefficiencies in development (e.g., where a system is developed to do xyz, but a later decision results in z being abandoned; the costs related to z could not be capitalised)</w:t>
            </w:r>
          </w:p>
        </w:tc>
        <w:tc>
          <w:tcPr>
            <w:tcW w:w="992" w:type="dxa"/>
            <w:tcBorders>
              <w:top w:val="single" w:sz="4" w:space="0" w:color="DEEAF6" w:themeColor="accent1" w:themeTint="33"/>
              <w:bottom w:val="single" w:sz="4" w:space="0" w:color="DEEAF6" w:themeColor="accent1" w:themeTint="33"/>
            </w:tcBorders>
          </w:tcPr>
          <w:p w14:paraId="3B42306F" w14:textId="31447E00" w:rsidR="00337A52" w:rsidRPr="007673BD" w:rsidRDefault="00337A52"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465B52D5" w14:textId="58E744AB" w:rsidR="00337A52" w:rsidRPr="007673BD" w:rsidRDefault="00337A52"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6B74F58D" w14:textId="24403EAB" w:rsidR="00337A52" w:rsidRPr="007673BD" w:rsidRDefault="00337A52" w:rsidP="00844472">
            <w:pPr>
              <w:spacing w:after="60"/>
              <w:ind w:left="-7"/>
              <w:jc w:val="center"/>
              <w:rPr>
                <w:rFonts w:cs="Arial"/>
                <w:sz w:val="19"/>
                <w:szCs w:val="19"/>
                <w:lang w:val="en-AU"/>
              </w:rPr>
            </w:pPr>
          </w:p>
        </w:tc>
      </w:tr>
      <w:tr w:rsidR="00337A52" w:rsidRPr="007673BD" w14:paraId="6B74F59D" w14:textId="77777777" w:rsidTr="007673BD">
        <w:tc>
          <w:tcPr>
            <w:tcW w:w="8515" w:type="dxa"/>
            <w:gridSpan w:val="5"/>
            <w:tcBorders>
              <w:top w:val="single" w:sz="18" w:space="0" w:color="DEEAF6" w:themeColor="accent1" w:themeTint="33"/>
              <w:bottom w:val="single" w:sz="4" w:space="0" w:color="DEEAF6" w:themeColor="accent1" w:themeTint="33"/>
            </w:tcBorders>
            <w:shd w:val="clear" w:color="auto" w:fill="DEEAF6" w:themeFill="accent1" w:themeFillTint="33"/>
          </w:tcPr>
          <w:p w14:paraId="6B74F59C" w14:textId="564CF734" w:rsidR="00337A52" w:rsidRPr="007673BD" w:rsidRDefault="00337A52" w:rsidP="008D171A">
            <w:pPr>
              <w:spacing w:before="100" w:beforeAutospacing="1" w:after="100" w:afterAutospacing="1"/>
              <w:rPr>
                <w:rFonts w:cs="Arial"/>
                <w:sz w:val="19"/>
                <w:szCs w:val="19"/>
                <w:lang w:val="en-AU"/>
              </w:rPr>
            </w:pPr>
            <w:r w:rsidRPr="007673BD">
              <w:rPr>
                <w:rFonts w:cs="Arial"/>
                <w:b/>
                <w:sz w:val="19"/>
                <w:szCs w:val="19"/>
                <w:lang w:val="en-AU"/>
              </w:rPr>
              <w:t>Implementation stage</w:t>
            </w:r>
          </w:p>
        </w:tc>
      </w:tr>
      <w:tr w:rsidR="00337A52" w:rsidRPr="007673BD" w14:paraId="6F9D89F9"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3434808F" w14:textId="7D626761" w:rsidR="00337A52" w:rsidRPr="007673BD" w:rsidRDefault="00337A52" w:rsidP="008D171A">
            <w:pPr>
              <w:spacing w:after="60"/>
              <w:rPr>
                <w:rFonts w:cs="Arial"/>
                <w:sz w:val="19"/>
                <w:szCs w:val="19"/>
                <w:lang w:val="en-AU"/>
              </w:rPr>
            </w:pPr>
            <w:r w:rsidRPr="007673BD">
              <w:rPr>
                <w:rFonts w:cs="Arial"/>
                <w:sz w:val="19"/>
                <w:szCs w:val="19"/>
                <w:lang w:val="en-AU"/>
              </w:rPr>
              <w:t>Replacement of computer terminals (even if old terminals cannot accept the new software)</w:t>
            </w:r>
          </w:p>
        </w:tc>
        <w:tc>
          <w:tcPr>
            <w:tcW w:w="992" w:type="dxa"/>
            <w:tcBorders>
              <w:top w:val="single" w:sz="4" w:space="0" w:color="DEEAF6" w:themeColor="accent1" w:themeTint="33"/>
              <w:bottom w:val="single" w:sz="4" w:space="0" w:color="DEEAF6" w:themeColor="accent1" w:themeTint="33"/>
            </w:tcBorders>
          </w:tcPr>
          <w:p w14:paraId="5D34B2E2" w14:textId="77777777" w:rsidR="00337A52" w:rsidRPr="007673BD" w:rsidRDefault="00337A52" w:rsidP="00844472">
            <w:pPr>
              <w:spacing w:after="60"/>
              <w:jc w:val="center"/>
              <w:rPr>
                <w:rFonts w:cs="Arial"/>
                <w:sz w:val="19"/>
                <w:szCs w:val="19"/>
                <w:lang w:val="en-AU"/>
              </w:rPr>
            </w:pP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49BF6623" w14:textId="77777777" w:rsidR="00337A52" w:rsidRPr="007673BD" w:rsidRDefault="00337A52"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4EBE24FB" w14:textId="54403AF2" w:rsidR="00337A52" w:rsidRPr="007673BD" w:rsidRDefault="00337A52" w:rsidP="00844472">
            <w:pPr>
              <w:spacing w:after="60"/>
              <w:ind w:left="-7"/>
              <w:jc w:val="center"/>
              <w:rPr>
                <w:rFonts w:cs="Arial"/>
                <w:sz w:val="19"/>
                <w:szCs w:val="19"/>
                <w:lang w:val="en-AU"/>
              </w:rPr>
            </w:pPr>
            <w:r w:rsidRPr="007673BD">
              <w:rPr>
                <w:rFonts w:ascii="MS Gothic" w:eastAsia="MS Gothic" w:hAnsi="MS Gothic" w:cs="MS Gothic" w:hint="eastAsia"/>
                <w:sz w:val="19"/>
                <w:szCs w:val="19"/>
                <w:lang w:val="en-AU"/>
              </w:rPr>
              <w:t>✓</w:t>
            </w:r>
          </w:p>
        </w:tc>
      </w:tr>
      <w:tr w:rsidR="00337A52" w:rsidRPr="007673BD" w14:paraId="059F0DF5"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10AA95B9" w14:textId="62EEEFCC" w:rsidR="00337A52" w:rsidRPr="007673BD" w:rsidRDefault="00337A52" w:rsidP="008D171A">
            <w:pPr>
              <w:spacing w:after="60"/>
              <w:rPr>
                <w:rFonts w:cs="Arial"/>
                <w:sz w:val="19"/>
                <w:szCs w:val="19"/>
                <w:lang w:val="en-AU"/>
              </w:rPr>
            </w:pPr>
            <w:r w:rsidRPr="007673BD">
              <w:rPr>
                <w:rFonts w:cs="Arial"/>
                <w:sz w:val="19"/>
                <w:szCs w:val="19"/>
                <w:lang w:val="en-AU"/>
              </w:rPr>
              <w:t>Training - staff costs</w:t>
            </w:r>
          </w:p>
        </w:tc>
        <w:tc>
          <w:tcPr>
            <w:tcW w:w="992" w:type="dxa"/>
            <w:tcBorders>
              <w:top w:val="single" w:sz="4" w:space="0" w:color="DEEAF6" w:themeColor="accent1" w:themeTint="33"/>
              <w:bottom w:val="single" w:sz="4" w:space="0" w:color="DEEAF6" w:themeColor="accent1" w:themeTint="33"/>
            </w:tcBorders>
          </w:tcPr>
          <w:p w14:paraId="7B3EA19C" w14:textId="35A172B7" w:rsidR="00337A52" w:rsidRPr="007673BD" w:rsidRDefault="00337A52"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2CCAE1D9" w14:textId="77777777" w:rsidR="00337A52" w:rsidRPr="007673BD" w:rsidRDefault="00337A52"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7E470530" w14:textId="53D66509" w:rsidR="00337A52" w:rsidRPr="007673BD" w:rsidRDefault="00337A52" w:rsidP="00844472">
            <w:pPr>
              <w:spacing w:after="60"/>
              <w:ind w:left="-7"/>
              <w:jc w:val="center"/>
              <w:rPr>
                <w:rFonts w:cs="Arial"/>
                <w:sz w:val="19"/>
                <w:szCs w:val="19"/>
                <w:lang w:val="en-AU"/>
              </w:rPr>
            </w:pPr>
          </w:p>
        </w:tc>
      </w:tr>
      <w:tr w:rsidR="00337A52" w:rsidRPr="007673BD" w14:paraId="479232BE"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5AA5D3A7" w14:textId="54472724" w:rsidR="00337A52" w:rsidRPr="007673BD" w:rsidRDefault="00337A52" w:rsidP="008D171A">
            <w:pPr>
              <w:spacing w:after="60"/>
              <w:rPr>
                <w:rFonts w:cs="Arial"/>
                <w:sz w:val="19"/>
                <w:szCs w:val="19"/>
                <w:lang w:val="en-AU"/>
              </w:rPr>
            </w:pPr>
            <w:r w:rsidRPr="007673BD">
              <w:rPr>
                <w:rFonts w:cs="Arial"/>
                <w:sz w:val="19"/>
                <w:szCs w:val="19"/>
                <w:lang w:val="en-AU"/>
              </w:rPr>
              <w:t>Advertising and promotional costs</w:t>
            </w:r>
          </w:p>
        </w:tc>
        <w:tc>
          <w:tcPr>
            <w:tcW w:w="992" w:type="dxa"/>
            <w:tcBorders>
              <w:top w:val="single" w:sz="4" w:space="0" w:color="DEEAF6" w:themeColor="accent1" w:themeTint="33"/>
              <w:bottom w:val="single" w:sz="4" w:space="0" w:color="DEEAF6" w:themeColor="accent1" w:themeTint="33"/>
            </w:tcBorders>
          </w:tcPr>
          <w:p w14:paraId="26B58230" w14:textId="3F1BBBB6" w:rsidR="00337A52" w:rsidRPr="007673BD" w:rsidRDefault="00337A52"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1C504115" w14:textId="77777777" w:rsidR="00337A52" w:rsidRPr="007673BD" w:rsidRDefault="00337A52"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4DDD8DB5" w14:textId="5DDBCCA8" w:rsidR="00337A52" w:rsidRPr="007673BD" w:rsidRDefault="00337A52" w:rsidP="00844472">
            <w:pPr>
              <w:spacing w:after="60"/>
              <w:ind w:left="-7"/>
              <w:jc w:val="center"/>
              <w:rPr>
                <w:rFonts w:cs="Arial"/>
                <w:sz w:val="19"/>
                <w:szCs w:val="19"/>
                <w:lang w:val="en-AU"/>
              </w:rPr>
            </w:pPr>
          </w:p>
        </w:tc>
      </w:tr>
      <w:tr w:rsidR="00337A52" w:rsidRPr="007673BD" w14:paraId="14D7EFC0" w14:textId="77777777" w:rsidTr="007673BD">
        <w:trPr>
          <w:gridAfter w:val="1"/>
          <w:wAfter w:w="10" w:type="dxa"/>
        </w:trPr>
        <w:tc>
          <w:tcPr>
            <w:tcW w:w="5529" w:type="dxa"/>
            <w:tcBorders>
              <w:top w:val="single" w:sz="4" w:space="0" w:color="DEEAF6" w:themeColor="accent1" w:themeTint="33"/>
              <w:bottom w:val="single" w:sz="4" w:space="0" w:color="DEEAF6" w:themeColor="accent1" w:themeTint="33"/>
              <w:right w:val="single" w:sz="18" w:space="0" w:color="DEEAF6" w:themeColor="accent1" w:themeTint="33"/>
            </w:tcBorders>
          </w:tcPr>
          <w:p w14:paraId="6A938E21" w14:textId="2A720FCB" w:rsidR="00337A52" w:rsidRPr="007673BD" w:rsidRDefault="00337A52" w:rsidP="008D171A">
            <w:pPr>
              <w:spacing w:after="60"/>
              <w:rPr>
                <w:rFonts w:cs="Arial"/>
                <w:sz w:val="19"/>
                <w:szCs w:val="19"/>
                <w:lang w:val="en-AU"/>
              </w:rPr>
            </w:pPr>
            <w:r w:rsidRPr="007673BD">
              <w:rPr>
                <w:rFonts w:cs="Arial"/>
                <w:sz w:val="19"/>
                <w:szCs w:val="19"/>
                <w:lang w:val="en-AU"/>
              </w:rPr>
              <w:t>Manuals (development at any stage)</w:t>
            </w:r>
          </w:p>
        </w:tc>
        <w:tc>
          <w:tcPr>
            <w:tcW w:w="992" w:type="dxa"/>
            <w:tcBorders>
              <w:top w:val="single" w:sz="4" w:space="0" w:color="DEEAF6" w:themeColor="accent1" w:themeTint="33"/>
              <w:bottom w:val="single" w:sz="4" w:space="0" w:color="DEEAF6" w:themeColor="accent1" w:themeTint="33"/>
            </w:tcBorders>
          </w:tcPr>
          <w:p w14:paraId="39C077A2" w14:textId="0FB342BF" w:rsidR="00337A52" w:rsidRPr="007673BD" w:rsidRDefault="00337A52" w:rsidP="00844472">
            <w:pPr>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bottom w:val="single" w:sz="4" w:space="0" w:color="DEEAF6" w:themeColor="accent1" w:themeTint="33"/>
              <w:right w:val="single" w:sz="18" w:space="0" w:color="DEEAF6" w:themeColor="accent1" w:themeTint="33"/>
            </w:tcBorders>
          </w:tcPr>
          <w:p w14:paraId="27BA4E0E" w14:textId="77777777" w:rsidR="00337A52" w:rsidRPr="007673BD" w:rsidRDefault="00337A52" w:rsidP="00844472">
            <w:pPr>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bottom w:val="single" w:sz="4" w:space="0" w:color="DEEAF6" w:themeColor="accent1" w:themeTint="33"/>
            </w:tcBorders>
          </w:tcPr>
          <w:p w14:paraId="31513E83" w14:textId="25F7B1F0" w:rsidR="00337A52" w:rsidRPr="007673BD" w:rsidRDefault="00337A52" w:rsidP="00844472">
            <w:pPr>
              <w:spacing w:after="60"/>
              <w:ind w:left="-7"/>
              <w:jc w:val="center"/>
              <w:rPr>
                <w:rFonts w:cs="Arial"/>
                <w:sz w:val="19"/>
                <w:szCs w:val="19"/>
                <w:lang w:val="en-AU"/>
              </w:rPr>
            </w:pPr>
          </w:p>
        </w:tc>
      </w:tr>
      <w:tr w:rsidR="00337A52" w:rsidRPr="007673BD" w14:paraId="6B74F5AF" w14:textId="77777777" w:rsidTr="007673BD">
        <w:trPr>
          <w:gridAfter w:val="1"/>
          <w:wAfter w:w="10" w:type="dxa"/>
        </w:trPr>
        <w:tc>
          <w:tcPr>
            <w:tcW w:w="5529" w:type="dxa"/>
            <w:tcBorders>
              <w:top w:val="single" w:sz="4" w:space="0" w:color="DEEAF6" w:themeColor="accent1" w:themeTint="33"/>
              <w:right w:val="single" w:sz="18" w:space="0" w:color="DEEAF6" w:themeColor="accent1" w:themeTint="33"/>
            </w:tcBorders>
          </w:tcPr>
          <w:p w14:paraId="6B74F5AD" w14:textId="2B44103B" w:rsidR="00337A52" w:rsidRPr="007673BD" w:rsidRDefault="00337A52" w:rsidP="008D171A">
            <w:pPr>
              <w:spacing w:after="60"/>
              <w:ind w:right="-108"/>
              <w:rPr>
                <w:rFonts w:cs="Arial"/>
                <w:sz w:val="19"/>
                <w:szCs w:val="19"/>
                <w:lang w:val="en-AU"/>
              </w:rPr>
            </w:pPr>
            <w:r w:rsidRPr="007673BD">
              <w:rPr>
                <w:rFonts w:cs="Arial"/>
                <w:sz w:val="19"/>
                <w:szCs w:val="19"/>
                <w:lang w:val="en-AU"/>
              </w:rPr>
              <w:t>Post-implementation reviews</w:t>
            </w:r>
          </w:p>
        </w:tc>
        <w:tc>
          <w:tcPr>
            <w:tcW w:w="992" w:type="dxa"/>
            <w:tcBorders>
              <w:top w:val="single" w:sz="4" w:space="0" w:color="DEEAF6" w:themeColor="accent1" w:themeTint="33"/>
            </w:tcBorders>
          </w:tcPr>
          <w:p w14:paraId="3C03107B" w14:textId="736CD2A8" w:rsidR="00337A52" w:rsidRPr="007673BD" w:rsidRDefault="00337A52" w:rsidP="00844472">
            <w:pPr>
              <w:keepNext/>
              <w:spacing w:after="60"/>
              <w:jc w:val="center"/>
              <w:rPr>
                <w:rFonts w:cs="Arial"/>
                <w:sz w:val="19"/>
                <w:szCs w:val="19"/>
                <w:lang w:val="en-AU"/>
              </w:rPr>
            </w:pPr>
            <w:r w:rsidRPr="007673BD">
              <w:rPr>
                <w:rFonts w:ascii="MS Gothic" w:eastAsia="MS Gothic" w:hAnsi="MS Gothic" w:cs="MS Gothic" w:hint="eastAsia"/>
                <w:sz w:val="19"/>
                <w:szCs w:val="19"/>
                <w:lang w:val="en-AU"/>
              </w:rPr>
              <w:t>✓</w:t>
            </w:r>
          </w:p>
        </w:tc>
        <w:tc>
          <w:tcPr>
            <w:tcW w:w="992" w:type="dxa"/>
            <w:tcBorders>
              <w:top w:val="single" w:sz="4" w:space="0" w:color="DEEAF6" w:themeColor="accent1" w:themeTint="33"/>
              <w:right w:val="single" w:sz="18" w:space="0" w:color="DEEAF6" w:themeColor="accent1" w:themeTint="33"/>
            </w:tcBorders>
          </w:tcPr>
          <w:p w14:paraId="2284BE9F" w14:textId="2C36590D" w:rsidR="00337A52" w:rsidRPr="007673BD" w:rsidRDefault="00337A52" w:rsidP="00844472">
            <w:pPr>
              <w:keepNext/>
              <w:spacing w:after="60"/>
              <w:ind w:left="14"/>
              <w:jc w:val="center"/>
              <w:rPr>
                <w:rFonts w:cs="Arial"/>
                <w:sz w:val="19"/>
                <w:szCs w:val="19"/>
                <w:lang w:val="en-AU"/>
              </w:rPr>
            </w:pPr>
          </w:p>
        </w:tc>
        <w:tc>
          <w:tcPr>
            <w:tcW w:w="992" w:type="dxa"/>
            <w:tcBorders>
              <w:top w:val="single" w:sz="4" w:space="0" w:color="DEEAF6" w:themeColor="accent1" w:themeTint="33"/>
              <w:left w:val="single" w:sz="18" w:space="0" w:color="DEEAF6" w:themeColor="accent1" w:themeTint="33"/>
            </w:tcBorders>
          </w:tcPr>
          <w:p w14:paraId="6B74F5AE" w14:textId="542E8916" w:rsidR="00337A52" w:rsidRPr="007673BD" w:rsidRDefault="00337A52" w:rsidP="00844472">
            <w:pPr>
              <w:keepNext/>
              <w:spacing w:after="60"/>
              <w:ind w:left="-7"/>
              <w:jc w:val="center"/>
              <w:rPr>
                <w:rFonts w:cs="Arial"/>
                <w:sz w:val="19"/>
                <w:szCs w:val="19"/>
                <w:lang w:val="en-AU"/>
              </w:rPr>
            </w:pPr>
          </w:p>
        </w:tc>
      </w:tr>
    </w:tbl>
    <w:p w14:paraId="6B74F5BD" w14:textId="515E1423" w:rsidR="004B7200" w:rsidRPr="007673BD" w:rsidRDefault="004B7200" w:rsidP="00411F87">
      <w:pPr>
        <w:pStyle w:val="NormalWeb"/>
        <w:numPr>
          <w:ilvl w:val="0"/>
          <w:numId w:val="6"/>
        </w:numPr>
        <w:shd w:val="clear" w:color="auto" w:fill="FFFFFF"/>
        <w:spacing w:before="120" w:beforeAutospacing="0" w:after="120" w:afterAutospacing="0"/>
        <w:rPr>
          <w:rFonts w:ascii="Arial" w:hAnsi="Arial" w:cs="Arial"/>
          <w:sz w:val="21"/>
          <w:szCs w:val="21"/>
        </w:rPr>
      </w:pPr>
      <w:r w:rsidRPr="007673BD">
        <w:rPr>
          <w:rFonts w:ascii="Arial" w:hAnsi="Arial" w:cs="Arial"/>
          <w:sz w:val="21"/>
          <w:szCs w:val="21"/>
        </w:rPr>
        <w:t>Administrative and other general overhead</w:t>
      </w:r>
      <w:r w:rsidR="00C077D5" w:rsidRPr="007673BD">
        <w:rPr>
          <w:rFonts w:ascii="Arial" w:hAnsi="Arial" w:cs="Arial"/>
          <w:sz w:val="21"/>
          <w:szCs w:val="21"/>
        </w:rPr>
        <w:t xml:space="preserve"> costs </w:t>
      </w:r>
      <w:r w:rsidRPr="007673BD">
        <w:rPr>
          <w:rFonts w:ascii="Arial" w:hAnsi="Arial" w:cs="Arial"/>
          <w:sz w:val="21"/>
          <w:szCs w:val="21"/>
        </w:rPr>
        <w:t xml:space="preserve">are usually expensed, unless the expenditure can be directly attributed to preparing the asset for use. In such cases, the costs can be capitalised as a component of the intangible asset. Prior to the commencement of the project, a work area </w:t>
      </w:r>
      <w:r w:rsidR="00C077D5" w:rsidRPr="007673BD">
        <w:rPr>
          <w:rFonts w:ascii="Arial" w:hAnsi="Arial" w:cs="Arial"/>
          <w:sz w:val="21"/>
          <w:szCs w:val="21"/>
        </w:rPr>
        <w:t>should</w:t>
      </w:r>
      <w:r w:rsidRPr="007673BD">
        <w:rPr>
          <w:rFonts w:ascii="Arial" w:hAnsi="Arial" w:cs="Arial"/>
          <w:sz w:val="21"/>
          <w:szCs w:val="21"/>
        </w:rPr>
        <w:t xml:space="preserve"> establish what costs could be directly attributable to the development of the asset</w:t>
      </w:r>
      <w:r w:rsidR="00C077D5" w:rsidRPr="007673BD">
        <w:rPr>
          <w:rFonts w:ascii="Arial" w:hAnsi="Arial" w:cs="Arial"/>
          <w:sz w:val="21"/>
          <w:szCs w:val="21"/>
        </w:rPr>
        <w:t>,</w:t>
      </w:r>
      <w:r w:rsidRPr="007673BD">
        <w:rPr>
          <w:rFonts w:ascii="Arial" w:hAnsi="Arial" w:cs="Arial"/>
          <w:sz w:val="21"/>
          <w:szCs w:val="21"/>
        </w:rPr>
        <w:t xml:space="preserve"> and determine the method(s) to reliably measur</w:t>
      </w:r>
      <w:r w:rsidR="00E460A8" w:rsidRPr="007673BD">
        <w:rPr>
          <w:rFonts w:ascii="Arial" w:hAnsi="Arial" w:cs="Arial"/>
          <w:sz w:val="21"/>
          <w:szCs w:val="21"/>
        </w:rPr>
        <w:t>e</w:t>
      </w:r>
      <w:r w:rsidRPr="007673BD">
        <w:rPr>
          <w:rFonts w:ascii="Arial" w:hAnsi="Arial" w:cs="Arial"/>
          <w:sz w:val="21"/>
          <w:szCs w:val="21"/>
        </w:rPr>
        <w:t xml:space="preserve"> such costs. Proposals to capitalise administrative and general overhead costs should be clearly detailed in the work area’s CMP submitted for approval, if these costs cannot be absorbed.</w:t>
      </w:r>
    </w:p>
    <w:p w14:paraId="6B74F5BE" w14:textId="6F881E2E" w:rsidR="004B7200" w:rsidRPr="007673BD" w:rsidRDefault="003C14A6" w:rsidP="00382A72">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fldChar w:fldCharType="begin"/>
      </w:r>
      <w:r w:rsidRPr="007673BD">
        <w:rPr>
          <w:rFonts w:ascii="Arial" w:hAnsi="Arial" w:cs="Arial"/>
          <w:sz w:val="21"/>
          <w:szCs w:val="21"/>
        </w:rPr>
        <w:instrText xml:space="preserve"> REF _Ref415473867 \h  \* MERGEFORMAT </w:instrText>
      </w:r>
      <w:r w:rsidRPr="007673BD">
        <w:rPr>
          <w:rFonts w:ascii="Arial" w:hAnsi="Arial" w:cs="Arial"/>
          <w:sz w:val="21"/>
          <w:szCs w:val="21"/>
        </w:rPr>
      </w:r>
      <w:r w:rsidRPr="007673BD">
        <w:rPr>
          <w:rFonts w:ascii="Arial" w:hAnsi="Arial" w:cs="Arial"/>
          <w:sz w:val="21"/>
          <w:szCs w:val="21"/>
        </w:rPr>
        <w:fldChar w:fldCharType="separate"/>
      </w:r>
      <w:r w:rsidR="00A1335C" w:rsidRPr="00A1335C">
        <w:rPr>
          <w:rFonts w:ascii="Arial" w:hAnsi="Arial" w:cs="Arial"/>
          <w:sz w:val="21"/>
          <w:szCs w:val="21"/>
        </w:rPr>
        <w:t xml:space="preserve">Table </w:t>
      </w:r>
      <w:r w:rsidR="00A1335C" w:rsidRPr="00A1335C">
        <w:rPr>
          <w:rFonts w:ascii="Arial" w:hAnsi="Arial" w:cs="Arial"/>
          <w:noProof/>
          <w:sz w:val="21"/>
          <w:szCs w:val="21"/>
        </w:rPr>
        <w:t>5</w:t>
      </w:r>
      <w:r w:rsidRPr="007673BD">
        <w:rPr>
          <w:rFonts w:ascii="Arial" w:hAnsi="Arial" w:cs="Arial"/>
          <w:sz w:val="21"/>
          <w:szCs w:val="21"/>
        </w:rPr>
        <w:fldChar w:fldCharType="end"/>
      </w:r>
      <w:r w:rsidRPr="007673BD">
        <w:rPr>
          <w:rFonts w:ascii="Arial" w:hAnsi="Arial" w:cs="Arial"/>
          <w:sz w:val="21"/>
          <w:szCs w:val="21"/>
        </w:rPr>
        <w:t xml:space="preserve"> </w:t>
      </w:r>
      <w:r w:rsidR="004B7200" w:rsidRPr="007673BD">
        <w:rPr>
          <w:rFonts w:ascii="Arial" w:hAnsi="Arial" w:cs="Arial"/>
          <w:sz w:val="21"/>
          <w:szCs w:val="21"/>
        </w:rPr>
        <w:t>below provides further detail of the nature of software development expenditure over the course of its development and release.</w:t>
      </w:r>
    </w:p>
    <w:p w14:paraId="6B74F5C0" w14:textId="0A50156F" w:rsidR="003C14A6" w:rsidRPr="00F41D76" w:rsidRDefault="003C14A6" w:rsidP="003C14A6">
      <w:pPr>
        <w:pStyle w:val="Caption"/>
        <w:keepNext/>
        <w:spacing w:after="0"/>
        <w:rPr>
          <w:rFonts w:cs="Arial"/>
        </w:rPr>
      </w:pPr>
      <w:bookmarkStart w:id="37" w:name="_Ref415473867"/>
      <w:r w:rsidRPr="00AC3A52">
        <w:rPr>
          <w:rFonts w:cs="Arial"/>
        </w:rPr>
        <w:lastRenderedPageBreak/>
        <w:t xml:space="preserve">Table </w:t>
      </w:r>
      <w:r w:rsidRPr="00F41D76">
        <w:rPr>
          <w:rFonts w:cs="Arial"/>
        </w:rPr>
        <w:fldChar w:fldCharType="begin"/>
      </w:r>
      <w:r w:rsidRPr="00AC3A52">
        <w:rPr>
          <w:rFonts w:cs="Arial"/>
        </w:rPr>
        <w:instrText xml:space="preserve"> SEQ Table \* ARABIC </w:instrText>
      </w:r>
      <w:r w:rsidRPr="00F41D76">
        <w:rPr>
          <w:rFonts w:cs="Arial"/>
        </w:rPr>
        <w:fldChar w:fldCharType="separate"/>
      </w:r>
      <w:r w:rsidR="00A1335C">
        <w:rPr>
          <w:rFonts w:cs="Arial"/>
          <w:noProof/>
        </w:rPr>
        <w:t>5</w:t>
      </w:r>
      <w:r w:rsidRPr="00F41D76">
        <w:rPr>
          <w:rFonts w:cs="Arial"/>
        </w:rPr>
        <w:fldChar w:fldCharType="end"/>
      </w:r>
      <w:bookmarkEnd w:id="37"/>
      <w:r w:rsidRPr="00F41D76">
        <w:rPr>
          <w:rFonts w:cs="Arial"/>
          <w:b w:val="0"/>
        </w:rPr>
        <w:t>: Software development expenditure recognition</w:t>
      </w:r>
    </w:p>
    <w:tbl>
      <w:tblPr>
        <w:tblStyle w:val="TableGrid"/>
        <w:tblW w:w="0" w:type="auto"/>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ayout w:type="fixed"/>
        <w:tblLook w:val="04A0" w:firstRow="1" w:lastRow="0" w:firstColumn="1" w:lastColumn="0" w:noHBand="0" w:noVBand="1"/>
        <w:tblCaption w:val="Software development expenditure recognition"/>
        <w:tblDescription w:val="A table for Software development expenditure recognition"/>
      </w:tblPr>
      <w:tblGrid>
        <w:gridCol w:w="1668"/>
        <w:gridCol w:w="4819"/>
        <w:gridCol w:w="1276"/>
        <w:gridCol w:w="1479"/>
      </w:tblGrid>
      <w:tr w:rsidR="00C04CF2" w:rsidRPr="007673BD" w14:paraId="6B74F5C5" w14:textId="77777777" w:rsidTr="00C73D48">
        <w:trPr>
          <w:tblHeader/>
        </w:trPr>
        <w:tc>
          <w:tcPr>
            <w:tcW w:w="1668" w:type="dxa"/>
            <w:shd w:val="clear" w:color="auto" w:fill="BDD6EE" w:themeFill="accent1" w:themeFillTint="66"/>
          </w:tcPr>
          <w:p w14:paraId="6B74F5C1" w14:textId="77777777" w:rsidR="004B7200" w:rsidRPr="007673BD" w:rsidRDefault="004B7200" w:rsidP="007673BD">
            <w:pPr>
              <w:spacing w:after="60"/>
              <w:rPr>
                <w:rFonts w:cs="Arial"/>
                <w:b/>
                <w:sz w:val="19"/>
                <w:szCs w:val="19"/>
                <w:lang w:val="en-AU"/>
              </w:rPr>
            </w:pPr>
            <w:r w:rsidRPr="007673BD">
              <w:rPr>
                <w:rFonts w:cs="Arial"/>
                <w:b/>
                <w:sz w:val="19"/>
                <w:szCs w:val="19"/>
                <w:lang w:val="en-AU"/>
              </w:rPr>
              <w:t>Stage</w:t>
            </w:r>
          </w:p>
        </w:tc>
        <w:tc>
          <w:tcPr>
            <w:tcW w:w="4819" w:type="dxa"/>
            <w:shd w:val="clear" w:color="auto" w:fill="BDD6EE" w:themeFill="accent1" w:themeFillTint="66"/>
          </w:tcPr>
          <w:p w14:paraId="6B74F5C2" w14:textId="77777777" w:rsidR="004B7200" w:rsidRPr="007673BD" w:rsidRDefault="004B7200" w:rsidP="007673BD">
            <w:pPr>
              <w:spacing w:after="60"/>
              <w:rPr>
                <w:rFonts w:cs="Arial"/>
                <w:b/>
                <w:sz w:val="19"/>
                <w:szCs w:val="19"/>
                <w:lang w:val="en-AU"/>
              </w:rPr>
            </w:pPr>
            <w:r w:rsidRPr="007673BD">
              <w:rPr>
                <w:rFonts w:cs="Arial"/>
                <w:b/>
                <w:sz w:val="19"/>
                <w:szCs w:val="19"/>
                <w:lang w:val="en-AU"/>
              </w:rPr>
              <w:t>Description</w:t>
            </w:r>
          </w:p>
        </w:tc>
        <w:tc>
          <w:tcPr>
            <w:tcW w:w="1276" w:type="dxa"/>
            <w:shd w:val="clear" w:color="auto" w:fill="BDD6EE" w:themeFill="accent1" w:themeFillTint="66"/>
          </w:tcPr>
          <w:p w14:paraId="6B74F5C3" w14:textId="77777777" w:rsidR="004B7200" w:rsidRPr="007673BD" w:rsidRDefault="004B7200" w:rsidP="007673BD">
            <w:pPr>
              <w:spacing w:after="60"/>
              <w:rPr>
                <w:rFonts w:cs="Arial"/>
                <w:b/>
                <w:sz w:val="19"/>
                <w:szCs w:val="19"/>
                <w:lang w:val="en-AU"/>
              </w:rPr>
            </w:pPr>
            <w:r w:rsidRPr="007673BD">
              <w:rPr>
                <w:rFonts w:cs="Arial"/>
                <w:b/>
                <w:sz w:val="19"/>
                <w:szCs w:val="19"/>
                <w:lang w:val="en-AU"/>
              </w:rPr>
              <w:t>Capital or Expense</w:t>
            </w:r>
          </w:p>
        </w:tc>
        <w:tc>
          <w:tcPr>
            <w:tcW w:w="1479" w:type="dxa"/>
            <w:shd w:val="clear" w:color="auto" w:fill="BDD6EE" w:themeFill="accent1" w:themeFillTint="66"/>
          </w:tcPr>
          <w:p w14:paraId="6B74F5C4" w14:textId="77777777" w:rsidR="004B7200" w:rsidRPr="007673BD" w:rsidRDefault="004B7200" w:rsidP="007673BD">
            <w:pPr>
              <w:spacing w:after="60"/>
              <w:rPr>
                <w:rFonts w:cs="Arial"/>
                <w:b/>
                <w:sz w:val="19"/>
                <w:szCs w:val="19"/>
                <w:lang w:val="en-AU"/>
              </w:rPr>
            </w:pPr>
            <w:r w:rsidRPr="007673BD">
              <w:rPr>
                <w:rFonts w:cs="Arial"/>
                <w:b/>
                <w:sz w:val="19"/>
                <w:szCs w:val="19"/>
                <w:lang w:val="en-AU"/>
              </w:rPr>
              <w:t>AASB Ref</w:t>
            </w:r>
          </w:p>
        </w:tc>
      </w:tr>
      <w:tr w:rsidR="004B7200" w:rsidRPr="007673BD" w14:paraId="6B74F5CF" w14:textId="77777777" w:rsidTr="00C04CF2">
        <w:trPr>
          <w:trHeight w:val="880"/>
        </w:trPr>
        <w:tc>
          <w:tcPr>
            <w:tcW w:w="1668" w:type="dxa"/>
          </w:tcPr>
          <w:p w14:paraId="6B74F5C6" w14:textId="77777777" w:rsidR="004B7200" w:rsidRPr="007673BD" w:rsidRDefault="004B7200" w:rsidP="007673BD">
            <w:pPr>
              <w:spacing w:after="60"/>
              <w:rPr>
                <w:rFonts w:cs="Arial"/>
                <w:sz w:val="19"/>
                <w:szCs w:val="19"/>
                <w:lang w:val="en-AU"/>
              </w:rPr>
            </w:pPr>
            <w:r w:rsidRPr="007673BD">
              <w:rPr>
                <w:rFonts w:cs="Arial"/>
                <w:sz w:val="19"/>
                <w:szCs w:val="19"/>
                <w:lang w:val="en-AU"/>
              </w:rPr>
              <w:t>General</w:t>
            </w:r>
          </w:p>
        </w:tc>
        <w:tc>
          <w:tcPr>
            <w:tcW w:w="4819" w:type="dxa"/>
          </w:tcPr>
          <w:p w14:paraId="6B74F5C7" w14:textId="77777777" w:rsidR="004B7200" w:rsidRPr="007673BD" w:rsidRDefault="004B7200" w:rsidP="007673BD">
            <w:pPr>
              <w:pStyle w:val="NormalWeb"/>
              <w:spacing w:before="0" w:beforeAutospacing="0" w:after="60" w:afterAutospacing="0"/>
              <w:rPr>
                <w:rFonts w:ascii="Arial" w:hAnsi="Arial" w:cs="Arial"/>
                <w:b/>
                <w:bCs/>
                <w:sz w:val="19"/>
                <w:szCs w:val="19"/>
              </w:rPr>
            </w:pPr>
            <w:bookmarkStart w:id="38" w:name="OLE_LINK1"/>
            <w:r w:rsidRPr="007673BD">
              <w:rPr>
                <w:rFonts w:ascii="Arial" w:hAnsi="Arial" w:cs="Arial"/>
                <w:b/>
                <w:bCs/>
                <w:sz w:val="19"/>
                <w:szCs w:val="19"/>
              </w:rPr>
              <w:t>Non-</w:t>
            </w:r>
            <w:r w:rsidR="00C73D48" w:rsidRPr="007673BD">
              <w:rPr>
                <w:rFonts w:ascii="Arial" w:hAnsi="Arial" w:cs="Arial"/>
                <w:b/>
                <w:bCs/>
                <w:sz w:val="19"/>
                <w:szCs w:val="19"/>
              </w:rPr>
              <w:t>project specific a</w:t>
            </w:r>
            <w:r w:rsidRPr="007673BD">
              <w:rPr>
                <w:rFonts w:ascii="Arial" w:hAnsi="Arial" w:cs="Arial"/>
                <w:b/>
                <w:bCs/>
                <w:sz w:val="19"/>
                <w:szCs w:val="19"/>
              </w:rPr>
              <w:t>llocation</w:t>
            </w:r>
            <w:bookmarkEnd w:id="38"/>
          </w:p>
          <w:p w14:paraId="6B74F5C8"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Non-productive administrative time (for example filling out flex sheets, team meetings etc.)</w:t>
            </w:r>
          </w:p>
          <w:p w14:paraId="6B74F5C9"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Leave and public holidays.</w:t>
            </w:r>
          </w:p>
          <w:p w14:paraId="6B74F5CA"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Other overheads (rent, etc.)</w:t>
            </w:r>
          </w:p>
        </w:tc>
        <w:tc>
          <w:tcPr>
            <w:tcW w:w="1276" w:type="dxa"/>
          </w:tcPr>
          <w:p w14:paraId="6B74F5CB"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5CC" w14:textId="77777777" w:rsidR="004B7200" w:rsidRPr="007673BD" w:rsidRDefault="004B7200" w:rsidP="007673BD">
            <w:pPr>
              <w:spacing w:after="60"/>
              <w:rPr>
                <w:rFonts w:cs="Arial"/>
                <w:sz w:val="19"/>
                <w:szCs w:val="19"/>
                <w:lang w:val="en-AU"/>
              </w:rPr>
            </w:pPr>
            <w:r w:rsidRPr="007673BD">
              <w:rPr>
                <w:rFonts w:cs="Arial"/>
                <w:sz w:val="19"/>
                <w:szCs w:val="19"/>
                <w:lang w:val="en-AU"/>
              </w:rPr>
              <w:t>AASB 138.29</w:t>
            </w:r>
          </w:p>
          <w:p w14:paraId="6B74F5CD" w14:textId="77777777" w:rsidR="004B7200" w:rsidRPr="007673BD" w:rsidRDefault="004B7200" w:rsidP="007673BD">
            <w:pPr>
              <w:spacing w:after="60"/>
              <w:rPr>
                <w:rFonts w:cs="Arial"/>
                <w:sz w:val="19"/>
                <w:szCs w:val="19"/>
                <w:lang w:val="en-AU"/>
              </w:rPr>
            </w:pPr>
            <w:r w:rsidRPr="007673BD">
              <w:rPr>
                <w:rFonts w:cs="Arial"/>
                <w:sz w:val="19"/>
                <w:szCs w:val="19"/>
                <w:lang w:val="en-AU"/>
              </w:rPr>
              <w:t>AASB 116.19</w:t>
            </w:r>
          </w:p>
          <w:p w14:paraId="6B74F5CE" w14:textId="77777777" w:rsidR="004B7200" w:rsidRPr="007673BD" w:rsidRDefault="004B7200" w:rsidP="007673BD">
            <w:pPr>
              <w:spacing w:after="60"/>
              <w:rPr>
                <w:rFonts w:cs="Arial"/>
                <w:sz w:val="19"/>
                <w:szCs w:val="19"/>
                <w:lang w:val="en-AU"/>
              </w:rPr>
            </w:pPr>
          </w:p>
        </w:tc>
      </w:tr>
      <w:tr w:rsidR="004B7200" w:rsidRPr="007673BD" w14:paraId="6B74F5D8" w14:textId="77777777" w:rsidTr="00C04CF2">
        <w:tc>
          <w:tcPr>
            <w:tcW w:w="1668" w:type="dxa"/>
          </w:tcPr>
          <w:p w14:paraId="6B74F5D0" w14:textId="77777777" w:rsidR="004B7200" w:rsidRPr="007673BD" w:rsidRDefault="004B7200" w:rsidP="007673BD">
            <w:pPr>
              <w:spacing w:after="60"/>
              <w:rPr>
                <w:rFonts w:cs="Arial"/>
                <w:sz w:val="19"/>
                <w:szCs w:val="19"/>
                <w:lang w:val="en-AU"/>
              </w:rPr>
            </w:pPr>
            <w:r w:rsidRPr="007673BD">
              <w:rPr>
                <w:rFonts w:cs="Arial"/>
                <w:sz w:val="19"/>
                <w:szCs w:val="19"/>
                <w:lang w:val="en-AU"/>
              </w:rPr>
              <w:t>General</w:t>
            </w:r>
          </w:p>
        </w:tc>
        <w:tc>
          <w:tcPr>
            <w:tcW w:w="4819" w:type="dxa"/>
          </w:tcPr>
          <w:p w14:paraId="6B74F5D1"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 xml:space="preserve">Project </w:t>
            </w:r>
            <w:r w:rsidR="00C73D48" w:rsidRPr="007673BD">
              <w:rPr>
                <w:rFonts w:ascii="Arial" w:hAnsi="Arial" w:cs="Arial"/>
                <w:b/>
                <w:bCs/>
                <w:sz w:val="19"/>
                <w:szCs w:val="19"/>
              </w:rPr>
              <w:t>m</w:t>
            </w:r>
            <w:r w:rsidRPr="007673BD">
              <w:rPr>
                <w:rFonts w:ascii="Arial" w:hAnsi="Arial" w:cs="Arial"/>
                <w:b/>
                <w:bCs/>
                <w:sz w:val="19"/>
                <w:szCs w:val="19"/>
              </w:rPr>
              <w:t>anagement (research through to project acceptance)</w:t>
            </w:r>
          </w:p>
          <w:p w14:paraId="6B74F5D2"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Project planning</w:t>
            </w:r>
          </w:p>
          <w:p w14:paraId="6B74F5D3"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Project co-ordination</w:t>
            </w:r>
          </w:p>
          <w:p w14:paraId="6B74F5D4"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Project management</w:t>
            </w:r>
          </w:p>
          <w:p w14:paraId="6B74F5D5"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 xml:space="preserve">Scoping and planning for the project </w:t>
            </w:r>
          </w:p>
        </w:tc>
        <w:tc>
          <w:tcPr>
            <w:tcW w:w="1276" w:type="dxa"/>
          </w:tcPr>
          <w:p w14:paraId="6B74F5D6"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5D7" w14:textId="77777777" w:rsidR="004B7200" w:rsidRPr="007673BD" w:rsidRDefault="004B7200" w:rsidP="007673BD">
            <w:pPr>
              <w:spacing w:after="60"/>
              <w:rPr>
                <w:rFonts w:cs="Arial"/>
                <w:sz w:val="19"/>
                <w:szCs w:val="19"/>
                <w:lang w:val="en-AU"/>
              </w:rPr>
            </w:pPr>
            <w:r w:rsidRPr="007673BD">
              <w:rPr>
                <w:rFonts w:cs="Arial"/>
                <w:sz w:val="19"/>
                <w:szCs w:val="19"/>
                <w:lang w:val="en-AU"/>
              </w:rPr>
              <w:t>AASB 138.54</w:t>
            </w:r>
          </w:p>
        </w:tc>
      </w:tr>
      <w:tr w:rsidR="004B7200" w:rsidRPr="007673BD" w14:paraId="6B74F5E4" w14:textId="77777777" w:rsidTr="00C04CF2">
        <w:tc>
          <w:tcPr>
            <w:tcW w:w="1668" w:type="dxa"/>
          </w:tcPr>
          <w:p w14:paraId="6B74F5D9" w14:textId="77777777" w:rsidR="004B7200" w:rsidRPr="007673BD" w:rsidRDefault="004B7200" w:rsidP="007673BD">
            <w:pPr>
              <w:spacing w:after="60"/>
              <w:rPr>
                <w:rFonts w:cs="Arial"/>
                <w:sz w:val="19"/>
                <w:szCs w:val="19"/>
                <w:lang w:val="en-AU"/>
              </w:rPr>
            </w:pPr>
            <w:r w:rsidRPr="007673BD">
              <w:rPr>
                <w:rFonts w:cs="Arial"/>
                <w:sz w:val="19"/>
                <w:szCs w:val="19"/>
                <w:lang w:val="en-AU"/>
              </w:rPr>
              <w:t>Research</w:t>
            </w:r>
          </w:p>
        </w:tc>
        <w:tc>
          <w:tcPr>
            <w:tcW w:w="4819" w:type="dxa"/>
          </w:tcPr>
          <w:p w14:paraId="6B74F5DA"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Development of business case (until approval has been given this is not a project)</w:t>
            </w:r>
          </w:p>
          <w:p w14:paraId="6B74F5DB"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Requirements analysis (f</w:t>
            </w:r>
            <w:r w:rsidR="004B7200" w:rsidRPr="007673BD">
              <w:rPr>
                <w:rFonts w:ascii="Arial" w:hAnsi="Arial" w:cs="Arial"/>
                <w:sz w:val="19"/>
                <w:szCs w:val="19"/>
              </w:rPr>
              <w:t xml:space="preserve">easibility and </w:t>
            </w:r>
            <w:r w:rsidRPr="007673BD">
              <w:rPr>
                <w:rFonts w:ascii="Arial" w:hAnsi="Arial" w:cs="Arial"/>
                <w:sz w:val="19"/>
                <w:szCs w:val="19"/>
              </w:rPr>
              <w:t>p</w:t>
            </w:r>
            <w:r w:rsidR="004B7200" w:rsidRPr="007673BD">
              <w:rPr>
                <w:rFonts w:ascii="Arial" w:hAnsi="Arial" w:cs="Arial"/>
                <w:sz w:val="19"/>
                <w:szCs w:val="19"/>
              </w:rPr>
              <w:t>ilot)</w:t>
            </w:r>
          </w:p>
          <w:p w14:paraId="6B74F5DC"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Change and communications management activities</w:t>
            </w:r>
          </w:p>
          <w:p w14:paraId="6B74F5DD"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Business r</w:t>
            </w:r>
            <w:r w:rsidR="004B7200" w:rsidRPr="007673BD">
              <w:rPr>
                <w:rFonts w:ascii="Arial" w:hAnsi="Arial" w:cs="Arial"/>
                <w:sz w:val="19"/>
                <w:szCs w:val="19"/>
              </w:rPr>
              <w:t>equirements and functional specifications</w:t>
            </w:r>
          </w:p>
          <w:p w14:paraId="6B74F5DE"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Scoping - The process of defining the scope of exactly what tasks the system is going to be required to perform.</w:t>
            </w:r>
          </w:p>
          <w:p w14:paraId="6B74F5DF"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Quality assurance and r</w:t>
            </w:r>
            <w:r w:rsidR="004B7200" w:rsidRPr="007673BD">
              <w:rPr>
                <w:rFonts w:ascii="Arial" w:hAnsi="Arial" w:cs="Arial"/>
                <w:sz w:val="19"/>
                <w:szCs w:val="19"/>
              </w:rPr>
              <w:t>eview</w:t>
            </w:r>
          </w:p>
        </w:tc>
        <w:tc>
          <w:tcPr>
            <w:tcW w:w="1276" w:type="dxa"/>
          </w:tcPr>
          <w:p w14:paraId="6B74F5E0"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5E1" w14:textId="77777777" w:rsidR="004B7200" w:rsidRPr="007673BD" w:rsidRDefault="004B7200" w:rsidP="007673BD">
            <w:pPr>
              <w:spacing w:after="60"/>
              <w:rPr>
                <w:rFonts w:cs="Arial"/>
                <w:sz w:val="19"/>
                <w:szCs w:val="19"/>
                <w:lang w:val="en-AU"/>
              </w:rPr>
            </w:pPr>
            <w:r w:rsidRPr="007673BD">
              <w:rPr>
                <w:rFonts w:cs="Arial"/>
                <w:sz w:val="19"/>
                <w:szCs w:val="19"/>
                <w:lang w:val="en-AU"/>
              </w:rPr>
              <w:t>AASB 116.21</w:t>
            </w:r>
          </w:p>
          <w:p w14:paraId="6B74F5E2" w14:textId="77777777" w:rsidR="004B7200" w:rsidRPr="007673BD" w:rsidRDefault="004B7200" w:rsidP="007673BD">
            <w:pPr>
              <w:spacing w:after="60"/>
              <w:rPr>
                <w:rFonts w:cs="Arial"/>
                <w:sz w:val="19"/>
                <w:szCs w:val="19"/>
                <w:lang w:val="en-AU"/>
              </w:rPr>
            </w:pPr>
            <w:r w:rsidRPr="007673BD">
              <w:rPr>
                <w:rFonts w:cs="Arial"/>
                <w:sz w:val="19"/>
                <w:szCs w:val="19"/>
                <w:lang w:val="en-AU"/>
              </w:rPr>
              <w:t>AASB 138.29</w:t>
            </w:r>
          </w:p>
          <w:p w14:paraId="6B74F5E3" w14:textId="77777777" w:rsidR="004B7200" w:rsidRPr="007673BD" w:rsidRDefault="004B7200" w:rsidP="007673BD">
            <w:pPr>
              <w:spacing w:after="60"/>
              <w:rPr>
                <w:rFonts w:cs="Arial"/>
                <w:sz w:val="19"/>
                <w:szCs w:val="19"/>
                <w:lang w:val="en-AU"/>
              </w:rPr>
            </w:pPr>
            <w:r w:rsidRPr="007673BD">
              <w:rPr>
                <w:rFonts w:cs="Arial"/>
                <w:sz w:val="19"/>
                <w:szCs w:val="19"/>
                <w:lang w:val="en-AU"/>
              </w:rPr>
              <w:t>AASB 138.54</w:t>
            </w:r>
          </w:p>
        </w:tc>
      </w:tr>
      <w:tr w:rsidR="004B7200" w:rsidRPr="007673BD" w14:paraId="6B74F5EE" w14:textId="77777777" w:rsidTr="00C04CF2">
        <w:tc>
          <w:tcPr>
            <w:tcW w:w="1668" w:type="dxa"/>
          </w:tcPr>
          <w:p w14:paraId="6B74F5E5" w14:textId="77777777" w:rsidR="004B7200" w:rsidRPr="007673BD" w:rsidRDefault="004B7200" w:rsidP="007673BD">
            <w:pPr>
              <w:spacing w:after="60"/>
              <w:rPr>
                <w:rFonts w:cs="Arial"/>
                <w:sz w:val="19"/>
                <w:szCs w:val="19"/>
                <w:lang w:val="en-AU"/>
              </w:rPr>
            </w:pPr>
            <w:r w:rsidRPr="007673BD">
              <w:rPr>
                <w:rFonts w:cs="Arial"/>
                <w:sz w:val="19"/>
                <w:szCs w:val="19"/>
                <w:lang w:val="en-AU"/>
              </w:rPr>
              <w:t>Development</w:t>
            </w:r>
          </w:p>
        </w:tc>
        <w:tc>
          <w:tcPr>
            <w:tcW w:w="4819" w:type="dxa"/>
          </w:tcPr>
          <w:p w14:paraId="6B74F5E6"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Design s</w:t>
            </w:r>
            <w:r w:rsidR="004B7200" w:rsidRPr="007673BD">
              <w:rPr>
                <w:rFonts w:ascii="Arial" w:hAnsi="Arial" w:cs="Arial"/>
                <w:b/>
                <w:bCs/>
                <w:sz w:val="19"/>
                <w:szCs w:val="19"/>
              </w:rPr>
              <w:t>pecification (Applications Development Stage)</w:t>
            </w:r>
          </w:p>
          <w:p w14:paraId="6B74F5E7"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 xml:space="preserve">Design - Creation of the </w:t>
            </w:r>
            <w:r w:rsidR="00C73D48" w:rsidRPr="007673BD">
              <w:rPr>
                <w:rFonts w:ascii="Arial" w:hAnsi="Arial" w:cs="Arial"/>
                <w:sz w:val="19"/>
                <w:szCs w:val="19"/>
              </w:rPr>
              <w:t>design s</w:t>
            </w:r>
            <w:r w:rsidRPr="007673BD">
              <w:rPr>
                <w:rFonts w:ascii="Arial" w:hAnsi="Arial" w:cs="Arial"/>
                <w:sz w:val="19"/>
                <w:szCs w:val="19"/>
              </w:rPr>
              <w:t>pecification</w:t>
            </w:r>
          </w:p>
          <w:p w14:paraId="6B74F5E8"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Prototyping and piloting to test feasibility prior to developing final system to be utilised</w:t>
            </w:r>
          </w:p>
          <w:p w14:paraId="6B74F5E9"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 xml:space="preserve">Quality </w:t>
            </w:r>
            <w:r w:rsidR="00C73D48" w:rsidRPr="007673BD">
              <w:rPr>
                <w:rFonts w:ascii="Arial" w:hAnsi="Arial" w:cs="Arial"/>
                <w:sz w:val="19"/>
                <w:szCs w:val="19"/>
              </w:rPr>
              <w:t>a</w:t>
            </w:r>
            <w:r w:rsidRPr="007673BD">
              <w:rPr>
                <w:rFonts w:ascii="Arial" w:hAnsi="Arial" w:cs="Arial"/>
                <w:sz w:val="19"/>
                <w:szCs w:val="19"/>
              </w:rPr>
              <w:t xml:space="preserve">ssurance and </w:t>
            </w:r>
            <w:r w:rsidR="00C73D48" w:rsidRPr="007673BD">
              <w:rPr>
                <w:rFonts w:ascii="Arial" w:hAnsi="Arial" w:cs="Arial"/>
                <w:sz w:val="19"/>
                <w:szCs w:val="19"/>
              </w:rPr>
              <w:t>r</w:t>
            </w:r>
            <w:r w:rsidRPr="007673BD">
              <w:rPr>
                <w:rFonts w:ascii="Arial" w:hAnsi="Arial" w:cs="Arial"/>
                <w:sz w:val="19"/>
                <w:szCs w:val="19"/>
              </w:rPr>
              <w:t>eview</w:t>
            </w:r>
          </w:p>
          <w:p w14:paraId="6B74F5EA" w14:textId="3C62C238"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 xml:space="preserve">Test </w:t>
            </w:r>
            <w:r w:rsidR="00C73D48" w:rsidRPr="007673BD">
              <w:rPr>
                <w:rFonts w:ascii="Arial" w:hAnsi="Arial" w:cs="Arial"/>
                <w:sz w:val="19"/>
                <w:szCs w:val="19"/>
              </w:rPr>
              <w:t>p</w:t>
            </w:r>
            <w:r w:rsidRPr="007673BD">
              <w:rPr>
                <w:rFonts w:ascii="Arial" w:hAnsi="Arial" w:cs="Arial"/>
                <w:sz w:val="19"/>
                <w:szCs w:val="19"/>
              </w:rPr>
              <w:t>lanning - The process of planning a regime whereby the functionality and accuracy of that which is to be tested can be assessed to the fullest extent possible with the resources available.</w:t>
            </w:r>
            <w:r w:rsidR="00337A52" w:rsidRPr="007673BD">
              <w:rPr>
                <w:rFonts w:ascii="Arial" w:hAnsi="Arial" w:cs="Arial"/>
                <w:sz w:val="19"/>
                <w:szCs w:val="19"/>
              </w:rPr>
              <w:br/>
            </w:r>
          </w:p>
        </w:tc>
        <w:tc>
          <w:tcPr>
            <w:tcW w:w="1276" w:type="dxa"/>
          </w:tcPr>
          <w:p w14:paraId="6B74F5EB" w14:textId="77777777" w:rsidR="004B7200" w:rsidRPr="007673BD" w:rsidRDefault="004B7200" w:rsidP="007673BD">
            <w:pPr>
              <w:spacing w:after="60"/>
              <w:rPr>
                <w:rFonts w:cs="Arial"/>
                <w:sz w:val="19"/>
                <w:szCs w:val="19"/>
                <w:lang w:val="en-AU"/>
              </w:rPr>
            </w:pPr>
            <w:r w:rsidRPr="007673BD">
              <w:rPr>
                <w:rFonts w:cs="Arial"/>
                <w:sz w:val="19"/>
                <w:szCs w:val="19"/>
                <w:lang w:val="en-AU"/>
              </w:rPr>
              <w:t>Capital</w:t>
            </w:r>
          </w:p>
        </w:tc>
        <w:tc>
          <w:tcPr>
            <w:tcW w:w="1479" w:type="dxa"/>
          </w:tcPr>
          <w:p w14:paraId="6B74F5EC" w14:textId="77777777" w:rsidR="004B7200" w:rsidRPr="007673BD" w:rsidRDefault="004B7200" w:rsidP="007673BD">
            <w:pPr>
              <w:spacing w:after="60"/>
              <w:rPr>
                <w:rFonts w:cs="Arial"/>
                <w:sz w:val="19"/>
                <w:szCs w:val="19"/>
                <w:lang w:val="en-AU"/>
              </w:rPr>
            </w:pPr>
            <w:r w:rsidRPr="007673BD">
              <w:rPr>
                <w:rFonts w:cs="Arial"/>
                <w:sz w:val="19"/>
                <w:szCs w:val="19"/>
                <w:lang w:val="en-AU"/>
              </w:rPr>
              <w:t>AASB 116.17</w:t>
            </w:r>
          </w:p>
          <w:p w14:paraId="6B74F5ED" w14:textId="77777777" w:rsidR="004B7200" w:rsidRPr="007673BD" w:rsidRDefault="004B7200" w:rsidP="007673BD">
            <w:pPr>
              <w:spacing w:after="60"/>
              <w:rPr>
                <w:rFonts w:cs="Arial"/>
                <w:sz w:val="19"/>
                <w:szCs w:val="19"/>
                <w:lang w:val="en-AU"/>
              </w:rPr>
            </w:pPr>
            <w:r w:rsidRPr="007673BD">
              <w:rPr>
                <w:rFonts w:cs="Arial"/>
                <w:sz w:val="19"/>
                <w:szCs w:val="19"/>
                <w:lang w:val="en-AU"/>
              </w:rPr>
              <w:t>AASB 138.57</w:t>
            </w:r>
          </w:p>
        </w:tc>
      </w:tr>
      <w:tr w:rsidR="004B7200" w:rsidRPr="007673BD" w14:paraId="6B74F5FA" w14:textId="77777777" w:rsidTr="00C04CF2">
        <w:tc>
          <w:tcPr>
            <w:tcW w:w="1668" w:type="dxa"/>
          </w:tcPr>
          <w:p w14:paraId="6B74F5EF" w14:textId="77777777" w:rsidR="004B7200" w:rsidRPr="007673BD" w:rsidRDefault="004B7200" w:rsidP="007673BD">
            <w:pPr>
              <w:spacing w:after="60"/>
              <w:rPr>
                <w:rFonts w:cs="Arial"/>
                <w:sz w:val="19"/>
                <w:szCs w:val="19"/>
                <w:lang w:val="en-AU"/>
              </w:rPr>
            </w:pPr>
            <w:r w:rsidRPr="007673BD">
              <w:rPr>
                <w:rFonts w:cs="Arial"/>
                <w:sz w:val="19"/>
                <w:szCs w:val="19"/>
                <w:lang w:val="en-AU"/>
              </w:rPr>
              <w:t>Development</w:t>
            </w:r>
          </w:p>
        </w:tc>
        <w:tc>
          <w:tcPr>
            <w:tcW w:w="4819" w:type="dxa"/>
          </w:tcPr>
          <w:p w14:paraId="6B74F5F0"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Building and t</w:t>
            </w:r>
            <w:r w:rsidR="004B7200" w:rsidRPr="007673BD">
              <w:rPr>
                <w:rFonts w:ascii="Arial" w:hAnsi="Arial" w:cs="Arial"/>
                <w:b/>
                <w:bCs/>
                <w:sz w:val="19"/>
                <w:szCs w:val="19"/>
              </w:rPr>
              <w:t>esting software</w:t>
            </w:r>
          </w:p>
          <w:p w14:paraId="6B74F5F1"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 xml:space="preserve">Using the </w:t>
            </w:r>
            <w:r w:rsidR="00C73D48" w:rsidRPr="007673BD">
              <w:rPr>
                <w:rFonts w:ascii="Arial" w:hAnsi="Arial" w:cs="Arial"/>
                <w:sz w:val="19"/>
                <w:szCs w:val="19"/>
              </w:rPr>
              <w:t>d</w:t>
            </w:r>
            <w:r w:rsidRPr="007673BD">
              <w:rPr>
                <w:rFonts w:ascii="Arial" w:hAnsi="Arial" w:cs="Arial"/>
                <w:sz w:val="19"/>
                <w:szCs w:val="19"/>
              </w:rPr>
              <w:t xml:space="preserve">esign and </w:t>
            </w:r>
            <w:r w:rsidR="00C73D48" w:rsidRPr="007673BD">
              <w:rPr>
                <w:rFonts w:ascii="Arial" w:hAnsi="Arial" w:cs="Arial"/>
                <w:sz w:val="19"/>
                <w:szCs w:val="19"/>
              </w:rPr>
              <w:t>a</w:t>
            </w:r>
            <w:r w:rsidRPr="007673BD">
              <w:rPr>
                <w:rFonts w:ascii="Arial" w:hAnsi="Arial" w:cs="Arial"/>
                <w:sz w:val="19"/>
                <w:szCs w:val="19"/>
              </w:rPr>
              <w:t>rchitecture</w:t>
            </w:r>
          </w:p>
          <w:p w14:paraId="6B74F5F2"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Creating the software</w:t>
            </w:r>
          </w:p>
          <w:p w14:paraId="6B74F5F3"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Documenting the building process</w:t>
            </w:r>
          </w:p>
          <w:p w14:paraId="6B74F5F4"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Any directly attributable tendering/procurement costs</w:t>
            </w:r>
          </w:p>
          <w:p w14:paraId="6B74F5F5"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Test (including costs of data migration for specific test data only used for system testing)</w:t>
            </w:r>
          </w:p>
        </w:tc>
        <w:tc>
          <w:tcPr>
            <w:tcW w:w="1276" w:type="dxa"/>
          </w:tcPr>
          <w:p w14:paraId="6B74F5F6" w14:textId="77777777" w:rsidR="004B7200" w:rsidRPr="007673BD" w:rsidRDefault="004B7200" w:rsidP="007673BD">
            <w:pPr>
              <w:spacing w:after="60"/>
              <w:rPr>
                <w:rFonts w:cs="Arial"/>
                <w:sz w:val="19"/>
                <w:szCs w:val="19"/>
                <w:lang w:val="en-AU"/>
              </w:rPr>
            </w:pPr>
            <w:r w:rsidRPr="007673BD">
              <w:rPr>
                <w:rFonts w:cs="Arial"/>
                <w:sz w:val="19"/>
                <w:szCs w:val="19"/>
                <w:lang w:val="en-AU"/>
              </w:rPr>
              <w:t>Capital</w:t>
            </w:r>
          </w:p>
        </w:tc>
        <w:tc>
          <w:tcPr>
            <w:tcW w:w="1479" w:type="dxa"/>
          </w:tcPr>
          <w:p w14:paraId="6B74F5F7"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AASB 116.17</w:t>
            </w:r>
          </w:p>
          <w:p w14:paraId="6B74F5F8"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AASB.138.57</w:t>
            </w:r>
          </w:p>
          <w:p w14:paraId="6B74F5F9" w14:textId="77777777" w:rsidR="004B7200" w:rsidRPr="007673BD" w:rsidRDefault="004B7200" w:rsidP="007673BD">
            <w:pPr>
              <w:spacing w:after="60"/>
              <w:rPr>
                <w:rFonts w:cs="Arial"/>
                <w:sz w:val="19"/>
                <w:szCs w:val="19"/>
                <w:lang w:val="en-AU"/>
              </w:rPr>
            </w:pPr>
            <w:r w:rsidRPr="007673BD">
              <w:rPr>
                <w:rFonts w:cs="Arial"/>
                <w:sz w:val="19"/>
                <w:szCs w:val="19"/>
                <w:lang w:val="en-AU"/>
              </w:rPr>
              <w:t>AASB.116.16</w:t>
            </w:r>
          </w:p>
        </w:tc>
      </w:tr>
      <w:tr w:rsidR="004B7200" w:rsidRPr="007673BD" w14:paraId="6B74F602" w14:textId="77777777" w:rsidTr="00C04CF2">
        <w:tc>
          <w:tcPr>
            <w:tcW w:w="1668" w:type="dxa"/>
          </w:tcPr>
          <w:p w14:paraId="6B74F5FB" w14:textId="77777777" w:rsidR="004B7200" w:rsidRPr="007673BD" w:rsidRDefault="004B7200" w:rsidP="007673BD">
            <w:pPr>
              <w:spacing w:after="60"/>
              <w:rPr>
                <w:rFonts w:cs="Arial"/>
                <w:sz w:val="19"/>
                <w:szCs w:val="19"/>
                <w:lang w:val="en-AU"/>
              </w:rPr>
            </w:pPr>
            <w:r w:rsidRPr="007673BD">
              <w:rPr>
                <w:rFonts w:cs="Arial"/>
                <w:sz w:val="19"/>
                <w:szCs w:val="19"/>
                <w:lang w:val="en-AU"/>
              </w:rPr>
              <w:t>General</w:t>
            </w:r>
          </w:p>
        </w:tc>
        <w:tc>
          <w:tcPr>
            <w:tcW w:w="4819" w:type="dxa"/>
          </w:tcPr>
          <w:p w14:paraId="6B74F5FC"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 xml:space="preserve">Directly </w:t>
            </w:r>
            <w:r w:rsidR="00C73D48" w:rsidRPr="007673BD">
              <w:rPr>
                <w:rFonts w:ascii="Arial" w:hAnsi="Arial" w:cs="Arial"/>
                <w:b/>
                <w:bCs/>
                <w:sz w:val="19"/>
                <w:szCs w:val="19"/>
              </w:rPr>
              <w:t>attributable project management c</w:t>
            </w:r>
            <w:r w:rsidRPr="007673BD">
              <w:rPr>
                <w:rFonts w:ascii="Arial" w:hAnsi="Arial" w:cs="Arial"/>
                <w:b/>
                <w:bCs/>
                <w:sz w:val="19"/>
                <w:szCs w:val="19"/>
              </w:rPr>
              <w:t>osts (from project acceptance, development through to completion)</w:t>
            </w:r>
          </w:p>
          <w:p w14:paraId="6B74F5FD"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Project co-ordination</w:t>
            </w:r>
          </w:p>
          <w:p w14:paraId="6B74F5FE" w14:textId="77777777" w:rsidR="004B7200" w:rsidRPr="007673BD" w:rsidRDefault="004B7200" w:rsidP="007673BD">
            <w:pPr>
              <w:spacing w:after="60"/>
              <w:rPr>
                <w:rFonts w:cs="Arial"/>
                <w:sz w:val="19"/>
                <w:szCs w:val="19"/>
                <w:lang w:val="en-AU"/>
              </w:rPr>
            </w:pPr>
            <w:r w:rsidRPr="007673BD">
              <w:rPr>
                <w:rFonts w:cs="Arial"/>
                <w:sz w:val="19"/>
                <w:szCs w:val="19"/>
                <w:lang w:val="en-AU"/>
              </w:rPr>
              <w:t>Project management</w:t>
            </w:r>
          </w:p>
        </w:tc>
        <w:tc>
          <w:tcPr>
            <w:tcW w:w="1276" w:type="dxa"/>
          </w:tcPr>
          <w:p w14:paraId="6B74F5FF" w14:textId="77777777" w:rsidR="004B7200" w:rsidRPr="007673BD" w:rsidRDefault="004B7200" w:rsidP="007673BD">
            <w:pPr>
              <w:spacing w:after="60"/>
              <w:rPr>
                <w:rFonts w:cs="Arial"/>
                <w:sz w:val="19"/>
                <w:szCs w:val="19"/>
                <w:lang w:val="en-AU"/>
              </w:rPr>
            </w:pPr>
            <w:r w:rsidRPr="007673BD">
              <w:rPr>
                <w:rFonts w:cs="Arial"/>
                <w:sz w:val="19"/>
                <w:szCs w:val="19"/>
                <w:lang w:val="en-AU"/>
              </w:rPr>
              <w:t>Capital</w:t>
            </w:r>
          </w:p>
        </w:tc>
        <w:tc>
          <w:tcPr>
            <w:tcW w:w="1479" w:type="dxa"/>
          </w:tcPr>
          <w:p w14:paraId="6B74F600" w14:textId="7AD91439" w:rsidR="004B7200" w:rsidRPr="007673BD" w:rsidRDefault="00855571"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AASB 138.5</w:t>
            </w:r>
            <w:r w:rsidR="004B7200" w:rsidRPr="007673BD">
              <w:rPr>
                <w:rFonts w:ascii="Arial" w:hAnsi="Arial" w:cs="Arial"/>
                <w:sz w:val="19"/>
                <w:szCs w:val="19"/>
              </w:rPr>
              <w:t>7</w:t>
            </w:r>
          </w:p>
          <w:p w14:paraId="6B74F601" w14:textId="77777777" w:rsidR="004B7200" w:rsidRPr="007673BD" w:rsidRDefault="004B7200" w:rsidP="007673BD">
            <w:pPr>
              <w:spacing w:after="60"/>
              <w:rPr>
                <w:rFonts w:cs="Arial"/>
                <w:sz w:val="19"/>
                <w:szCs w:val="19"/>
                <w:lang w:val="en-AU"/>
              </w:rPr>
            </w:pPr>
            <w:r w:rsidRPr="007673BD">
              <w:rPr>
                <w:rFonts w:cs="Arial"/>
                <w:sz w:val="19"/>
                <w:szCs w:val="19"/>
                <w:lang w:val="en-AU"/>
              </w:rPr>
              <w:t>AASB 116.16</w:t>
            </w:r>
          </w:p>
        </w:tc>
      </w:tr>
      <w:tr w:rsidR="004B7200" w:rsidRPr="007673BD" w14:paraId="6B74F608" w14:textId="77777777" w:rsidTr="00C04CF2">
        <w:trPr>
          <w:trHeight w:val="521"/>
        </w:trPr>
        <w:tc>
          <w:tcPr>
            <w:tcW w:w="1668" w:type="dxa"/>
          </w:tcPr>
          <w:p w14:paraId="6B74F603" w14:textId="77777777" w:rsidR="004B7200" w:rsidRPr="007673BD" w:rsidRDefault="004B7200" w:rsidP="007673BD">
            <w:pPr>
              <w:spacing w:after="60"/>
              <w:rPr>
                <w:rFonts w:cs="Arial"/>
                <w:sz w:val="19"/>
                <w:szCs w:val="19"/>
                <w:lang w:val="en-AU"/>
              </w:rPr>
            </w:pPr>
            <w:r w:rsidRPr="007673BD">
              <w:rPr>
                <w:rFonts w:cs="Arial"/>
                <w:sz w:val="19"/>
                <w:szCs w:val="19"/>
                <w:lang w:val="en-AU"/>
              </w:rPr>
              <w:t>Development</w:t>
            </w:r>
          </w:p>
        </w:tc>
        <w:tc>
          <w:tcPr>
            <w:tcW w:w="4819" w:type="dxa"/>
          </w:tcPr>
          <w:p w14:paraId="6B74F604"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Test and i</w:t>
            </w:r>
            <w:r w:rsidR="004B7200" w:rsidRPr="007673BD">
              <w:rPr>
                <w:rFonts w:ascii="Arial" w:hAnsi="Arial" w:cs="Arial"/>
                <w:b/>
                <w:bCs/>
                <w:sz w:val="19"/>
                <w:szCs w:val="19"/>
              </w:rPr>
              <w:t>ntegration</w:t>
            </w:r>
          </w:p>
          <w:p w14:paraId="6B74F605" w14:textId="77777777" w:rsidR="004B7200" w:rsidRPr="007673BD" w:rsidRDefault="004B7200" w:rsidP="007673BD">
            <w:pPr>
              <w:pStyle w:val="NormalWeb"/>
              <w:spacing w:before="0" w:beforeAutospacing="0" w:after="60" w:afterAutospacing="0"/>
              <w:rPr>
                <w:rFonts w:ascii="Arial" w:hAnsi="Arial" w:cs="Arial"/>
                <w:sz w:val="19"/>
                <w:szCs w:val="19"/>
              </w:rPr>
            </w:pPr>
            <w:r w:rsidRPr="007673BD">
              <w:rPr>
                <w:rFonts w:ascii="Arial" w:hAnsi="Arial" w:cs="Arial"/>
                <w:sz w:val="19"/>
                <w:szCs w:val="19"/>
              </w:rPr>
              <w:t>Build and test assets individually and within the context of a system</w:t>
            </w:r>
          </w:p>
        </w:tc>
        <w:tc>
          <w:tcPr>
            <w:tcW w:w="1276" w:type="dxa"/>
          </w:tcPr>
          <w:p w14:paraId="6B74F606" w14:textId="77777777" w:rsidR="004B7200" w:rsidRPr="007673BD" w:rsidRDefault="004B7200" w:rsidP="007673BD">
            <w:pPr>
              <w:spacing w:after="60"/>
              <w:rPr>
                <w:rFonts w:cs="Arial"/>
                <w:sz w:val="19"/>
                <w:szCs w:val="19"/>
                <w:lang w:val="en-AU"/>
              </w:rPr>
            </w:pPr>
            <w:r w:rsidRPr="007673BD">
              <w:rPr>
                <w:rFonts w:cs="Arial"/>
                <w:sz w:val="19"/>
                <w:szCs w:val="19"/>
                <w:lang w:val="en-AU"/>
              </w:rPr>
              <w:t>Capital</w:t>
            </w:r>
          </w:p>
        </w:tc>
        <w:tc>
          <w:tcPr>
            <w:tcW w:w="1479" w:type="dxa"/>
          </w:tcPr>
          <w:p w14:paraId="6B74F607" w14:textId="77777777" w:rsidR="004B7200" w:rsidRPr="007673BD" w:rsidRDefault="004B7200" w:rsidP="007673BD">
            <w:pPr>
              <w:spacing w:after="60"/>
              <w:rPr>
                <w:rFonts w:cs="Arial"/>
                <w:sz w:val="19"/>
                <w:szCs w:val="19"/>
                <w:lang w:val="en-AU"/>
              </w:rPr>
            </w:pPr>
          </w:p>
        </w:tc>
      </w:tr>
      <w:tr w:rsidR="004B7200" w:rsidRPr="007673BD" w14:paraId="6B74F60E" w14:textId="77777777" w:rsidTr="00C04CF2">
        <w:tc>
          <w:tcPr>
            <w:tcW w:w="1668" w:type="dxa"/>
          </w:tcPr>
          <w:p w14:paraId="6B74F609" w14:textId="77777777" w:rsidR="004B7200" w:rsidRPr="007673BD" w:rsidRDefault="004B7200" w:rsidP="007673BD">
            <w:pPr>
              <w:spacing w:after="60"/>
              <w:rPr>
                <w:rFonts w:cs="Arial"/>
                <w:sz w:val="19"/>
                <w:szCs w:val="19"/>
                <w:lang w:val="en-AU"/>
              </w:rPr>
            </w:pPr>
            <w:r w:rsidRPr="007673BD">
              <w:rPr>
                <w:rFonts w:cs="Arial"/>
                <w:sz w:val="19"/>
                <w:szCs w:val="19"/>
                <w:lang w:val="en-AU"/>
              </w:rPr>
              <w:t>Development</w:t>
            </w:r>
          </w:p>
        </w:tc>
        <w:tc>
          <w:tcPr>
            <w:tcW w:w="4819" w:type="dxa"/>
          </w:tcPr>
          <w:p w14:paraId="6B74F60A" w14:textId="77777777" w:rsidR="004B7200" w:rsidRPr="007673BD" w:rsidRDefault="00C73D48" w:rsidP="007673BD">
            <w:pPr>
              <w:pStyle w:val="NormalWeb"/>
              <w:spacing w:before="0" w:beforeAutospacing="0" w:after="60" w:afterAutospacing="0"/>
              <w:rPr>
                <w:rFonts w:ascii="Arial" w:hAnsi="Arial" w:cs="Arial"/>
                <w:sz w:val="19"/>
                <w:szCs w:val="19"/>
              </w:rPr>
            </w:pPr>
            <w:r w:rsidRPr="007673BD">
              <w:rPr>
                <w:rFonts w:ascii="Arial" w:hAnsi="Arial" w:cs="Arial"/>
                <w:b/>
                <w:bCs/>
                <w:sz w:val="19"/>
                <w:szCs w:val="19"/>
              </w:rPr>
              <w:t>Acceptance t</w:t>
            </w:r>
            <w:r w:rsidR="004B7200" w:rsidRPr="007673BD">
              <w:rPr>
                <w:rFonts w:ascii="Arial" w:hAnsi="Arial" w:cs="Arial"/>
                <w:b/>
                <w:bCs/>
                <w:sz w:val="19"/>
                <w:szCs w:val="19"/>
              </w:rPr>
              <w:t xml:space="preserve">esting </w:t>
            </w:r>
            <w:r w:rsidRPr="007673BD">
              <w:rPr>
                <w:rFonts w:ascii="Arial" w:hAnsi="Arial" w:cs="Arial"/>
                <w:b/>
                <w:bCs/>
                <w:sz w:val="19"/>
                <w:szCs w:val="19"/>
              </w:rPr>
              <w:t>and</w:t>
            </w:r>
            <w:r w:rsidR="004B7200" w:rsidRPr="007673BD">
              <w:rPr>
                <w:rFonts w:ascii="Arial" w:hAnsi="Arial" w:cs="Arial"/>
                <w:b/>
                <w:bCs/>
                <w:sz w:val="19"/>
                <w:szCs w:val="19"/>
              </w:rPr>
              <w:t xml:space="preserve"> </w:t>
            </w:r>
            <w:r w:rsidRPr="007673BD">
              <w:rPr>
                <w:rFonts w:ascii="Arial" w:hAnsi="Arial" w:cs="Arial"/>
                <w:b/>
                <w:bCs/>
                <w:sz w:val="19"/>
                <w:szCs w:val="19"/>
              </w:rPr>
              <w:t>integration into p</w:t>
            </w:r>
            <w:r w:rsidR="004B7200" w:rsidRPr="007673BD">
              <w:rPr>
                <w:rFonts w:ascii="Arial" w:hAnsi="Arial" w:cs="Arial"/>
                <w:b/>
                <w:bCs/>
                <w:sz w:val="19"/>
                <w:szCs w:val="19"/>
              </w:rPr>
              <w:t>roduction</w:t>
            </w:r>
          </w:p>
          <w:p w14:paraId="6B74F60B" w14:textId="77777777" w:rsidR="004B7200" w:rsidRPr="007673BD" w:rsidRDefault="004B7200" w:rsidP="007673BD">
            <w:pPr>
              <w:spacing w:after="60"/>
              <w:rPr>
                <w:rFonts w:cs="Arial"/>
                <w:sz w:val="19"/>
                <w:szCs w:val="19"/>
                <w:lang w:val="en-AU"/>
              </w:rPr>
            </w:pPr>
            <w:r w:rsidRPr="007673BD">
              <w:rPr>
                <w:rFonts w:cs="Arial"/>
                <w:sz w:val="19"/>
                <w:szCs w:val="19"/>
                <w:lang w:val="en-AU"/>
              </w:rPr>
              <w:lastRenderedPageBreak/>
              <w:t>Formal acceptance and migration into a production environment system.</w:t>
            </w:r>
          </w:p>
        </w:tc>
        <w:tc>
          <w:tcPr>
            <w:tcW w:w="1276" w:type="dxa"/>
          </w:tcPr>
          <w:p w14:paraId="6B74F60C" w14:textId="77777777" w:rsidR="004B7200" w:rsidRPr="007673BD" w:rsidRDefault="004B7200" w:rsidP="007673BD">
            <w:pPr>
              <w:spacing w:after="60"/>
              <w:rPr>
                <w:rFonts w:cs="Arial"/>
                <w:sz w:val="19"/>
                <w:szCs w:val="19"/>
                <w:lang w:val="en-AU"/>
              </w:rPr>
            </w:pPr>
            <w:r w:rsidRPr="007673BD">
              <w:rPr>
                <w:rFonts w:cs="Arial"/>
                <w:sz w:val="19"/>
                <w:szCs w:val="19"/>
                <w:lang w:val="en-AU"/>
              </w:rPr>
              <w:lastRenderedPageBreak/>
              <w:t>Capital</w:t>
            </w:r>
          </w:p>
        </w:tc>
        <w:tc>
          <w:tcPr>
            <w:tcW w:w="1479" w:type="dxa"/>
          </w:tcPr>
          <w:p w14:paraId="6B74F60D" w14:textId="77777777" w:rsidR="004B7200" w:rsidRPr="007673BD" w:rsidRDefault="004B7200" w:rsidP="007673BD">
            <w:pPr>
              <w:spacing w:after="60"/>
              <w:rPr>
                <w:rFonts w:cs="Arial"/>
                <w:sz w:val="19"/>
                <w:szCs w:val="19"/>
                <w:lang w:val="en-AU"/>
              </w:rPr>
            </w:pPr>
          </w:p>
        </w:tc>
      </w:tr>
      <w:tr w:rsidR="004B7200" w:rsidRPr="007673BD" w14:paraId="6B74F613" w14:textId="77777777" w:rsidTr="00C04CF2">
        <w:tc>
          <w:tcPr>
            <w:tcW w:w="1668" w:type="dxa"/>
          </w:tcPr>
          <w:p w14:paraId="6B74F60F" w14:textId="77777777" w:rsidR="004B7200" w:rsidRPr="007673BD" w:rsidRDefault="004B7200" w:rsidP="007673BD">
            <w:pPr>
              <w:spacing w:after="60"/>
              <w:rPr>
                <w:rFonts w:cs="Arial"/>
                <w:sz w:val="19"/>
                <w:szCs w:val="19"/>
                <w:lang w:val="en-AU"/>
              </w:rPr>
            </w:pPr>
            <w:r w:rsidRPr="007673BD">
              <w:rPr>
                <w:rFonts w:cs="Arial"/>
                <w:sz w:val="19"/>
                <w:szCs w:val="19"/>
                <w:lang w:val="en-AU"/>
              </w:rPr>
              <w:t>Implementation</w:t>
            </w:r>
          </w:p>
        </w:tc>
        <w:tc>
          <w:tcPr>
            <w:tcW w:w="4819" w:type="dxa"/>
          </w:tcPr>
          <w:p w14:paraId="6B74F610" w14:textId="77777777" w:rsidR="004B7200" w:rsidRPr="007673BD" w:rsidRDefault="004B7200" w:rsidP="007673BD">
            <w:pPr>
              <w:spacing w:after="60"/>
              <w:rPr>
                <w:rFonts w:cs="Arial"/>
                <w:sz w:val="19"/>
                <w:szCs w:val="19"/>
                <w:lang w:val="en-AU"/>
              </w:rPr>
            </w:pPr>
            <w:r w:rsidRPr="007673BD">
              <w:rPr>
                <w:rFonts w:cs="Arial"/>
                <w:sz w:val="19"/>
                <w:szCs w:val="19"/>
                <w:lang w:val="en-AU"/>
              </w:rPr>
              <w:t>Data migration (outside of that undertaken for system testing)</w:t>
            </w:r>
          </w:p>
        </w:tc>
        <w:tc>
          <w:tcPr>
            <w:tcW w:w="1276" w:type="dxa"/>
          </w:tcPr>
          <w:p w14:paraId="6B74F611"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612" w14:textId="77777777" w:rsidR="004B7200" w:rsidRPr="007673BD" w:rsidRDefault="004B7200" w:rsidP="007673BD">
            <w:pPr>
              <w:spacing w:after="60"/>
              <w:rPr>
                <w:rFonts w:cs="Arial"/>
                <w:sz w:val="19"/>
                <w:szCs w:val="19"/>
                <w:lang w:val="en-AU"/>
              </w:rPr>
            </w:pPr>
          </w:p>
        </w:tc>
      </w:tr>
      <w:tr w:rsidR="004B7200" w:rsidRPr="007673BD" w14:paraId="6B74F618" w14:textId="77777777" w:rsidTr="00C04CF2">
        <w:tc>
          <w:tcPr>
            <w:tcW w:w="1668" w:type="dxa"/>
          </w:tcPr>
          <w:p w14:paraId="6B74F614" w14:textId="77777777" w:rsidR="004B7200" w:rsidRPr="007673BD" w:rsidRDefault="004B7200" w:rsidP="007673BD">
            <w:pPr>
              <w:spacing w:after="60"/>
              <w:rPr>
                <w:rFonts w:cs="Arial"/>
                <w:sz w:val="19"/>
                <w:szCs w:val="19"/>
                <w:lang w:val="en-AU"/>
              </w:rPr>
            </w:pPr>
            <w:r w:rsidRPr="007673BD">
              <w:rPr>
                <w:rFonts w:cs="Arial"/>
                <w:sz w:val="19"/>
                <w:szCs w:val="19"/>
                <w:lang w:val="en-AU"/>
              </w:rPr>
              <w:t>Implementation</w:t>
            </w:r>
          </w:p>
        </w:tc>
        <w:tc>
          <w:tcPr>
            <w:tcW w:w="4819" w:type="dxa"/>
          </w:tcPr>
          <w:p w14:paraId="6B74F615" w14:textId="77777777" w:rsidR="004B7200" w:rsidRPr="007673BD" w:rsidRDefault="004B7200" w:rsidP="007673BD">
            <w:pPr>
              <w:spacing w:after="60"/>
              <w:rPr>
                <w:rFonts w:cs="Arial"/>
                <w:sz w:val="19"/>
                <w:szCs w:val="19"/>
                <w:lang w:val="en-AU"/>
              </w:rPr>
            </w:pPr>
            <w:r w:rsidRPr="007673BD">
              <w:rPr>
                <w:rFonts w:cs="Arial"/>
                <w:sz w:val="19"/>
                <w:szCs w:val="19"/>
                <w:lang w:val="en-AU"/>
              </w:rPr>
              <w:t>Training – The delivery of training to the end user</w:t>
            </w:r>
          </w:p>
        </w:tc>
        <w:tc>
          <w:tcPr>
            <w:tcW w:w="1276" w:type="dxa"/>
          </w:tcPr>
          <w:p w14:paraId="6B74F616"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617" w14:textId="2ACE0D78" w:rsidR="004B7200" w:rsidRPr="007673BD" w:rsidRDefault="008352BE" w:rsidP="007673BD">
            <w:pPr>
              <w:spacing w:after="60"/>
              <w:rPr>
                <w:rFonts w:cs="Arial"/>
                <w:sz w:val="19"/>
                <w:szCs w:val="19"/>
                <w:lang w:val="en-AU"/>
              </w:rPr>
            </w:pPr>
            <w:r w:rsidRPr="007673BD">
              <w:rPr>
                <w:rFonts w:cs="Arial"/>
                <w:sz w:val="19"/>
                <w:szCs w:val="19"/>
                <w:lang w:val="en-AU"/>
              </w:rPr>
              <w:t>AASB 116.19</w:t>
            </w:r>
          </w:p>
        </w:tc>
      </w:tr>
      <w:tr w:rsidR="004B7200" w:rsidRPr="007673BD" w14:paraId="6B74F61D" w14:textId="77777777" w:rsidTr="00C04CF2">
        <w:tc>
          <w:tcPr>
            <w:tcW w:w="1668" w:type="dxa"/>
          </w:tcPr>
          <w:p w14:paraId="6B74F619" w14:textId="77777777" w:rsidR="004B7200" w:rsidRPr="007673BD" w:rsidRDefault="004B7200" w:rsidP="007673BD">
            <w:pPr>
              <w:spacing w:after="60"/>
              <w:rPr>
                <w:rFonts w:cs="Arial"/>
                <w:sz w:val="19"/>
                <w:szCs w:val="19"/>
                <w:lang w:val="en-AU"/>
              </w:rPr>
            </w:pPr>
            <w:r w:rsidRPr="007673BD">
              <w:rPr>
                <w:rFonts w:cs="Arial"/>
                <w:sz w:val="19"/>
                <w:szCs w:val="19"/>
                <w:lang w:val="en-AU"/>
              </w:rPr>
              <w:t>Implementation</w:t>
            </w:r>
          </w:p>
        </w:tc>
        <w:tc>
          <w:tcPr>
            <w:tcW w:w="4819" w:type="dxa"/>
          </w:tcPr>
          <w:p w14:paraId="6B74F61A" w14:textId="77777777" w:rsidR="004B7200" w:rsidRPr="007673BD" w:rsidRDefault="004B7200" w:rsidP="007673BD">
            <w:pPr>
              <w:spacing w:after="60"/>
              <w:rPr>
                <w:rFonts w:cs="Arial"/>
                <w:sz w:val="19"/>
                <w:szCs w:val="19"/>
                <w:lang w:val="en-AU"/>
              </w:rPr>
            </w:pPr>
            <w:r w:rsidRPr="007673BD">
              <w:rPr>
                <w:rFonts w:cs="Arial"/>
                <w:sz w:val="19"/>
                <w:szCs w:val="19"/>
                <w:lang w:val="en-AU"/>
              </w:rPr>
              <w:t>Development and dissemination of user manuals</w:t>
            </w:r>
          </w:p>
        </w:tc>
        <w:tc>
          <w:tcPr>
            <w:tcW w:w="1276" w:type="dxa"/>
          </w:tcPr>
          <w:p w14:paraId="6B74F61B"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61C" w14:textId="77777777" w:rsidR="004B7200" w:rsidRPr="007673BD" w:rsidRDefault="004B7200" w:rsidP="007673BD">
            <w:pPr>
              <w:spacing w:after="60"/>
              <w:rPr>
                <w:rFonts w:cs="Arial"/>
                <w:sz w:val="19"/>
                <w:szCs w:val="19"/>
                <w:lang w:val="en-AU"/>
              </w:rPr>
            </w:pPr>
          </w:p>
        </w:tc>
      </w:tr>
      <w:tr w:rsidR="004B7200" w:rsidRPr="007673BD" w14:paraId="6B74F622" w14:textId="77777777" w:rsidTr="00C04CF2">
        <w:tc>
          <w:tcPr>
            <w:tcW w:w="1668" w:type="dxa"/>
          </w:tcPr>
          <w:p w14:paraId="6B74F61E" w14:textId="77777777" w:rsidR="004B7200" w:rsidRPr="007673BD" w:rsidRDefault="004B7200" w:rsidP="007673BD">
            <w:pPr>
              <w:spacing w:after="60"/>
              <w:rPr>
                <w:rFonts w:cs="Arial"/>
                <w:sz w:val="19"/>
                <w:szCs w:val="19"/>
                <w:lang w:val="en-AU"/>
              </w:rPr>
            </w:pPr>
            <w:r w:rsidRPr="007673BD">
              <w:rPr>
                <w:rFonts w:cs="Arial"/>
                <w:sz w:val="19"/>
                <w:szCs w:val="19"/>
                <w:lang w:val="en-AU"/>
              </w:rPr>
              <w:t>Implementation</w:t>
            </w:r>
          </w:p>
        </w:tc>
        <w:tc>
          <w:tcPr>
            <w:tcW w:w="4819" w:type="dxa"/>
          </w:tcPr>
          <w:p w14:paraId="6B74F61F" w14:textId="77777777" w:rsidR="004B7200" w:rsidRPr="007673BD" w:rsidRDefault="004B7200" w:rsidP="007673BD">
            <w:pPr>
              <w:spacing w:after="60"/>
              <w:rPr>
                <w:rFonts w:cs="Arial"/>
                <w:sz w:val="19"/>
                <w:szCs w:val="19"/>
                <w:lang w:val="en-AU"/>
              </w:rPr>
            </w:pPr>
            <w:r w:rsidRPr="007673BD">
              <w:rPr>
                <w:rFonts w:cs="Arial"/>
                <w:sz w:val="19"/>
                <w:szCs w:val="19"/>
                <w:lang w:val="en-AU"/>
              </w:rPr>
              <w:t xml:space="preserve">Operation and </w:t>
            </w:r>
            <w:r w:rsidR="00C73D48" w:rsidRPr="007673BD">
              <w:rPr>
                <w:rFonts w:cs="Arial"/>
                <w:sz w:val="19"/>
                <w:szCs w:val="19"/>
                <w:lang w:val="en-AU"/>
              </w:rPr>
              <w:t>m</w:t>
            </w:r>
            <w:r w:rsidRPr="007673BD">
              <w:rPr>
                <w:rFonts w:cs="Arial"/>
                <w:sz w:val="19"/>
                <w:szCs w:val="19"/>
                <w:lang w:val="en-AU"/>
              </w:rPr>
              <w:t>aintenance – Continued use and maintenance of the system</w:t>
            </w:r>
          </w:p>
        </w:tc>
        <w:tc>
          <w:tcPr>
            <w:tcW w:w="1276" w:type="dxa"/>
          </w:tcPr>
          <w:p w14:paraId="6B74F620" w14:textId="77777777" w:rsidR="004B7200" w:rsidRPr="007673BD" w:rsidRDefault="004B7200" w:rsidP="007673BD">
            <w:pPr>
              <w:spacing w:after="60"/>
              <w:rPr>
                <w:rFonts w:cs="Arial"/>
                <w:sz w:val="19"/>
                <w:szCs w:val="19"/>
                <w:lang w:val="en-AU"/>
              </w:rPr>
            </w:pPr>
            <w:r w:rsidRPr="007673BD">
              <w:rPr>
                <w:rFonts w:cs="Arial"/>
                <w:sz w:val="19"/>
                <w:szCs w:val="19"/>
                <w:lang w:val="en-AU"/>
              </w:rPr>
              <w:t>Expense</w:t>
            </w:r>
          </w:p>
        </w:tc>
        <w:tc>
          <w:tcPr>
            <w:tcW w:w="1479" w:type="dxa"/>
          </w:tcPr>
          <w:p w14:paraId="6B74F621" w14:textId="77777777" w:rsidR="004B7200" w:rsidRPr="007673BD" w:rsidRDefault="004B7200" w:rsidP="007673BD">
            <w:pPr>
              <w:spacing w:after="60"/>
              <w:rPr>
                <w:rFonts w:cs="Arial"/>
                <w:sz w:val="19"/>
                <w:szCs w:val="19"/>
                <w:lang w:val="en-AU"/>
              </w:rPr>
            </w:pPr>
          </w:p>
        </w:tc>
      </w:tr>
    </w:tbl>
    <w:p w14:paraId="3D803404" w14:textId="77777777" w:rsidR="00C250ED" w:rsidRPr="007673BD" w:rsidRDefault="004B7200" w:rsidP="00FC5887">
      <w:pPr>
        <w:pStyle w:val="NormalWeb"/>
        <w:numPr>
          <w:ilvl w:val="0"/>
          <w:numId w:val="6"/>
        </w:numPr>
        <w:shd w:val="clear" w:color="auto" w:fill="FFFFFF"/>
        <w:spacing w:before="120" w:beforeAutospacing="0" w:after="120" w:afterAutospacing="0"/>
        <w:rPr>
          <w:rFonts w:ascii="Arial" w:hAnsi="Arial" w:cs="Arial"/>
          <w:sz w:val="21"/>
          <w:szCs w:val="21"/>
        </w:rPr>
      </w:pPr>
      <w:r w:rsidRPr="007673BD">
        <w:rPr>
          <w:rFonts w:ascii="Arial" w:hAnsi="Arial" w:cs="Arial"/>
          <w:sz w:val="21"/>
          <w:szCs w:val="21"/>
        </w:rPr>
        <w:t xml:space="preserve">Amortisation of the final </w:t>
      </w:r>
      <w:r w:rsidR="009C7539" w:rsidRPr="007673BD">
        <w:rPr>
          <w:rFonts w:ascii="Arial" w:hAnsi="Arial" w:cs="Arial"/>
          <w:sz w:val="21"/>
          <w:szCs w:val="21"/>
        </w:rPr>
        <w:t xml:space="preserve">internally developed </w:t>
      </w:r>
      <w:r w:rsidRPr="007673BD">
        <w:rPr>
          <w:rFonts w:ascii="Arial" w:hAnsi="Arial" w:cs="Arial"/>
          <w:sz w:val="21"/>
          <w:szCs w:val="21"/>
        </w:rPr>
        <w:t xml:space="preserve">software asset begins when </w:t>
      </w:r>
      <w:r w:rsidR="009C7539" w:rsidRPr="007673BD">
        <w:rPr>
          <w:rFonts w:ascii="Arial" w:hAnsi="Arial" w:cs="Arial"/>
          <w:sz w:val="21"/>
          <w:szCs w:val="21"/>
        </w:rPr>
        <w:t>it</w:t>
      </w:r>
      <w:r w:rsidRPr="007673BD">
        <w:rPr>
          <w:rFonts w:ascii="Arial" w:hAnsi="Arial" w:cs="Arial"/>
          <w:sz w:val="21"/>
          <w:szCs w:val="21"/>
        </w:rPr>
        <w:t xml:space="preserve"> is completed and ready for its intended use. </w:t>
      </w:r>
      <w:r w:rsidR="009C7539" w:rsidRPr="007673BD">
        <w:rPr>
          <w:rFonts w:ascii="Arial" w:hAnsi="Arial" w:cs="Arial"/>
          <w:sz w:val="21"/>
          <w:szCs w:val="21"/>
        </w:rPr>
        <w:t>C</w:t>
      </w:r>
      <w:r w:rsidRPr="007673BD">
        <w:rPr>
          <w:rFonts w:ascii="Arial" w:hAnsi="Arial" w:cs="Arial"/>
          <w:sz w:val="21"/>
          <w:szCs w:val="21"/>
        </w:rPr>
        <w:t>omputer software is considered ready for its intended use after all substantial testing</w:t>
      </w:r>
      <w:r w:rsidR="009673F2" w:rsidRPr="007673BD">
        <w:rPr>
          <w:rFonts w:ascii="Arial" w:hAnsi="Arial" w:cs="Arial"/>
          <w:sz w:val="21"/>
          <w:szCs w:val="21"/>
        </w:rPr>
        <w:t>/piloting</w:t>
      </w:r>
      <w:r w:rsidRPr="007673BD">
        <w:rPr>
          <w:rFonts w:ascii="Arial" w:hAnsi="Arial" w:cs="Arial"/>
          <w:sz w:val="21"/>
          <w:szCs w:val="21"/>
        </w:rPr>
        <w:t xml:space="preserve"> is complete and the system has been transferred from the development or testing environment to the operational environment. At this stage the </w:t>
      </w:r>
      <w:r w:rsidR="000D1791" w:rsidRPr="007673BD">
        <w:rPr>
          <w:rFonts w:ascii="Arial" w:hAnsi="Arial" w:cs="Arial"/>
          <w:sz w:val="21"/>
          <w:szCs w:val="21"/>
        </w:rPr>
        <w:t>Works in Progress</w:t>
      </w:r>
      <w:r w:rsidR="00B710CE" w:rsidRPr="007673BD">
        <w:rPr>
          <w:rFonts w:ascii="Arial" w:hAnsi="Arial" w:cs="Arial"/>
          <w:sz w:val="21"/>
          <w:szCs w:val="21"/>
        </w:rPr>
        <w:t xml:space="preserve"> </w:t>
      </w:r>
      <w:r w:rsidRPr="007673BD">
        <w:rPr>
          <w:rFonts w:ascii="Arial" w:hAnsi="Arial" w:cs="Arial"/>
          <w:sz w:val="21"/>
          <w:szCs w:val="21"/>
        </w:rPr>
        <w:t>is settled to the appropriate asset class in FMIS which allows amortisation to commence.</w:t>
      </w:r>
    </w:p>
    <w:p w14:paraId="6B74F624" w14:textId="7A5845AE" w:rsidR="00FC5887" w:rsidRPr="007673BD" w:rsidRDefault="004B7200" w:rsidP="00C250ED">
      <w:pPr>
        <w:pStyle w:val="ListParagraph"/>
        <w:numPr>
          <w:ilvl w:val="0"/>
          <w:numId w:val="6"/>
        </w:numPr>
        <w:shd w:val="clear" w:color="auto" w:fill="FFFFFF"/>
        <w:contextualSpacing w:val="0"/>
        <w:rPr>
          <w:rFonts w:cs="Arial"/>
          <w:sz w:val="21"/>
          <w:szCs w:val="21"/>
          <w:lang w:val="en-AU"/>
        </w:rPr>
      </w:pPr>
      <w:r w:rsidRPr="007673BD">
        <w:rPr>
          <w:rFonts w:cs="Arial"/>
          <w:sz w:val="21"/>
          <w:szCs w:val="21"/>
          <w:lang w:val="en-AU"/>
        </w:rPr>
        <w:t xml:space="preserve">Note that after capitalising the asset, the </w:t>
      </w:r>
      <w:r w:rsidR="009C7539" w:rsidRPr="007673BD">
        <w:rPr>
          <w:rFonts w:cs="Arial"/>
          <w:sz w:val="21"/>
          <w:szCs w:val="21"/>
          <w:lang w:val="en-AU"/>
        </w:rPr>
        <w:t xml:space="preserve">internally developed software </w:t>
      </w:r>
      <w:r w:rsidRPr="007673BD">
        <w:rPr>
          <w:rFonts w:cs="Arial"/>
          <w:sz w:val="21"/>
          <w:szCs w:val="21"/>
          <w:lang w:val="en-AU"/>
        </w:rPr>
        <w:t xml:space="preserve">project may continue and further costs may be captured. </w:t>
      </w:r>
      <w:r w:rsidR="00FC5887" w:rsidRPr="007673BD">
        <w:rPr>
          <w:rFonts w:cs="Arial"/>
          <w:sz w:val="21"/>
          <w:szCs w:val="21"/>
          <w:lang w:val="en-AU"/>
        </w:rPr>
        <w:t>Costs captured after capitalisation will only be added to the asset’s value where it can be demonstrated that:</w:t>
      </w:r>
    </w:p>
    <w:p w14:paraId="6B74F625" w14:textId="364061C2" w:rsidR="00FC5887" w:rsidRPr="007673BD" w:rsidRDefault="00FC5887" w:rsidP="00C250ED">
      <w:pPr>
        <w:pStyle w:val="ListParagraph"/>
        <w:numPr>
          <w:ilvl w:val="1"/>
          <w:numId w:val="6"/>
        </w:numPr>
        <w:shd w:val="clear" w:color="auto" w:fill="FFFFFF"/>
        <w:ind w:left="1276" w:hanging="709"/>
        <w:contextualSpacing w:val="0"/>
        <w:rPr>
          <w:rFonts w:cs="Arial"/>
          <w:sz w:val="21"/>
          <w:szCs w:val="21"/>
          <w:lang w:val="en-AU"/>
        </w:rPr>
      </w:pPr>
      <w:r w:rsidRPr="007673BD">
        <w:rPr>
          <w:rFonts w:cs="Arial"/>
          <w:sz w:val="21"/>
          <w:szCs w:val="21"/>
          <w:lang w:val="en-AU"/>
        </w:rPr>
        <w:t>costs could not be captured earlier, or</w:t>
      </w:r>
    </w:p>
    <w:p w14:paraId="6B74F626" w14:textId="172DC110" w:rsidR="004B7200" w:rsidRPr="007673BD" w:rsidRDefault="00FC5887" w:rsidP="00C250ED">
      <w:pPr>
        <w:pStyle w:val="ListParagraph"/>
        <w:numPr>
          <w:ilvl w:val="1"/>
          <w:numId w:val="6"/>
        </w:numPr>
        <w:shd w:val="clear" w:color="auto" w:fill="FFFFFF"/>
        <w:ind w:left="1276" w:hanging="709"/>
        <w:contextualSpacing w:val="0"/>
        <w:rPr>
          <w:rFonts w:cs="Arial"/>
          <w:sz w:val="21"/>
          <w:szCs w:val="21"/>
          <w:lang w:val="en-AU"/>
        </w:rPr>
      </w:pPr>
      <w:r w:rsidRPr="007673BD">
        <w:rPr>
          <w:rFonts w:cs="Arial"/>
          <w:sz w:val="21"/>
          <w:szCs w:val="21"/>
          <w:lang w:val="en-AU"/>
        </w:rPr>
        <w:t>significant development work was required immediately after initial implementation</w:t>
      </w:r>
      <w:r w:rsidR="004B7200" w:rsidRPr="007673BD">
        <w:rPr>
          <w:rFonts w:cs="Arial"/>
          <w:sz w:val="21"/>
          <w:szCs w:val="21"/>
          <w:lang w:val="en-AU"/>
        </w:rPr>
        <w:t>.</w:t>
      </w:r>
    </w:p>
    <w:p w14:paraId="6B74F627" w14:textId="77777777" w:rsidR="004B7200" w:rsidRPr="007673BD" w:rsidRDefault="004B7200" w:rsidP="007D338B">
      <w:pPr>
        <w:pStyle w:val="ListParagraph"/>
        <w:numPr>
          <w:ilvl w:val="0"/>
          <w:numId w:val="6"/>
        </w:numPr>
        <w:shd w:val="clear" w:color="auto" w:fill="FFFFFF"/>
        <w:contextualSpacing w:val="0"/>
        <w:rPr>
          <w:rFonts w:cs="Arial"/>
          <w:sz w:val="21"/>
          <w:szCs w:val="21"/>
          <w:lang w:val="en-AU"/>
        </w:rPr>
      </w:pPr>
      <w:r w:rsidRPr="007673BD">
        <w:rPr>
          <w:rFonts w:cs="Arial"/>
          <w:sz w:val="21"/>
          <w:szCs w:val="21"/>
          <w:lang w:val="en-AU"/>
        </w:rPr>
        <w:t>If a software project is completed and ready for use</w:t>
      </w:r>
      <w:r w:rsidR="001731F0" w:rsidRPr="007673BD">
        <w:rPr>
          <w:rFonts w:cs="Arial"/>
          <w:sz w:val="21"/>
          <w:szCs w:val="21"/>
          <w:lang w:val="en-AU"/>
        </w:rPr>
        <w:t>,</w:t>
      </w:r>
      <w:r w:rsidRPr="007673BD">
        <w:rPr>
          <w:rFonts w:cs="Arial"/>
          <w:sz w:val="21"/>
          <w:szCs w:val="21"/>
          <w:lang w:val="en-AU"/>
        </w:rPr>
        <w:t xml:space="preserve"> but actual use is deferred (e.g. because of logistical problems or because legislation (for which it was written) has not been passed or come into effect)</w:t>
      </w:r>
      <w:r w:rsidR="001731F0" w:rsidRPr="007673BD">
        <w:rPr>
          <w:rFonts w:cs="Arial"/>
          <w:sz w:val="21"/>
          <w:szCs w:val="21"/>
          <w:lang w:val="en-AU"/>
        </w:rPr>
        <w:t>,</w:t>
      </w:r>
      <w:r w:rsidRPr="007673BD">
        <w:rPr>
          <w:rFonts w:cs="Arial"/>
          <w:sz w:val="21"/>
          <w:szCs w:val="21"/>
          <w:lang w:val="en-AU"/>
        </w:rPr>
        <w:t xml:space="preserve"> then amortisation will not begin until </w:t>
      </w:r>
      <w:r w:rsidR="001731F0" w:rsidRPr="007673BD">
        <w:rPr>
          <w:rFonts w:cs="Arial"/>
          <w:sz w:val="21"/>
          <w:szCs w:val="21"/>
          <w:lang w:val="en-AU"/>
        </w:rPr>
        <w:t>the reason for deferral</w:t>
      </w:r>
      <w:r w:rsidRPr="007673BD">
        <w:rPr>
          <w:rFonts w:cs="Arial"/>
          <w:sz w:val="21"/>
          <w:szCs w:val="21"/>
          <w:lang w:val="en-AU"/>
        </w:rPr>
        <w:t xml:space="preserve"> is </w:t>
      </w:r>
      <w:r w:rsidR="009C7539" w:rsidRPr="007673BD">
        <w:rPr>
          <w:rFonts w:cs="Arial"/>
          <w:sz w:val="21"/>
          <w:szCs w:val="21"/>
          <w:lang w:val="en-AU"/>
        </w:rPr>
        <w:t>addressed</w:t>
      </w:r>
      <w:r w:rsidRPr="007673BD">
        <w:rPr>
          <w:rFonts w:cs="Arial"/>
          <w:sz w:val="21"/>
          <w:szCs w:val="21"/>
          <w:lang w:val="en-AU"/>
        </w:rPr>
        <w:t xml:space="preserve">. If an item is complete and </w:t>
      </w:r>
      <w:r w:rsidR="009C7539" w:rsidRPr="007673BD">
        <w:rPr>
          <w:rFonts w:cs="Arial"/>
          <w:sz w:val="21"/>
          <w:szCs w:val="21"/>
          <w:lang w:val="en-AU"/>
        </w:rPr>
        <w:t xml:space="preserve">available </w:t>
      </w:r>
      <w:r w:rsidRPr="007673BD">
        <w:rPr>
          <w:rFonts w:cs="Arial"/>
          <w:sz w:val="21"/>
          <w:szCs w:val="21"/>
          <w:lang w:val="en-AU"/>
        </w:rPr>
        <w:t xml:space="preserve">for its intended use but is not </w:t>
      </w:r>
      <w:r w:rsidR="009C7539" w:rsidRPr="007673BD">
        <w:rPr>
          <w:rFonts w:cs="Arial"/>
          <w:sz w:val="21"/>
          <w:szCs w:val="21"/>
          <w:lang w:val="en-AU"/>
        </w:rPr>
        <w:t>yet in use</w:t>
      </w:r>
      <w:r w:rsidR="000E7C5B" w:rsidRPr="007673BD">
        <w:rPr>
          <w:rFonts w:cs="Arial"/>
          <w:sz w:val="21"/>
          <w:szCs w:val="21"/>
          <w:lang w:val="en-AU"/>
        </w:rPr>
        <w:t>,</w:t>
      </w:r>
      <w:r w:rsidRPr="007673BD">
        <w:rPr>
          <w:rFonts w:cs="Arial"/>
          <w:sz w:val="21"/>
          <w:szCs w:val="21"/>
          <w:lang w:val="en-AU"/>
        </w:rPr>
        <w:t xml:space="preserve"> then amortisation will begin from the date of availability.</w:t>
      </w:r>
    </w:p>
    <w:p w14:paraId="6B74F628" w14:textId="77777777" w:rsidR="009C7539" w:rsidRPr="00AC3A52" w:rsidRDefault="009C7539" w:rsidP="009C7539">
      <w:pPr>
        <w:pStyle w:val="Heading3"/>
        <w:rPr>
          <w:rFonts w:cs="Arial"/>
        </w:rPr>
      </w:pPr>
      <w:bookmarkStart w:id="39" w:name="_Toc417380705"/>
      <w:r w:rsidRPr="00AC3A52">
        <w:rPr>
          <w:rFonts w:cs="Arial"/>
        </w:rPr>
        <w:t>Intellectual property</w:t>
      </w:r>
      <w:bookmarkEnd w:id="39"/>
    </w:p>
    <w:p w14:paraId="6B74F629"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Intangible assets are not restricted to software, and can cover intellectual property (IP) developed and/or purchased by </w:t>
      </w:r>
      <w:r w:rsidR="009C7539" w:rsidRPr="007673BD">
        <w:rPr>
          <w:rFonts w:ascii="Arial" w:hAnsi="Arial" w:cs="Arial"/>
          <w:sz w:val="21"/>
          <w:szCs w:val="21"/>
        </w:rPr>
        <w:t>the agency</w:t>
      </w:r>
      <w:r w:rsidRPr="007673BD">
        <w:rPr>
          <w:rFonts w:ascii="Arial" w:hAnsi="Arial" w:cs="Arial"/>
          <w:sz w:val="21"/>
          <w:szCs w:val="21"/>
        </w:rPr>
        <w:t xml:space="preserve">. IP Australia defines IP as an entity’s “proprietary knowledge”, and in </w:t>
      </w:r>
      <w:r w:rsidR="009C7539" w:rsidRPr="007673BD">
        <w:rPr>
          <w:rFonts w:ascii="Arial" w:hAnsi="Arial" w:cs="Arial"/>
          <w:sz w:val="21"/>
          <w:szCs w:val="21"/>
        </w:rPr>
        <w:t xml:space="preserve">the agency’s </w:t>
      </w:r>
      <w:r w:rsidRPr="007673BD">
        <w:rPr>
          <w:rFonts w:ascii="Arial" w:hAnsi="Arial" w:cs="Arial"/>
          <w:sz w:val="21"/>
          <w:szCs w:val="21"/>
        </w:rPr>
        <w:t>case would commonly relate to the copyright of original material in literary, artistic, dramatic or musical works, films, broadcasts, multimedia and computer programs.</w:t>
      </w:r>
    </w:p>
    <w:p w14:paraId="6B74F62A" w14:textId="344A9B0A" w:rsidR="004B7200" w:rsidRPr="007673BD" w:rsidRDefault="004B7200" w:rsidP="006605E0">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 xml:space="preserve">Example: </w:t>
      </w:r>
      <w:r w:rsidR="00DD652B" w:rsidRPr="007673BD">
        <w:rPr>
          <w:rFonts w:ascii="Arial" w:hAnsi="Arial" w:cs="Arial"/>
          <w:sz w:val="21"/>
          <w:szCs w:val="21"/>
        </w:rPr>
        <w:t>The Commonwealth</w:t>
      </w:r>
      <w:r w:rsidR="009C7539" w:rsidRPr="007673BD">
        <w:rPr>
          <w:rFonts w:ascii="Arial" w:hAnsi="Arial" w:cs="Arial"/>
          <w:sz w:val="21"/>
          <w:szCs w:val="21"/>
        </w:rPr>
        <w:t xml:space="preserve"> </w:t>
      </w:r>
      <w:r w:rsidRPr="007673BD">
        <w:rPr>
          <w:rFonts w:ascii="Arial" w:hAnsi="Arial" w:cs="Arial"/>
          <w:sz w:val="21"/>
          <w:szCs w:val="21"/>
        </w:rPr>
        <w:t>may hold the intellectual property in the form of copyright for a video produced detailing Great Barrier Reef Climate Change awareness.</w:t>
      </w:r>
    </w:p>
    <w:p w14:paraId="6B74F62B"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recognition of and accounting for intellectual property as an intangible asset is complex. Sections </w:t>
      </w:r>
      <w:r w:rsidR="00AF2B4D" w:rsidRPr="007673BD">
        <w:rPr>
          <w:rFonts w:ascii="Arial" w:hAnsi="Arial" w:cs="Arial"/>
          <w:sz w:val="21"/>
          <w:szCs w:val="21"/>
        </w:rPr>
        <w:t>must</w:t>
      </w:r>
      <w:r w:rsidRPr="007673BD">
        <w:rPr>
          <w:rFonts w:ascii="Arial" w:hAnsi="Arial" w:cs="Arial"/>
          <w:sz w:val="21"/>
          <w:szCs w:val="21"/>
        </w:rPr>
        <w:t xml:space="preserve"> consult </w:t>
      </w:r>
      <w:r w:rsidR="00AF2B4D" w:rsidRPr="007673BD">
        <w:rPr>
          <w:rFonts w:ascii="Arial" w:hAnsi="Arial" w:cs="Arial"/>
          <w:sz w:val="21"/>
          <w:szCs w:val="21"/>
        </w:rPr>
        <w:t xml:space="preserve">the </w:t>
      </w:r>
      <w:r w:rsidRPr="007673BD">
        <w:rPr>
          <w:rFonts w:ascii="Arial" w:hAnsi="Arial" w:cs="Arial"/>
          <w:sz w:val="21"/>
          <w:szCs w:val="21"/>
        </w:rPr>
        <w:t xml:space="preserve">Finance </w:t>
      </w:r>
      <w:r w:rsidR="008C328C" w:rsidRPr="007673BD">
        <w:rPr>
          <w:rFonts w:ascii="Arial" w:hAnsi="Arial" w:cs="Arial"/>
          <w:sz w:val="21"/>
          <w:szCs w:val="21"/>
        </w:rPr>
        <w:t xml:space="preserve">section </w:t>
      </w:r>
      <w:r w:rsidRPr="007673BD">
        <w:rPr>
          <w:rFonts w:ascii="Arial" w:hAnsi="Arial" w:cs="Arial"/>
          <w:sz w:val="21"/>
          <w:szCs w:val="21"/>
        </w:rPr>
        <w:t>as soon as they consider IP may have been generated</w:t>
      </w:r>
      <w:r w:rsidR="00AF2B4D" w:rsidRPr="007673BD">
        <w:rPr>
          <w:rFonts w:ascii="Arial" w:hAnsi="Arial" w:cs="Arial"/>
          <w:sz w:val="21"/>
          <w:szCs w:val="21"/>
        </w:rPr>
        <w:t>,</w:t>
      </w:r>
      <w:r w:rsidRPr="007673BD">
        <w:rPr>
          <w:rFonts w:ascii="Arial" w:hAnsi="Arial" w:cs="Arial"/>
          <w:sz w:val="21"/>
          <w:szCs w:val="21"/>
        </w:rPr>
        <w:t xml:space="preserve"> and application of </w:t>
      </w:r>
      <w:r w:rsidR="00AF2B4D" w:rsidRPr="007673BD">
        <w:rPr>
          <w:rFonts w:ascii="Arial" w:hAnsi="Arial" w:cs="Arial"/>
          <w:sz w:val="21"/>
          <w:szCs w:val="21"/>
        </w:rPr>
        <w:t>‘</w:t>
      </w:r>
      <w:r w:rsidRPr="007673BD">
        <w:rPr>
          <w:rFonts w:ascii="Arial" w:hAnsi="Arial" w:cs="Arial"/>
          <w:sz w:val="21"/>
          <w:szCs w:val="21"/>
        </w:rPr>
        <w:t>A</w:t>
      </w:r>
      <w:r w:rsidR="00AF2B4D" w:rsidRPr="007673BD">
        <w:rPr>
          <w:rFonts w:ascii="Arial" w:hAnsi="Arial" w:cs="Arial"/>
          <w:sz w:val="21"/>
          <w:szCs w:val="21"/>
        </w:rPr>
        <w:t xml:space="preserve">ustralian </w:t>
      </w:r>
      <w:r w:rsidRPr="007673BD">
        <w:rPr>
          <w:rFonts w:ascii="Arial" w:hAnsi="Arial" w:cs="Arial"/>
          <w:sz w:val="21"/>
          <w:szCs w:val="21"/>
        </w:rPr>
        <w:t>A</w:t>
      </w:r>
      <w:r w:rsidR="00AF2B4D" w:rsidRPr="007673BD">
        <w:rPr>
          <w:rFonts w:ascii="Arial" w:hAnsi="Arial" w:cs="Arial"/>
          <w:sz w:val="21"/>
          <w:szCs w:val="21"/>
        </w:rPr>
        <w:t xml:space="preserve">ccounting </w:t>
      </w:r>
      <w:r w:rsidRPr="007673BD">
        <w:rPr>
          <w:rFonts w:ascii="Arial" w:hAnsi="Arial" w:cs="Arial"/>
          <w:sz w:val="21"/>
          <w:szCs w:val="21"/>
        </w:rPr>
        <w:t>S</w:t>
      </w:r>
      <w:r w:rsidR="00AF2B4D" w:rsidRPr="007673BD">
        <w:rPr>
          <w:rFonts w:ascii="Arial" w:hAnsi="Arial" w:cs="Arial"/>
          <w:sz w:val="21"/>
          <w:szCs w:val="21"/>
        </w:rPr>
        <w:t xml:space="preserve">tandards </w:t>
      </w:r>
      <w:r w:rsidRPr="007673BD">
        <w:rPr>
          <w:rFonts w:ascii="Arial" w:hAnsi="Arial" w:cs="Arial"/>
          <w:sz w:val="21"/>
          <w:szCs w:val="21"/>
        </w:rPr>
        <w:t>B</w:t>
      </w:r>
      <w:r w:rsidR="00AF2B4D" w:rsidRPr="007673BD">
        <w:rPr>
          <w:rFonts w:ascii="Arial" w:hAnsi="Arial" w:cs="Arial"/>
          <w:sz w:val="21"/>
          <w:szCs w:val="21"/>
        </w:rPr>
        <w:t>oard</w:t>
      </w:r>
      <w:r w:rsidRPr="007673BD">
        <w:rPr>
          <w:rFonts w:ascii="Arial" w:hAnsi="Arial" w:cs="Arial"/>
          <w:sz w:val="21"/>
          <w:szCs w:val="21"/>
        </w:rPr>
        <w:t xml:space="preserve"> </w:t>
      </w:r>
      <w:r w:rsidR="00AF2B4D" w:rsidRPr="007673BD">
        <w:rPr>
          <w:rFonts w:ascii="Arial" w:hAnsi="Arial" w:cs="Arial"/>
          <w:sz w:val="21"/>
          <w:szCs w:val="21"/>
        </w:rPr>
        <w:t>Standard</w:t>
      </w:r>
      <w:r w:rsidRPr="007673BD">
        <w:rPr>
          <w:rFonts w:ascii="Arial" w:hAnsi="Arial" w:cs="Arial"/>
          <w:sz w:val="21"/>
          <w:szCs w:val="21"/>
        </w:rPr>
        <w:t xml:space="preserve">138 </w:t>
      </w:r>
      <w:r w:rsidR="00AF2B4D" w:rsidRPr="007673BD">
        <w:rPr>
          <w:rFonts w:ascii="Arial" w:hAnsi="Arial" w:cs="Arial"/>
          <w:sz w:val="21"/>
          <w:szCs w:val="21"/>
        </w:rPr>
        <w:t xml:space="preserve">(Intangible Assets) </w:t>
      </w:r>
      <w:r w:rsidRPr="007673BD">
        <w:rPr>
          <w:rFonts w:ascii="Arial" w:hAnsi="Arial" w:cs="Arial"/>
          <w:sz w:val="21"/>
          <w:szCs w:val="21"/>
        </w:rPr>
        <w:t>will be considered.</w:t>
      </w:r>
    </w:p>
    <w:p w14:paraId="6B74F62C" w14:textId="57E6A06D" w:rsidR="004B7200" w:rsidRPr="00AC3A52" w:rsidRDefault="000D1791" w:rsidP="00ED4539">
      <w:pPr>
        <w:pStyle w:val="Heading2"/>
        <w:rPr>
          <w:rFonts w:cs="Arial"/>
        </w:rPr>
      </w:pPr>
      <w:bookmarkStart w:id="40" w:name="_Toc417380706"/>
      <w:bookmarkStart w:id="41" w:name="_Ref436119287"/>
      <w:r>
        <w:rPr>
          <w:rFonts w:cs="Arial"/>
        </w:rPr>
        <w:t>Work</w:t>
      </w:r>
      <w:r w:rsidR="003C3F6F">
        <w:rPr>
          <w:rFonts w:cs="Arial"/>
        </w:rPr>
        <w:t>s</w:t>
      </w:r>
      <w:r>
        <w:rPr>
          <w:rFonts w:cs="Arial"/>
        </w:rPr>
        <w:t xml:space="preserve"> in Progress</w:t>
      </w:r>
      <w:r w:rsidR="00400DD0" w:rsidRPr="00AC3A52">
        <w:rPr>
          <w:rFonts w:cs="Arial"/>
        </w:rPr>
        <w:t xml:space="preserve"> (</w:t>
      </w:r>
      <w:r>
        <w:rPr>
          <w:rFonts w:cs="Arial"/>
        </w:rPr>
        <w:t>WIP</w:t>
      </w:r>
      <w:r w:rsidR="00400DD0" w:rsidRPr="00AC3A52">
        <w:rPr>
          <w:rFonts w:cs="Arial"/>
        </w:rPr>
        <w:t>)</w:t>
      </w:r>
      <w:bookmarkEnd w:id="40"/>
      <w:bookmarkEnd w:id="41"/>
    </w:p>
    <w:p w14:paraId="6B74F62D" w14:textId="1C8CC95B"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Any project </w:t>
      </w:r>
      <w:r w:rsidR="00244531" w:rsidRPr="007673BD">
        <w:rPr>
          <w:rFonts w:ascii="Arial" w:hAnsi="Arial" w:cs="Arial"/>
          <w:sz w:val="21"/>
          <w:szCs w:val="21"/>
        </w:rPr>
        <w:t>involving the anticipated generation of an asset, occurring over</w:t>
      </w:r>
      <w:r w:rsidR="000D1791" w:rsidRPr="007673BD">
        <w:rPr>
          <w:rFonts w:ascii="Arial" w:hAnsi="Arial" w:cs="Arial"/>
          <w:sz w:val="21"/>
          <w:szCs w:val="21"/>
        </w:rPr>
        <w:t xml:space="preserve"> one month or more</w:t>
      </w:r>
      <w:r w:rsidRPr="007673BD">
        <w:rPr>
          <w:rFonts w:ascii="Arial" w:hAnsi="Arial" w:cs="Arial"/>
          <w:sz w:val="21"/>
          <w:szCs w:val="21"/>
        </w:rPr>
        <w:t>, will requ</w:t>
      </w:r>
      <w:r w:rsidR="00114D2A" w:rsidRPr="007673BD">
        <w:rPr>
          <w:rFonts w:ascii="Arial" w:hAnsi="Arial" w:cs="Arial"/>
          <w:sz w:val="21"/>
          <w:szCs w:val="21"/>
        </w:rPr>
        <w:t>ire the creation of a</w:t>
      </w:r>
      <w:r w:rsidRPr="007673BD">
        <w:rPr>
          <w:rFonts w:ascii="Arial" w:hAnsi="Arial" w:cs="Arial"/>
          <w:sz w:val="21"/>
          <w:szCs w:val="21"/>
        </w:rPr>
        <w:t xml:space="preserve"> </w:t>
      </w:r>
      <w:r w:rsidR="00E55AC5" w:rsidRPr="007673BD">
        <w:rPr>
          <w:rFonts w:ascii="Arial" w:hAnsi="Arial" w:cs="Arial"/>
          <w:sz w:val="21"/>
          <w:szCs w:val="21"/>
        </w:rPr>
        <w:t>‘</w:t>
      </w:r>
      <w:r w:rsidR="00114D2A" w:rsidRPr="007673BD">
        <w:rPr>
          <w:rFonts w:ascii="Arial" w:hAnsi="Arial" w:cs="Arial"/>
          <w:sz w:val="21"/>
          <w:szCs w:val="21"/>
        </w:rPr>
        <w:t>W</w:t>
      </w:r>
      <w:r w:rsidR="000D1791" w:rsidRPr="007673BD">
        <w:rPr>
          <w:rFonts w:ascii="Arial" w:hAnsi="Arial" w:cs="Arial"/>
          <w:sz w:val="21"/>
          <w:szCs w:val="21"/>
        </w:rPr>
        <w:t>ork</w:t>
      </w:r>
      <w:r w:rsidR="00114D2A" w:rsidRPr="007673BD">
        <w:rPr>
          <w:rFonts w:ascii="Arial" w:hAnsi="Arial" w:cs="Arial"/>
          <w:sz w:val="21"/>
          <w:szCs w:val="21"/>
        </w:rPr>
        <w:t>s</w:t>
      </w:r>
      <w:r w:rsidR="000D1791" w:rsidRPr="007673BD">
        <w:rPr>
          <w:rFonts w:ascii="Arial" w:hAnsi="Arial" w:cs="Arial"/>
          <w:sz w:val="21"/>
          <w:szCs w:val="21"/>
        </w:rPr>
        <w:t xml:space="preserve"> in </w:t>
      </w:r>
      <w:r w:rsidR="00114D2A" w:rsidRPr="007673BD">
        <w:rPr>
          <w:rFonts w:ascii="Arial" w:hAnsi="Arial" w:cs="Arial"/>
          <w:sz w:val="21"/>
          <w:szCs w:val="21"/>
        </w:rPr>
        <w:t>P</w:t>
      </w:r>
      <w:r w:rsidR="000D1791" w:rsidRPr="007673BD">
        <w:rPr>
          <w:rFonts w:ascii="Arial" w:hAnsi="Arial" w:cs="Arial"/>
          <w:sz w:val="21"/>
          <w:szCs w:val="21"/>
        </w:rPr>
        <w:t>rogress</w:t>
      </w:r>
      <w:r w:rsidR="00E55AC5" w:rsidRPr="007673BD">
        <w:rPr>
          <w:rFonts w:ascii="Arial" w:hAnsi="Arial" w:cs="Arial"/>
          <w:sz w:val="21"/>
          <w:szCs w:val="21"/>
        </w:rPr>
        <w:t>’</w:t>
      </w:r>
      <w:r w:rsidRPr="007673BD">
        <w:rPr>
          <w:rFonts w:ascii="Arial" w:hAnsi="Arial" w:cs="Arial"/>
          <w:sz w:val="21"/>
          <w:szCs w:val="21"/>
        </w:rPr>
        <w:t xml:space="preserve"> </w:t>
      </w:r>
      <w:r w:rsidR="000D1791" w:rsidRPr="007673BD">
        <w:rPr>
          <w:rFonts w:ascii="Arial" w:hAnsi="Arial" w:cs="Arial"/>
          <w:sz w:val="21"/>
          <w:szCs w:val="21"/>
        </w:rPr>
        <w:t>WIP</w:t>
      </w:r>
      <w:r w:rsidR="002A23FA" w:rsidRPr="007673BD">
        <w:rPr>
          <w:rFonts w:ascii="Arial" w:hAnsi="Arial" w:cs="Arial"/>
          <w:sz w:val="21"/>
          <w:szCs w:val="21"/>
        </w:rPr>
        <w:t xml:space="preserve"> </w:t>
      </w:r>
      <w:r w:rsidRPr="007673BD">
        <w:rPr>
          <w:rFonts w:ascii="Arial" w:hAnsi="Arial" w:cs="Arial"/>
          <w:sz w:val="21"/>
          <w:szCs w:val="21"/>
        </w:rPr>
        <w:t>in FMIS. This allows costs associated with the project to be held in the balance sheet without depreciating until such time as the asset is in the location and condition necessary for it to be capable of operating in the manner intended by management.</w:t>
      </w:r>
    </w:p>
    <w:p w14:paraId="6B74F62E" w14:textId="10CD0B15"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All capital projects should be assessed</w:t>
      </w:r>
      <w:r w:rsidR="00DD652B" w:rsidRPr="007673BD">
        <w:rPr>
          <w:rFonts w:ascii="Arial" w:hAnsi="Arial" w:cs="Arial"/>
          <w:sz w:val="21"/>
          <w:szCs w:val="21"/>
        </w:rPr>
        <w:t xml:space="preserve"> by the Project Manager in consultation with the Finance Manager </w:t>
      </w:r>
      <w:r w:rsidRPr="007673BD">
        <w:rPr>
          <w:rFonts w:ascii="Arial" w:hAnsi="Arial" w:cs="Arial"/>
          <w:sz w:val="21"/>
          <w:szCs w:val="21"/>
        </w:rPr>
        <w:t>to determine whether or not</w:t>
      </w:r>
      <w:r w:rsidR="00C250ED" w:rsidRPr="007673BD">
        <w:rPr>
          <w:rFonts w:ascii="Arial" w:hAnsi="Arial" w:cs="Arial"/>
          <w:sz w:val="21"/>
          <w:szCs w:val="21"/>
        </w:rPr>
        <w:t xml:space="preserve"> it is appropriate to create a </w:t>
      </w:r>
      <w:r w:rsidR="000D1791" w:rsidRPr="007673BD">
        <w:rPr>
          <w:rFonts w:ascii="Arial" w:hAnsi="Arial" w:cs="Arial"/>
          <w:sz w:val="21"/>
          <w:szCs w:val="21"/>
        </w:rPr>
        <w:t>WIP</w:t>
      </w:r>
      <w:r w:rsidRPr="007673BD">
        <w:rPr>
          <w:rFonts w:ascii="Arial" w:hAnsi="Arial" w:cs="Arial"/>
          <w:sz w:val="21"/>
          <w:szCs w:val="21"/>
        </w:rPr>
        <w:t xml:space="preserve"> account. Usually where an asset is being built, enha</w:t>
      </w:r>
      <w:r w:rsidR="00C250ED" w:rsidRPr="007673BD">
        <w:rPr>
          <w:rFonts w:ascii="Arial" w:hAnsi="Arial" w:cs="Arial"/>
          <w:sz w:val="21"/>
          <w:szCs w:val="21"/>
        </w:rPr>
        <w:t>nced or deployed, the use of a</w:t>
      </w:r>
      <w:r w:rsidRPr="007673BD">
        <w:rPr>
          <w:rFonts w:ascii="Arial" w:hAnsi="Arial" w:cs="Arial"/>
          <w:sz w:val="21"/>
          <w:szCs w:val="21"/>
        </w:rPr>
        <w:t xml:space="preserve"> </w:t>
      </w:r>
      <w:r w:rsidR="000D1791" w:rsidRPr="007673BD">
        <w:rPr>
          <w:rFonts w:ascii="Arial" w:hAnsi="Arial" w:cs="Arial"/>
          <w:sz w:val="21"/>
          <w:szCs w:val="21"/>
        </w:rPr>
        <w:t>WIP</w:t>
      </w:r>
      <w:r w:rsidRPr="007673BD">
        <w:rPr>
          <w:rFonts w:ascii="Arial" w:hAnsi="Arial" w:cs="Arial"/>
          <w:sz w:val="21"/>
          <w:szCs w:val="21"/>
        </w:rPr>
        <w:t xml:space="preserve"> account will be appropriate.</w:t>
      </w:r>
    </w:p>
    <w:p w14:paraId="6B74F62F" w14:textId="5091D500" w:rsidR="004B7200" w:rsidRPr="007673BD" w:rsidRDefault="004B7200" w:rsidP="007673BD">
      <w:pPr>
        <w:pStyle w:val="NormalWeb"/>
        <w:numPr>
          <w:ilvl w:val="0"/>
          <w:numId w:val="6"/>
        </w:numPr>
        <w:shd w:val="clear" w:color="auto" w:fill="FFFFFF"/>
        <w:spacing w:before="0" w:beforeAutospacing="0" w:after="80" w:afterAutospacing="0"/>
        <w:rPr>
          <w:rFonts w:ascii="Arial" w:hAnsi="Arial" w:cs="Arial"/>
          <w:sz w:val="21"/>
          <w:szCs w:val="21"/>
        </w:rPr>
      </w:pPr>
      <w:r w:rsidRPr="007673BD">
        <w:rPr>
          <w:rFonts w:ascii="Arial" w:hAnsi="Arial" w:cs="Arial"/>
          <w:sz w:val="21"/>
          <w:szCs w:val="21"/>
        </w:rPr>
        <w:lastRenderedPageBreak/>
        <w:t xml:space="preserve">Examples of capital projects where a </w:t>
      </w:r>
      <w:r w:rsidR="000D1791" w:rsidRPr="007673BD">
        <w:rPr>
          <w:rFonts w:ascii="Arial" w:hAnsi="Arial" w:cs="Arial"/>
          <w:sz w:val="21"/>
          <w:szCs w:val="21"/>
        </w:rPr>
        <w:t>WIP</w:t>
      </w:r>
      <w:r w:rsidRPr="007673BD">
        <w:rPr>
          <w:rFonts w:ascii="Arial" w:hAnsi="Arial" w:cs="Arial"/>
          <w:sz w:val="21"/>
          <w:szCs w:val="21"/>
        </w:rPr>
        <w:t xml:space="preserve"> account should be utilised </w:t>
      </w:r>
      <w:r w:rsidR="006809C6" w:rsidRPr="007673BD">
        <w:rPr>
          <w:rFonts w:ascii="Arial" w:hAnsi="Arial" w:cs="Arial"/>
          <w:sz w:val="21"/>
          <w:szCs w:val="21"/>
        </w:rPr>
        <w:t>include the following</w:t>
      </w:r>
      <w:r w:rsidR="00C250ED" w:rsidRPr="007673BD">
        <w:rPr>
          <w:rFonts w:ascii="Arial" w:hAnsi="Arial" w:cs="Arial"/>
          <w:sz w:val="21"/>
          <w:szCs w:val="21"/>
        </w:rPr>
        <w:t>,</w:t>
      </w:r>
      <w:r w:rsidR="006809C6" w:rsidRPr="007673BD">
        <w:rPr>
          <w:rFonts w:ascii="Arial" w:hAnsi="Arial" w:cs="Arial"/>
          <w:sz w:val="21"/>
          <w:szCs w:val="21"/>
        </w:rPr>
        <w:t xml:space="preserve"> where their construction occurs over more than one </w:t>
      </w:r>
      <w:r w:rsidR="000D1791" w:rsidRPr="007673BD">
        <w:rPr>
          <w:rFonts w:ascii="Arial" w:hAnsi="Arial" w:cs="Arial"/>
          <w:sz w:val="21"/>
          <w:szCs w:val="21"/>
        </w:rPr>
        <w:t>month</w:t>
      </w:r>
      <w:r w:rsidRPr="007673BD">
        <w:rPr>
          <w:rFonts w:ascii="Arial" w:hAnsi="Arial" w:cs="Arial"/>
          <w:sz w:val="21"/>
          <w:szCs w:val="21"/>
        </w:rPr>
        <w:t>:</w:t>
      </w:r>
    </w:p>
    <w:p w14:paraId="6B74F630" w14:textId="77777777" w:rsidR="004B7200" w:rsidRPr="007673BD" w:rsidRDefault="004B7200"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Leasehold improvements and fit</w:t>
      </w:r>
      <w:r w:rsidR="004577ED" w:rsidRPr="007673BD">
        <w:rPr>
          <w:rFonts w:ascii="Arial" w:hAnsi="Arial" w:cs="Arial"/>
          <w:sz w:val="21"/>
          <w:szCs w:val="21"/>
        </w:rPr>
        <w:t>-</w:t>
      </w:r>
      <w:r w:rsidRPr="007673BD">
        <w:rPr>
          <w:rFonts w:ascii="Arial" w:hAnsi="Arial" w:cs="Arial"/>
          <w:sz w:val="21"/>
          <w:szCs w:val="21"/>
        </w:rPr>
        <w:t>outs;</w:t>
      </w:r>
    </w:p>
    <w:p w14:paraId="6B74F631" w14:textId="790256A0" w:rsidR="004B7200" w:rsidRPr="007673BD" w:rsidRDefault="000D1791"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 xml:space="preserve">Reef HQ </w:t>
      </w:r>
      <w:r w:rsidR="00C250ED" w:rsidRPr="007673BD">
        <w:rPr>
          <w:rFonts w:ascii="Arial" w:hAnsi="Arial" w:cs="Arial"/>
          <w:sz w:val="21"/>
          <w:szCs w:val="21"/>
        </w:rPr>
        <w:t>b</w:t>
      </w:r>
      <w:r w:rsidRPr="007673BD">
        <w:rPr>
          <w:rFonts w:ascii="Arial" w:hAnsi="Arial" w:cs="Arial"/>
          <w:sz w:val="21"/>
          <w:szCs w:val="21"/>
        </w:rPr>
        <w:t>uilding improvements</w:t>
      </w:r>
      <w:r w:rsidR="004B7200" w:rsidRPr="007673BD">
        <w:rPr>
          <w:rFonts w:ascii="Arial" w:hAnsi="Arial" w:cs="Arial"/>
          <w:sz w:val="21"/>
          <w:szCs w:val="21"/>
        </w:rPr>
        <w:t>;</w:t>
      </w:r>
    </w:p>
    <w:p w14:paraId="6B74F632" w14:textId="7282C930" w:rsidR="004B7200" w:rsidRPr="007673BD" w:rsidRDefault="00C250ED"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 xml:space="preserve">Internally </w:t>
      </w:r>
      <w:r w:rsidR="004B7200" w:rsidRPr="007673BD">
        <w:rPr>
          <w:rFonts w:ascii="Arial" w:hAnsi="Arial" w:cs="Arial"/>
          <w:sz w:val="21"/>
          <w:szCs w:val="21"/>
        </w:rPr>
        <w:t>developed software;</w:t>
      </w:r>
      <w:r w:rsidR="000D1791" w:rsidRPr="007673BD">
        <w:rPr>
          <w:rFonts w:ascii="Arial" w:hAnsi="Arial" w:cs="Arial"/>
          <w:sz w:val="21"/>
          <w:szCs w:val="21"/>
        </w:rPr>
        <w:t xml:space="preserve"> and</w:t>
      </w:r>
    </w:p>
    <w:p w14:paraId="6B74F633" w14:textId="77777777" w:rsidR="004B7200" w:rsidRPr="007673BD" w:rsidRDefault="004B7200" w:rsidP="001B2D75">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Purchased software requiring configuration, testing, documentation or implementation to occur before it is ready for intended use.</w:t>
      </w:r>
    </w:p>
    <w:p w14:paraId="6B74F634"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w:t>
      </w:r>
      <w:r w:rsidR="006809C6" w:rsidRPr="007673BD">
        <w:rPr>
          <w:rFonts w:ascii="Arial" w:hAnsi="Arial" w:cs="Arial"/>
          <w:sz w:val="21"/>
          <w:szCs w:val="21"/>
        </w:rPr>
        <w:t xml:space="preserve">agency </w:t>
      </w:r>
      <w:r w:rsidRPr="007673BD">
        <w:rPr>
          <w:rFonts w:ascii="Arial" w:hAnsi="Arial" w:cs="Arial"/>
          <w:sz w:val="21"/>
          <w:szCs w:val="21"/>
        </w:rPr>
        <w:t>adopts the accounting principle of progressively recognising revenues and expenses associated with non-financial asset projects over the period of acquisition or construction. Project costs are recognised at the time the related project activity has been performed and are determined by reference to invoices received and/or as a proportion of work performed to date (for accruals).</w:t>
      </w:r>
    </w:p>
    <w:p w14:paraId="6B74F635"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As a general </w:t>
      </w:r>
      <w:r w:rsidR="006809C6" w:rsidRPr="007673BD">
        <w:rPr>
          <w:rFonts w:ascii="Arial" w:hAnsi="Arial" w:cs="Arial"/>
          <w:sz w:val="21"/>
          <w:szCs w:val="21"/>
        </w:rPr>
        <w:t>r</w:t>
      </w:r>
      <w:r w:rsidRPr="007673BD">
        <w:rPr>
          <w:rFonts w:ascii="Arial" w:hAnsi="Arial" w:cs="Arial"/>
          <w:sz w:val="21"/>
          <w:szCs w:val="21"/>
        </w:rPr>
        <w:t>ule, capitalisation should occur at the point when the asset (or sub-asset) is capable of being used in the manner intended by management</w:t>
      </w:r>
      <w:r w:rsidR="006809C6" w:rsidRPr="007673BD">
        <w:rPr>
          <w:rFonts w:ascii="Arial" w:hAnsi="Arial" w:cs="Arial"/>
          <w:sz w:val="21"/>
          <w:szCs w:val="21"/>
        </w:rPr>
        <w:t xml:space="preserve"> (this is the point of capitalisation)</w:t>
      </w:r>
      <w:r w:rsidRPr="007673BD">
        <w:rPr>
          <w:rFonts w:ascii="Arial" w:hAnsi="Arial" w:cs="Arial"/>
          <w:sz w:val="21"/>
          <w:szCs w:val="21"/>
        </w:rPr>
        <w:t xml:space="preserve">. Only when assets have reached the point of capitalisation will depreciation commence. Until </w:t>
      </w:r>
      <w:r w:rsidR="003D7562" w:rsidRPr="007673BD">
        <w:rPr>
          <w:rFonts w:ascii="Arial" w:hAnsi="Arial" w:cs="Arial"/>
          <w:sz w:val="21"/>
          <w:szCs w:val="21"/>
        </w:rPr>
        <w:t>the point of capitalisation</w:t>
      </w:r>
      <w:r w:rsidRPr="007673BD">
        <w:rPr>
          <w:rFonts w:ascii="Arial" w:hAnsi="Arial" w:cs="Arial"/>
          <w:sz w:val="21"/>
          <w:szCs w:val="21"/>
        </w:rPr>
        <w:t xml:space="preserve">, costs incurred for the development of self-constructed assets are to be accounted for against the </w:t>
      </w:r>
      <w:r w:rsidR="000D1791" w:rsidRPr="007673BD">
        <w:rPr>
          <w:rFonts w:ascii="Arial" w:hAnsi="Arial" w:cs="Arial"/>
          <w:sz w:val="21"/>
          <w:szCs w:val="21"/>
        </w:rPr>
        <w:t>WIP</w:t>
      </w:r>
      <w:r w:rsidRPr="007673BD">
        <w:rPr>
          <w:rFonts w:ascii="Arial" w:hAnsi="Arial" w:cs="Arial"/>
          <w:sz w:val="21"/>
          <w:szCs w:val="21"/>
        </w:rPr>
        <w:t>’s General Ledger (GL) Account.</w:t>
      </w:r>
    </w:p>
    <w:p w14:paraId="6B74F636"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Where a project relates to a number of separately identifiable components, each component may be capitalised upon completion where ready for use and/or the economic benefit associated with the component is expected to flow to </w:t>
      </w:r>
      <w:r w:rsidR="003D7562" w:rsidRPr="007673BD">
        <w:rPr>
          <w:rFonts w:ascii="Arial" w:hAnsi="Arial" w:cs="Arial"/>
          <w:sz w:val="21"/>
          <w:szCs w:val="21"/>
        </w:rPr>
        <w:t>the agency</w:t>
      </w:r>
      <w:r w:rsidRPr="007673BD">
        <w:rPr>
          <w:rFonts w:ascii="Arial" w:hAnsi="Arial" w:cs="Arial"/>
          <w:sz w:val="21"/>
          <w:szCs w:val="21"/>
        </w:rPr>
        <w:t xml:space="preserve">. This capitalisation process can occur even though other components of the project are not completed. Depreciation commences from the time the completed component of the project is capitalised and first put to use or held ready for use by </w:t>
      </w:r>
      <w:r w:rsidR="003D7562" w:rsidRPr="007673BD">
        <w:rPr>
          <w:rFonts w:ascii="Arial" w:hAnsi="Arial" w:cs="Arial"/>
          <w:sz w:val="21"/>
          <w:szCs w:val="21"/>
        </w:rPr>
        <w:t>the agency</w:t>
      </w:r>
      <w:r w:rsidRPr="007673BD">
        <w:rPr>
          <w:rFonts w:ascii="Arial" w:hAnsi="Arial" w:cs="Arial"/>
          <w:sz w:val="21"/>
          <w:szCs w:val="21"/>
        </w:rPr>
        <w:t>.</w:t>
      </w:r>
    </w:p>
    <w:p w14:paraId="6B74F637"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It is important that </w:t>
      </w:r>
      <w:r w:rsidR="008C328C" w:rsidRPr="007673BD">
        <w:rPr>
          <w:rFonts w:ascii="Arial" w:hAnsi="Arial" w:cs="Arial"/>
          <w:sz w:val="21"/>
          <w:szCs w:val="21"/>
        </w:rPr>
        <w:t>section</w:t>
      </w:r>
      <w:r w:rsidRPr="007673BD">
        <w:rPr>
          <w:rFonts w:ascii="Arial" w:hAnsi="Arial" w:cs="Arial"/>
          <w:sz w:val="21"/>
          <w:szCs w:val="21"/>
        </w:rPr>
        <w:t xml:space="preserve">s regularly review </w:t>
      </w:r>
      <w:r w:rsidR="000D1791" w:rsidRPr="007673BD">
        <w:rPr>
          <w:rFonts w:ascii="Arial" w:hAnsi="Arial" w:cs="Arial"/>
          <w:sz w:val="21"/>
          <w:szCs w:val="21"/>
        </w:rPr>
        <w:t>WIP</w:t>
      </w:r>
      <w:r w:rsidRPr="007673BD">
        <w:rPr>
          <w:rFonts w:ascii="Arial" w:hAnsi="Arial" w:cs="Arial"/>
          <w:sz w:val="21"/>
          <w:szCs w:val="21"/>
        </w:rPr>
        <w:t xml:space="preserve"> balances under their control to ensure timely capitalisation and recognition of the final asset or its components in the FMIS </w:t>
      </w:r>
      <w:r w:rsidR="00B63A16" w:rsidRPr="007673BD">
        <w:rPr>
          <w:rFonts w:ascii="Arial" w:hAnsi="Arial" w:cs="Arial"/>
          <w:sz w:val="21"/>
          <w:szCs w:val="21"/>
        </w:rPr>
        <w:t>asset register</w:t>
      </w:r>
      <w:r w:rsidRPr="007673BD">
        <w:rPr>
          <w:rFonts w:ascii="Arial" w:hAnsi="Arial" w:cs="Arial"/>
          <w:sz w:val="21"/>
          <w:szCs w:val="21"/>
        </w:rPr>
        <w:t xml:space="preserve">. It is not possible to capitalise and depreciate </w:t>
      </w:r>
      <w:r w:rsidR="000D1791" w:rsidRPr="007673BD">
        <w:rPr>
          <w:rFonts w:ascii="Arial" w:hAnsi="Arial" w:cs="Arial"/>
          <w:sz w:val="21"/>
          <w:szCs w:val="21"/>
        </w:rPr>
        <w:t>WIP</w:t>
      </w:r>
      <w:r w:rsidRPr="007673BD">
        <w:rPr>
          <w:rFonts w:ascii="Arial" w:hAnsi="Arial" w:cs="Arial"/>
          <w:sz w:val="21"/>
          <w:szCs w:val="21"/>
        </w:rPr>
        <w:t xml:space="preserve"> items in the FMIS </w:t>
      </w:r>
      <w:r w:rsidR="00B63A16" w:rsidRPr="007673BD">
        <w:rPr>
          <w:rFonts w:ascii="Arial" w:hAnsi="Arial" w:cs="Arial"/>
          <w:sz w:val="21"/>
          <w:szCs w:val="21"/>
        </w:rPr>
        <w:t>asset register</w:t>
      </w:r>
      <w:r w:rsidRPr="007673BD">
        <w:rPr>
          <w:rFonts w:ascii="Arial" w:hAnsi="Arial" w:cs="Arial"/>
          <w:sz w:val="21"/>
          <w:szCs w:val="21"/>
        </w:rPr>
        <w:t xml:space="preserve"> for financial periods prior to the current financial year.</w:t>
      </w:r>
    </w:p>
    <w:p w14:paraId="6B74F638" w14:textId="6E7DF63D" w:rsidR="004B7200" w:rsidRPr="007673BD" w:rsidRDefault="004B7200" w:rsidP="000D1791">
      <w:pPr>
        <w:pStyle w:val="NormalWeb"/>
        <w:numPr>
          <w:ilvl w:val="0"/>
          <w:numId w:val="6"/>
        </w:numPr>
        <w:shd w:val="clear" w:color="auto" w:fill="FFFFFF"/>
        <w:spacing w:before="0" w:beforeAutospacing="0" w:after="120" w:afterAutospacing="0"/>
        <w:rPr>
          <w:rFonts w:ascii="Arial" w:hAnsi="Arial" w:cs="Arial"/>
          <w:sz w:val="21"/>
          <w:szCs w:val="21"/>
        </w:rPr>
      </w:pPr>
      <w:bookmarkStart w:id="42" w:name="_Ref417302876"/>
      <w:r w:rsidRPr="007673BD">
        <w:rPr>
          <w:rFonts w:ascii="Arial" w:hAnsi="Arial" w:cs="Arial"/>
          <w:sz w:val="21"/>
          <w:szCs w:val="21"/>
        </w:rPr>
        <w:t xml:space="preserve">Prior to the commencement of a major acquisition/project, </w:t>
      </w:r>
      <w:r w:rsidR="008C328C" w:rsidRPr="007673BD">
        <w:rPr>
          <w:rFonts w:ascii="Arial" w:hAnsi="Arial" w:cs="Arial"/>
          <w:sz w:val="21"/>
          <w:szCs w:val="21"/>
        </w:rPr>
        <w:t>section</w:t>
      </w:r>
      <w:r w:rsidRPr="007673BD">
        <w:rPr>
          <w:rFonts w:ascii="Arial" w:hAnsi="Arial" w:cs="Arial"/>
          <w:sz w:val="21"/>
          <w:szCs w:val="21"/>
        </w:rPr>
        <w:t xml:space="preserve">s need to establish in the FMIS a </w:t>
      </w:r>
      <w:r w:rsidR="000D1791" w:rsidRPr="007673BD">
        <w:rPr>
          <w:rFonts w:ascii="Arial" w:hAnsi="Arial" w:cs="Arial"/>
          <w:sz w:val="21"/>
          <w:szCs w:val="21"/>
        </w:rPr>
        <w:t>WIP</w:t>
      </w:r>
      <w:r w:rsidRPr="007673BD">
        <w:rPr>
          <w:rFonts w:ascii="Arial" w:hAnsi="Arial" w:cs="Arial"/>
          <w:sz w:val="21"/>
          <w:szCs w:val="21"/>
        </w:rPr>
        <w:t xml:space="preserve"> </w:t>
      </w:r>
      <w:r w:rsidR="000D1791" w:rsidRPr="007673BD">
        <w:rPr>
          <w:rFonts w:ascii="Arial" w:hAnsi="Arial" w:cs="Arial"/>
          <w:sz w:val="21"/>
          <w:szCs w:val="21"/>
        </w:rPr>
        <w:t>activity code t</w:t>
      </w:r>
      <w:r w:rsidRPr="007673BD">
        <w:rPr>
          <w:rFonts w:ascii="Arial" w:hAnsi="Arial" w:cs="Arial"/>
          <w:sz w:val="21"/>
          <w:szCs w:val="21"/>
        </w:rPr>
        <w:t>o carry all relevant project costs.</w:t>
      </w:r>
      <w:bookmarkEnd w:id="42"/>
      <w:r w:rsidR="000D1791" w:rsidRPr="007673BD">
        <w:rPr>
          <w:rFonts w:ascii="Arial" w:hAnsi="Arial" w:cs="Arial"/>
          <w:sz w:val="21"/>
          <w:szCs w:val="21"/>
        </w:rPr>
        <w:t xml:space="preserve"> </w:t>
      </w:r>
      <w:r w:rsidR="00C250ED" w:rsidRPr="007673BD">
        <w:rPr>
          <w:rFonts w:ascii="Arial" w:hAnsi="Arial" w:cs="Arial"/>
          <w:sz w:val="21"/>
          <w:szCs w:val="21"/>
        </w:rPr>
        <w:t>‘</w:t>
      </w:r>
      <w:r w:rsidRPr="007673BD">
        <w:rPr>
          <w:rFonts w:ascii="Arial" w:hAnsi="Arial" w:cs="Arial"/>
          <w:sz w:val="21"/>
          <w:szCs w:val="21"/>
        </w:rPr>
        <w:t xml:space="preserve">Direct Capitalisation </w:t>
      </w:r>
      <w:r w:rsidR="000D1791" w:rsidRPr="007673BD">
        <w:rPr>
          <w:rFonts w:ascii="Arial" w:hAnsi="Arial" w:cs="Arial"/>
          <w:sz w:val="21"/>
          <w:szCs w:val="21"/>
        </w:rPr>
        <w:t>WIP</w:t>
      </w:r>
      <w:r w:rsidR="00C250ED" w:rsidRPr="007673BD">
        <w:rPr>
          <w:rFonts w:ascii="Arial" w:hAnsi="Arial" w:cs="Arial"/>
          <w:sz w:val="21"/>
          <w:szCs w:val="21"/>
        </w:rPr>
        <w:t>’</w:t>
      </w:r>
      <w:r w:rsidRPr="007673BD">
        <w:rPr>
          <w:rFonts w:ascii="Arial" w:hAnsi="Arial" w:cs="Arial"/>
          <w:sz w:val="21"/>
          <w:szCs w:val="21"/>
        </w:rPr>
        <w:t xml:space="preserve"> is the simplest form of </w:t>
      </w:r>
      <w:r w:rsidR="000D1791" w:rsidRPr="007673BD">
        <w:rPr>
          <w:rFonts w:ascii="Arial" w:hAnsi="Arial" w:cs="Arial"/>
          <w:sz w:val="21"/>
          <w:szCs w:val="21"/>
        </w:rPr>
        <w:t>WIP</w:t>
      </w:r>
      <w:r w:rsidRPr="007673BD">
        <w:rPr>
          <w:rFonts w:ascii="Arial" w:hAnsi="Arial" w:cs="Arial"/>
          <w:sz w:val="21"/>
          <w:szCs w:val="21"/>
        </w:rPr>
        <w:t xml:space="preserve">, where costs are directly charged to the </w:t>
      </w:r>
      <w:r w:rsidR="000D1791" w:rsidRPr="007673BD">
        <w:rPr>
          <w:rFonts w:ascii="Arial" w:hAnsi="Arial" w:cs="Arial"/>
          <w:sz w:val="21"/>
          <w:szCs w:val="21"/>
        </w:rPr>
        <w:t>WIP</w:t>
      </w:r>
      <w:r w:rsidRPr="007673BD">
        <w:rPr>
          <w:rFonts w:ascii="Arial" w:hAnsi="Arial" w:cs="Arial"/>
          <w:sz w:val="21"/>
          <w:szCs w:val="21"/>
        </w:rPr>
        <w:t xml:space="preserve"> and are capitalised as required to reflect the availability of the asset to p</w:t>
      </w:r>
      <w:r w:rsidR="000D1791" w:rsidRPr="007673BD">
        <w:rPr>
          <w:rFonts w:ascii="Arial" w:hAnsi="Arial" w:cs="Arial"/>
          <w:sz w:val="21"/>
          <w:szCs w:val="21"/>
        </w:rPr>
        <w:t>erform its intended function(s).</w:t>
      </w:r>
    </w:p>
    <w:p w14:paraId="6B74F639" w14:textId="604B28B1" w:rsidR="004B7200" w:rsidRPr="007673BD" w:rsidRDefault="0008511F" w:rsidP="007D338B">
      <w:pPr>
        <w:pStyle w:val="NormalWeb"/>
        <w:numPr>
          <w:ilvl w:val="0"/>
          <w:numId w:val="6"/>
        </w:numPr>
        <w:shd w:val="clear" w:color="auto" w:fill="FFFFFF"/>
        <w:spacing w:before="0" w:beforeAutospacing="0" w:after="120" w:afterAutospacing="0"/>
        <w:rPr>
          <w:rFonts w:ascii="Arial" w:hAnsi="Arial" w:cs="Arial"/>
          <w:sz w:val="21"/>
          <w:szCs w:val="21"/>
        </w:rPr>
      </w:pPr>
      <w:bookmarkStart w:id="43" w:name="_Ref417302726"/>
      <w:r w:rsidRPr="007673BD">
        <w:rPr>
          <w:rFonts w:ascii="Arial" w:hAnsi="Arial" w:cs="Arial"/>
          <w:sz w:val="21"/>
          <w:szCs w:val="21"/>
        </w:rPr>
        <w:t>S</w:t>
      </w:r>
      <w:r w:rsidR="008C328C" w:rsidRPr="007673BD">
        <w:rPr>
          <w:rFonts w:ascii="Arial" w:hAnsi="Arial" w:cs="Arial"/>
          <w:sz w:val="21"/>
          <w:szCs w:val="21"/>
        </w:rPr>
        <w:t>ection</w:t>
      </w:r>
      <w:r w:rsidR="004B7200" w:rsidRPr="007673BD">
        <w:rPr>
          <w:rFonts w:ascii="Arial" w:hAnsi="Arial" w:cs="Arial"/>
          <w:sz w:val="21"/>
          <w:szCs w:val="21"/>
        </w:rPr>
        <w:t>s considerin</w:t>
      </w:r>
      <w:r w:rsidR="000D1791" w:rsidRPr="007673BD">
        <w:rPr>
          <w:rFonts w:ascii="Arial" w:hAnsi="Arial" w:cs="Arial"/>
          <w:sz w:val="21"/>
          <w:szCs w:val="21"/>
        </w:rPr>
        <w:t>g the use of a</w:t>
      </w:r>
      <w:r w:rsidR="004B7200" w:rsidRPr="007673BD">
        <w:rPr>
          <w:rFonts w:ascii="Arial" w:hAnsi="Arial" w:cs="Arial"/>
          <w:sz w:val="21"/>
          <w:szCs w:val="21"/>
        </w:rPr>
        <w:t xml:space="preserve"> </w:t>
      </w:r>
      <w:r w:rsidR="000D1791" w:rsidRPr="007673BD">
        <w:rPr>
          <w:rFonts w:ascii="Arial" w:hAnsi="Arial" w:cs="Arial"/>
          <w:sz w:val="21"/>
          <w:szCs w:val="21"/>
        </w:rPr>
        <w:t>WIP</w:t>
      </w:r>
      <w:r w:rsidR="00DD652B" w:rsidRPr="007673BD">
        <w:rPr>
          <w:rFonts w:ascii="Arial" w:hAnsi="Arial" w:cs="Arial"/>
          <w:sz w:val="21"/>
          <w:szCs w:val="21"/>
        </w:rPr>
        <w:t xml:space="preserve"> to record and manage the financial related </w:t>
      </w:r>
      <w:r w:rsidR="0005076B" w:rsidRPr="007673BD">
        <w:rPr>
          <w:rFonts w:ascii="Arial" w:hAnsi="Arial" w:cs="Arial"/>
          <w:sz w:val="21"/>
          <w:szCs w:val="21"/>
        </w:rPr>
        <w:t>aspects</w:t>
      </w:r>
      <w:r w:rsidR="00DD652B" w:rsidRPr="007673BD">
        <w:rPr>
          <w:rFonts w:ascii="Arial" w:hAnsi="Arial" w:cs="Arial"/>
          <w:sz w:val="21"/>
          <w:szCs w:val="21"/>
        </w:rPr>
        <w:t xml:space="preserve"> of the </w:t>
      </w:r>
      <w:r w:rsidR="004B7200" w:rsidRPr="007673BD">
        <w:rPr>
          <w:rFonts w:ascii="Arial" w:hAnsi="Arial" w:cs="Arial"/>
          <w:sz w:val="21"/>
          <w:szCs w:val="21"/>
        </w:rPr>
        <w:t xml:space="preserve">project should seek prior advice from Finance </w:t>
      </w:r>
      <w:r w:rsidR="008C328C" w:rsidRPr="007673BD">
        <w:rPr>
          <w:rFonts w:ascii="Arial" w:hAnsi="Arial" w:cs="Arial"/>
          <w:sz w:val="21"/>
          <w:szCs w:val="21"/>
        </w:rPr>
        <w:t>s</w:t>
      </w:r>
      <w:r w:rsidR="004B7200" w:rsidRPr="007673BD">
        <w:rPr>
          <w:rFonts w:ascii="Arial" w:hAnsi="Arial" w:cs="Arial"/>
          <w:sz w:val="21"/>
          <w:szCs w:val="21"/>
        </w:rPr>
        <w:t>ection.</w:t>
      </w:r>
      <w:bookmarkEnd w:id="43"/>
    </w:p>
    <w:p w14:paraId="6B74F63A" w14:textId="77777777" w:rsidR="004B7200" w:rsidRPr="00AC3A52" w:rsidRDefault="004B7200" w:rsidP="00ED4539">
      <w:pPr>
        <w:pStyle w:val="Heading2"/>
        <w:rPr>
          <w:rFonts w:cs="Arial"/>
        </w:rPr>
      </w:pPr>
      <w:bookmarkStart w:id="44" w:name="_Toc417380707"/>
      <w:r w:rsidRPr="00AC3A52">
        <w:rPr>
          <w:rFonts w:cs="Arial"/>
        </w:rPr>
        <w:t xml:space="preserve">Leasehold </w:t>
      </w:r>
      <w:r w:rsidR="004C511C" w:rsidRPr="00AC3A52">
        <w:rPr>
          <w:rFonts w:cs="Arial"/>
        </w:rPr>
        <w:t>i</w:t>
      </w:r>
      <w:r w:rsidRPr="00AC3A52">
        <w:rPr>
          <w:rFonts w:cs="Arial"/>
        </w:rPr>
        <w:t>mprovements</w:t>
      </w:r>
      <w:bookmarkEnd w:id="44"/>
    </w:p>
    <w:p w14:paraId="6B74F63B"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Leasehold improvements include fit</w:t>
      </w:r>
      <w:r w:rsidR="0008511F" w:rsidRPr="007673BD">
        <w:rPr>
          <w:rFonts w:ascii="Arial" w:hAnsi="Arial" w:cs="Arial"/>
          <w:sz w:val="21"/>
          <w:szCs w:val="21"/>
        </w:rPr>
        <w:t>-</w:t>
      </w:r>
      <w:r w:rsidRPr="007673BD">
        <w:rPr>
          <w:rFonts w:ascii="Arial" w:hAnsi="Arial" w:cs="Arial"/>
          <w:sz w:val="21"/>
          <w:szCs w:val="21"/>
        </w:rPr>
        <w:t xml:space="preserve">outs, security enhancements and/or renovations of leased office accommodation. Examples </w:t>
      </w:r>
      <w:r w:rsidR="00812D5D" w:rsidRPr="007673BD">
        <w:rPr>
          <w:rFonts w:ascii="Arial" w:hAnsi="Arial" w:cs="Arial"/>
          <w:sz w:val="21"/>
          <w:szCs w:val="21"/>
        </w:rPr>
        <w:t xml:space="preserve">of leasehold improvements include </w:t>
      </w:r>
      <w:r w:rsidRPr="007673BD">
        <w:rPr>
          <w:rFonts w:ascii="Arial" w:hAnsi="Arial" w:cs="Arial"/>
          <w:sz w:val="21"/>
          <w:szCs w:val="21"/>
        </w:rPr>
        <w:t>recarpeting, painting and structural improvements to a leased property upon commencement of a lease (initial office/residential fit</w:t>
      </w:r>
      <w:r w:rsidR="00812D5D" w:rsidRPr="007673BD">
        <w:rPr>
          <w:rFonts w:ascii="Arial" w:hAnsi="Arial" w:cs="Arial"/>
          <w:sz w:val="21"/>
          <w:szCs w:val="21"/>
        </w:rPr>
        <w:t>-</w:t>
      </w:r>
      <w:r w:rsidRPr="007673BD">
        <w:rPr>
          <w:rFonts w:ascii="Arial" w:hAnsi="Arial" w:cs="Arial"/>
          <w:sz w:val="21"/>
          <w:szCs w:val="21"/>
        </w:rPr>
        <w:t>out), and any subsequent refurbishment of office leased accommodation. Leasehold improvements also include immoveable fixtures (e.g. the installation of air-conditioning or CCTV security systems).</w:t>
      </w:r>
    </w:p>
    <w:p w14:paraId="6B74F63C"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If the value of a leasehold improvement is AUD </w:t>
      </w:r>
      <w:r w:rsidR="00812D5D" w:rsidRPr="007673BD">
        <w:rPr>
          <w:rFonts w:ascii="Arial" w:hAnsi="Arial" w:cs="Arial"/>
          <w:sz w:val="21"/>
          <w:szCs w:val="21"/>
        </w:rPr>
        <w:t>$</w:t>
      </w:r>
      <w:r w:rsidRPr="007673BD">
        <w:rPr>
          <w:rFonts w:ascii="Arial" w:hAnsi="Arial" w:cs="Arial"/>
          <w:sz w:val="21"/>
          <w:szCs w:val="21"/>
        </w:rPr>
        <w:t>5,000 or more it must be recorded as an asset. Leasehold improvements are initially recorded, at cost, as one (grouped) asset per leased property, with further improvements being added to the asset as they occur.</w:t>
      </w:r>
    </w:p>
    <w:p w14:paraId="6B74F63D"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asset value of a leasehold improvement is determined as follows: </w:t>
      </w:r>
    </w:p>
    <w:p w14:paraId="6B74F63E" w14:textId="77777777" w:rsidR="004B7200" w:rsidRPr="007673BD" w:rsidRDefault="004B7200" w:rsidP="006605E0">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Initial fit</w:t>
      </w:r>
      <w:r w:rsidR="00812D5D" w:rsidRPr="007673BD">
        <w:rPr>
          <w:rFonts w:ascii="Arial" w:hAnsi="Arial" w:cs="Arial"/>
          <w:sz w:val="21"/>
          <w:szCs w:val="21"/>
        </w:rPr>
        <w:t>-</w:t>
      </w:r>
      <w:r w:rsidRPr="007673BD">
        <w:rPr>
          <w:rFonts w:ascii="Arial" w:hAnsi="Arial" w:cs="Arial"/>
          <w:sz w:val="21"/>
          <w:szCs w:val="21"/>
        </w:rPr>
        <w:t xml:space="preserve">out or refurbishment/renovation of a leased property: </w:t>
      </w:r>
    </w:p>
    <w:p w14:paraId="6B74F63F" w14:textId="77777777" w:rsidR="004B7200" w:rsidRPr="007673BD" w:rsidRDefault="004B7200" w:rsidP="008A42B2">
      <w:pPr>
        <w:pStyle w:val="NormalWeb"/>
        <w:numPr>
          <w:ilvl w:val="2"/>
          <w:numId w:val="20"/>
        </w:numPr>
        <w:shd w:val="clear" w:color="auto" w:fill="FFFFFF"/>
        <w:spacing w:before="0" w:beforeAutospacing="0" w:after="120" w:afterAutospacing="0"/>
        <w:ind w:left="1843" w:hanging="567"/>
        <w:rPr>
          <w:rFonts w:ascii="Arial" w:hAnsi="Arial" w:cs="Arial"/>
          <w:sz w:val="21"/>
          <w:szCs w:val="21"/>
        </w:rPr>
      </w:pPr>
      <w:r w:rsidRPr="007673BD">
        <w:rPr>
          <w:rFonts w:ascii="Arial" w:hAnsi="Arial" w:cs="Arial"/>
          <w:sz w:val="21"/>
          <w:szCs w:val="21"/>
        </w:rPr>
        <w:t>The value is the total cost of the components of a fit</w:t>
      </w:r>
      <w:r w:rsidR="001B320F" w:rsidRPr="007673BD">
        <w:rPr>
          <w:rFonts w:ascii="Arial" w:hAnsi="Arial" w:cs="Arial"/>
          <w:sz w:val="21"/>
          <w:szCs w:val="21"/>
        </w:rPr>
        <w:t>-</w:t>
      </w:r>
      <w:r w:rsidRPr="007673BD">
        <w:rPr>
          <w:rFonts w:ascii="Arial" w:hAnsi="Arial" w:cs="Arial"/>
          <w:sz w:val="21"/>
          <w:szCs w:val="21"/>
        </w:rPr>
        <w:t xml:space="preserve">out, refurbishment or renovation project. If the cost of the project totals AUD </w:t>
      </w:r>
      <w:r w:rsidR="00EC31E1" w:rsidRPr="007673BD">
        <w:rPr>
          <w:rFonts w:ascii="Arial" w:hAnsi="Arial" w:cs="Arial"/>
          <w:sz w:val="21"/>
          <w:szCs w:val="21"/>
        </w:rPr>
        <w:t>$</w:t>
      </w:r>
      <w:r w:rsidRPr="007673BD">
        <w:rPr>
          <w:rFonts w:ascii="Arial" w:hAnsi="Arial" w:cs="Arial"/>
          <w:sz w:val="21"/>
          <w:szCs w:val="21"/>
        </w:rPr>
        <w:t xml:space="preserve">5,000 or more, the </w:t>
      </w:r>
      <w:r w:rsidRPr="007673BD">
        <w:rPr>
          <w:rFonts w:ascii="Arial" w:hAnsi="Arial" w:cs="Arial"/>
          <w:sz w:val="21"/>
          <w:szCs w:val="21"/>
        </w:rPr>
        <w:lastRenderedPageBreak/>
        <w:t>fit</w:t>
      </w:r>
      <w:r w:rsidR="001B320F" w:rsidRPr="007673BD">
        <w:rPr>
          <w:rFonts w:ascii="Arial" w:hAnsi="Arial" w:cs="Arial"/>
          <w:sz w:val="21"/>
          <w:szCs w:val="21"/>
        </w:rPr>
        <w:t>-</w:t>
      </w:r>
      <w:r w:rsidRPr="007673BD">
        <w:rPr>
          <w:rFonts w:ascii="Arial" w:hAnsi="Arial" w:cs="Arial"/>
          <w:sz w:val="21"/>
          <w:szCs w:val="21"/>
        </w:rPr>
        <w:t xml:space="preserve">out/refurbishment is to be recorded on the </w:t>
      </w:r>
      <w:r w:rsidR="00B63A16" w:rsidRPr="007673BD">
        <w:rPr>
          <w:rFonts w:ascii="Arial" w:hAnsi="Arial" w:cs="Arial"/>
          <w:sz w:val="21"/>
          <w:szCs w:val="21"/>
        </w:rPr>
        <w:t>asset register</w:t>
      </w:r>
      <w:r w:rsidRPr="007673BD">
        <w:rPr>
          <w:rFonts w:ascii="Arial" w:hAnsi="Arial" w:cs="Arial"/>
          <w:sz w:val="21"/>
          <w:szCs w:val="21"/>
        </w:rPr>
        <w:t xml:space="preserve"> as a leasehold improvement;</w:t>
      </w:r>
    </w:p>
    <w:p w14:paraId="6B74F640" w14:textId="77777777" w:rsidR="004B7200" w:rsidRPr="007673BD" w:rsidRDefault="004B7200" w:rsidP="008A42B2">
      <w:pPr>
        <w:pStyle w:val="NormalWeb"/>
        <w:numPr>
          <w:ilvl w:val="2"/>
          <w:numId w:val="20"/>
        </w:numPr>
        <w:shd w:val="clear" w:color="auto" w:fill="FFFFFF"/>
        <w:spacing w:before="0" w:beforeAutospacing="0" w:after="120" w:afterAutospacing="0"/>
        <w:ind w:left="1843" w:hanging="567"/>
        <w:rPr>
          <w:rFonts w:ascii="Arial" w:hAnsi="Arial" w:cs="Arial"/>
          <w:sz w:val="21"/>
          <w:szCs w:val="21"/>
        </w:rPr>
      </w:pPr>
      <w:r w:rsidRPr="007673BD">
        <w:rPr>
          <w:rFonts w:ascii="Arial" w:hAnsi="Arial" w:cs="Arial"/>
          <w:sz w:val="21"/>
          <w:szCs w:val="21"/>
        </w:rPr>
        <w:t>The value of a fit</w:t>
      </w:r>
      <w:r w:rsidR="001B320F" w:rsidRPr="007673BD">
        <w:rPr>
          <w:rFonts w:ascii="Arial" w:hAnsi="Arial" w:cs="Arial"/>
          <w:sz w:val="21"/>
          <w:szCs w:val="21"/>
        </w:rPr>
        <w:t>-</w:t>
      </w:r>
      <w:r w:rsidRPr="007673BD">
        <w:rPr>
          <w:rFonts w:ascii="Arial" w:hAnsi="Arial" w:cs="Arial"/>
          <w:sz w:val="21"/>
          <w:szCs w:val="21"/>
        </w:rPr>
        <w:t>out or refurbishment is the total cost of the freight, materials, installation and labour for carpeting, painting, lighting, window treatments of a fixed nature (tinting, security features), plumbing and any other structural alterations (barriers, security doors, counters, etc.); and</w:t>
      </w:r>
    </w:p>
    <w:p w14:paraId="6B74F641" w14:textId="77777777" w:rsidR="004B7200" w:rsidRPr="007673BD" w:rsidRDefault="004B7200" w:rsidP="008A42B2">
      <w:pPr>
        <w:pStyle w:val="NormalWeb"/>
        <w:numPr>
          <w:ilvl w:val="2"/>
          <w:numId w:val="20"/>
        </w:numPr>
        <w:shd w:val="clear" w:color="auto" w:fill="FFFFFF"/>
        <w:spacing w:before="0" w:beforeAutospacing="0" w:after="120" w:afterAutospacing="0"/>
        <w:ind w:left="1843" w:hanging="567"/>
        <w:rPr>
          <w:rFonts w:ascii="Arial" w:hAnsi="Arial" w:cs="Arial"/>
          <w:sz w:val="21"/>
          <w:szCs w:val="21"/>
        </w:rPr>
      </w:pPr>
      <w:r w:rsidRPr="007673BD">
        <w:rPr>
          <w:rFonts w:ascii="Arial" w:hAnsi="Arial" w:cs="Arial"/>
          <w:sz w:val="21"/>
          <w:szCs w:val="21"/>
        </w:rPr>
        <w:t>The initial estimate of the costs of dismantling and/or removing the fit</w:t>
      </w:r>
      <w:r w:rsidR="001B320F" w:rsidRPr="007673BD">
        <w:rPr>
          <w:rFonts w:ascii="Arial" w:hAnsi="Arial" w:cs="Arial"/>
          <w:sz w:val="21"/>
          <w:szCs w:val="21"/>
        </w:rPr>
        <w:t>-</w:t>
      </w:r>
      <w:r w:rsidRPr="007673BD">
        <w:rPr>
          <w:rFonts w:ascii="Arial" w:hAnsi="Arial" w:cs="Arial"/>
          <w:sz w:val="21"/>
          <w:szCs w:val="21"/>
        </w:rPr>
        <w:t>out and the costs of restoring/making good the leased property at the end of the lease.</w:t>
      </w:r>
    </w:p>
    <w:p w14:paraId="6B74F642" w14:textId="77777777" w:rsidR="004B7200" w:rsidRPr="007673BD" w:rsidRDefault="004B7200" w:rsidP="008A42B2">
      <w:pPr>
        <w:numPr>
          <w:ilvl w:val="1"/>
          <w:numId w:val="6"/>
        </w:numPr>
        <w:shd w:val="clear" w:color="auto" w:fill="FFFFFF"/>
        <w:ind w:left="1276" w:hanging="709"/>
        <w:rPr>
          <w:rFonts w:cs="Arial"/>
          <w:sz w:val="21"/>
          <w:szCs w:val="21"/>
          <w:lang w:val="en-AU"/>
        </w:rPr>
      </w:pPr>
      <w:r w:rsidRPr="007673BD">
        <w:rPr>
          <w:rFonts w:cs="Arial"/>
          <w:sz w:val="21"/>
          <w:szCs w:val="21"/>
          <w:lang w:val="en-AU"/>
        </w:rPr>
        <w:t xml:space="preserve">Immoveable fixtures: </w:t>
      </w:r>
    </w:p>
    <w:p w14:paraId="6B74F643" w14:textId="77777777" w:rsidR="004B7200" w:rsidRPr="007673BD" w:rsidRDefault="004B7200" w:rsidP="008A42B2">
      <w:pPr>
        <w:pStyle w:val="NormalWeb"/>
        <w:numPr>
          <w:ilvl w:val="2"/>
          <w:numId w:val="21"/>
        </w:numPr>
        <w:shd w:val="clear" w:color="auto" w:fill="FFFFFF"/>
        <w:spacing w:before="0" w:beforeAutospacing="0" w:after="120" w:afterAutospacing="0"/>
        <w:ind w:left="1843" w:hanging="567"/>
        <w:rPr>
          <w:rFonts w:ascii="Arial" w:hAnsi="Arial" w:cs="Arial"/>
          <w:sz w:val="21"/>
          <w:szCs w:val="21"/>
        </w:rPr>
      </w:pPr>
      <w:r w:rsidRPr="007673BD">
        <w:rPr>
          <w:rFonts w:ascii="Arial" w:hAnsi="Arial" w:cs="Arial"/>
          <w:sz w:val="21"/>
          <w:szCs w:val="21"/>
        </w:rPr>
        <w:t>The value for immoveable fixtures consists of the total cost of freight, materials, installation and associated labour costs.</w:t>
      </w:r>
    </w:p>
    <w:p w14:paraId="6B74F644"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Leasehold improvements do not include moveable furniture and fittings. Items such as whitegoods and furnishings like rugs, tables etc. do not form part of a leasehold improvement. These items should be assessed individually and recorded separately (i.e. as furniture and fittings) in the </w:t>
      </w:r>
      <w:r w:rsidR="00B63A16" w:rsidRPr="007673BD">
        <w:rPr>
          <w:rFonts w:ascii="Arial" w:hAnsi="Arial" w:cs="Arial"/>
          <w:sz w:val="21"/>
          <w:szCs w:val="21"/>
        </w:rPr>
        <w:t>asset register</w:t>
      </w:r>
      <w:r w:rsidRPr="007673BD">
        <w:rPr>
          <w:rFonts w:ascii="Arial" w:hAnsi="Arial" w:cs="Arial"/>
          <w:sz w:val="21"/>
          <w:szCs w:val="21"/>
        </w:rPr>
        <w:t xml:space="preserve">, if their cost is AUD </w:t>
      </w:r>
      <w:r w:rsidR="002043F1" w:rsidRPr="007673BD">
        <w:rPr>
          <w:rFonts w:ascii="Arial" w:hAnsi="Arial" w:cs="Arial"/>
          <w:sz w:val="21"/>
          <w:szCs w:val="21"/>
        </w:rPr>
        <w:t>$</w:t>
      </w:r>
      <w:r w:rsidRPr="007673BD">
        <w:rPr>
          <w:rFonts w:ascii="Arial" w:hAnsi="Arial" w:cs="Arial"/>
          <w:sz w:val="21"/>
          <w:szCs w:val="21"/>
        </w:rPr>
        <w:t>5,000 or more.</w:t>
      </w:r>
    </w:p>
    <w:p w14:paraId="6B74F645"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If, at the commencement of a renovation project, the projected cost is AUD </w:t>
      </w:r>
      <w:r w:rsidR="002043F1" w:rsidRPr="007673BD">
        <w:rPr>
          <w:rFonts w:ascii="Arial" w:hAnsi="Arial" w:cs="Arial"/>
          <w:sz w:val="21"/>
          <w:szCs w:val="21"/>
        </w:rPr>
        <w:t>$</w:t>
      </w:r>
      <w:r w:rsidRPr="007673BD">
        <w:rPr>
          <w:rFonts w:ascii="Arial" w:hAnsi="Arial" w:cs="Arial"/>
          <w:sz w:val="21"/>
          <w:szCs w:val="21"/>
        </w:rPr>
        <w:t xml:space="preserve">5,000 or more, all payments contributing to the cost of the associated leasehold improvement, even where payments individually may not equal AUD </w:t>
      </w:r>
      <w:r w:rsidR="002043F1" w:rsidRPr="007673BD">
        <w:rPr>
          <w:rFonts w:ascii="Arial" w:hAnsi="Arial" w:cs="Arial"/>
          <w:sz w:val="21"/>
          <w:szCs w:val="21"/>
        </w:rPr>
        <w:t>$</w:t>
      </w:r>
      <w:r w:rsidRPr="007673BD">
        <w:rPr>
          <w:rFonts w:ascii="Arial" w:hAnsi="Arial" w:cs="Arial"/>
          <w:sz w:val="21"/>
          <w:szCs w:val="21"/>
        </w:rPr>
        <w:t>5,000 or more, are to be recorded against a leasehold improvement asset.</w:t>
      </w:r>
    </w:p>
    <w:p w14:paraId="6B74F646" w14:textId="77777777" w:rsidR="00CA7DAF" w:rsidRPr="007673BD" w:rsidRDefault="00CA7DAF" w:rsidP="00CA7DAF">
      <w:pPr>
        <w:pStyle w:val="CommentText"/>
        <w:numPr>
          <w:ilvl w:val="0"/>
          <w:numId w:val="6"/>
        </w:numPr>
        <w:rPr>
          <w:sz w:val="21"/>
          <w:szCs w:val="21"/>
        </w:rPr>
      </w:pPr>
      <w:r w:rsidRPr="007673BD">
        <w:rPr>
          <w:sz w:val="21"/>
          <w:szCs w:val="21"/>
        </w:rPr>
        <w:t xml:space="preserve">After initial recognition as assets, leasehold improvements are revalued </w:t>
      </w:r>
      <w:r w:rsidR="000715F7" w:rsidRPr="007673BD">
        <w:rPr>
          <w:sz w:val="21"/>
          <w:szCs w:val="21"/>
        </w:rPr>
        <w:t>every three years</w:t>
      </w:r>
      <w:r w:rsidRPr="007673BD">
        <w:rPr>
          <w:sz w:val="21"/>
          <w:szCs w:val="21"/>
        </w:rPr>
        <w:t>. Any accumulated depreciation at the date of the revaluation is restated proportionately with the change in the asset’s gross carrying amount, so that the net carrying amount of the asset after revaluation equals its revalued amount.</w:t>
      </w:r>
    </w:p>
    <w:p w14:paraId="6B74F647" w14:textId="77777777" w:rsidR="004B7200" w:rsidRPr="007673BD" w:rsidRDefault="002043F1"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M</w:t>
      </w:r>
      <w:r w:rsidR="004B7200" w:rsidRPr="007673BD">
        <w:rPr>
          <w:rFonts w:ascii="Arial" w:hAnsi="Arial" w:cs="Arial"/>
          <w:sz w:val="21"/>
          <w:szCs w:val="21"/>
        </w:rPr>
        <w:t>aintenance and repairs do not fall within the definition of a leasehold improvement</w:t>
      </w:r>
      <w:r w:rsidRPr="007673BD">
        <w:rPr>
          <w:rFonts w:ascii="Arial" w:hAnsi="Arial" w:cs="Arial"/>
          <w:sz w:val="21"/>
          <w:szCs w:val="21"/>
        </w:rPr>
        <w:t>,</w:t>
      </w:r>
      <w:r w:rsidR="004B7200" w:rsidRPr="007673BD">
        <w:rPr>
          <w:rFonts w:ascii="Arial" w:hAnsi="Arial" w:cs="Arial"/>
          <w:sz w:val="21"/>
          <w:szCs w:val="21"/>
        </w:rPr>
        <w:t xml:space="preserve"> and should </w:t>
      </w:r>
      <w:r w:rsidR="002F7239" w:rsidRPr="007673BD">
        <w:rPr>
          <w:rFonts w:ascii="Arial" w:hAnsi="Arial" w:cs="Arial"/>
          <w:sz w:val="21"/>
          <w:szCs w:val="21"/>
        </w:rPr>
        <w:t xml:space="preserve">therefore </w:t>
      </w:r>
      <w:r w:rsidR="004B7200" w:rsidRPr="007673BD">
        <w:rPr>
          <w:rFonts w:ascii="Arial" w:hAnsi="Arial" w:cs="Arial"/>
          <w:sz w:val="21"/>
          <w:szCs w:val="21"/>
        </w:rPr>
        <w:t>be expensed. For example, the repainting of offices undertaken as maintenance, rather than as part of a refurbishment project, would not be considered a leasehold improvement.</w:t>
      </w:r>
    </w:p>
    <w:p w14:paraId="6B74F648"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Leasehold improvements must be depreciated </w:t>
      </w:r>
      <w:r w:rsidR="00CA7DAF" w:rsidRPr="007673BD">
        <w:rPr>
          <w:rFonts w:ascii="Arial" w:hAnsi="Arial" w:cs="Arial"/>
          <w:sz w:val="21"/>
          <w:szCs w:val="21"/>
        </w:rPr>
        <w:t xml:space="preserve">using the straight line method </w:t>
      </w:r>
      <w:r w:rsidRPr="007673BD">
        <w:rPr>
          <w:rFonts w:ascii="Arial" w:hAnsi="Arial" w:cs="Arial"/>
          <w:sz w:val="21"/>
          <w:szCs w:val="21"/>
        </w:rPr>
        <w:t>over the unexpired period of the lease</w:t>
      </w:r>
      <w:r w:rsidR="00CE6249" w:rsidRPr="007673BD">
        <w:rPr>
          <w:rFonts w:ascii="Arial" w:hAnsi="Arial" w:cs="Arial"/>
          <w:sz w:val="21"/>
          <w:szCs w:val="21"/>
        </w:rPr>
        <w:t xml:space="preserve"> term</w:t>
      </w:r>
      <w:r w:rsidRPr="007673BD">
        <w:rPr>
          <w:rFonts w:ascii="Arial" w:hAnsi="Arial" w:cs="Arial"/>
          <w:sz w:val="21"/>
          <w:szCs w:val="21"/>
        </w:rPr>
        <w:t xml:space="preserve"> or 10 years, whichever is the shorter. The term of lease includes any options, where there is a reasonable expectation at the commencement of the lease that the option will be exercised.</w:t>
      </w:r>
    </w:p>
    <w:p w14:paraId="6B74F649" w14:textId="77777777" w:rsidR="00275972" w:rsidRPr="00703250" w:rsidRDefault="00E72D26" w:rsidP="00275972">
      <w:pPr>
        <w:pStyle w:val="Heading3"/>
        <w:rPr>
          <w:rFonts w:cs="Arial"/>
          <w:b/>
          <w:color w:val="44546A" w:themeColor="text2"/>
          <w:szCs w:val="26"/>
        </w:rPr>
      </w:pPr>
      <w:bookmarkStart w:id="45" w:name="_Toc417380708"/>
      <w:r w:rsidRPr="00703250">
        <w:rPr>
          <w:rFonts w:cs="Arial"/>
          <w:b/>
          <w:color w:val="44546A" w:themeColor="text2"/>
          <w:szCs w:val="26"/>
        </w:rPr>
        <w:t>Make-</w:t>
      </w:r>
      <w:r w:rsidR="00275972" w:rsidRPr="00703250">
        <w:rPr>
          <w:rFonts w:cs="Arial"/>
          <w:b/>
          <w:color w:val="44546A" w:themeColor="text2"/>
          <w:szCs w:val="26"/>
        </w:rPr>
        <w:t>good</w:t>
      </w:r>
      <w:bookmarkEnd w:id="45"/>
    </w:p>
    <w:p w14:paraId="6B74F64A" w14:textId="6D49A15E" w:rsidR="00715F14" w:rsidRPr="007673BD" w:rsidRDefault="00CA7DAF" w:rsidP="00715F14">
      <w:pPr>
        <w:pStyle w:val="ListParagraph"/>
        <w:numPr>
          <w:ilvl w:val="0"/>
          <w:numId w:val="6"/>
        </w:numPr>
        <w:contextualSpacing w:val="0"/>
        <w:rPr>
          <w:sz w:val="21"/>
          <w:szCs w:val="21"/>
          <w:lang w:val="en-AU"/>
        </w:rPr>
      </w:pPr>
      <w:r w:rsidRPr="007673BD">
        <w:rPr>
          <w:sz w:val="21"/>
          <w:szCs w:val="21"/>
        </w:rPr>
        <w:t>As per R</w:t>
      </w:r>
      <w:r w:rsidR="00B078B8" w:rsidRPr="007673BD">
        <w:rPr>
          <w:sz w:val="21"/>
          <w:szCs w:val="21"/>
        </w:rPr>
        <w:t xml:space="preserve">esource </w:t>
      </w:r>
      <w:r w:rsidRPr="007673BD">
        <w:rPr>
          <w:sz w:val="21"/>
          <w:szCs w:val="21"/>
        </w:rPr>
        <w:t>M</w:t>
      </w:r>
      <w:r w:rsidR="00B078B8" w:rsidRPr="007673BD">
        <w:rPr>
          <w:sz w:val="21"/>
          <w:szCs w:val="21"/>
        </w:rPr>
        <w:t xml:space="preserve">anagement </w:t>
      </w:r>
      <w:r w:rsidRPr="007673BD">
        <w:rPr>
          <w:sz w:val="21"/>
          <w:szCs w:val="21"/>
        </w:rPr>
        <w:t>G</w:t>
      </w:r>
      <w:r w:rsidR="00B078B8" w:rsidRPr="007673BD">
        <w:rPr>
          <w:sz w:val="21"/>
          <w:szCs w:val="21"/>
        </w:rPr>
        <w:t xml:space="preserve">uide </w:t>
      </w:r>
      <w:r w:rsidRPr="007673BD">
        <w:rPr>
          <w:sz w:val="21"/>
          <w:szCs w:val="21"/>
        </w:rPr>
        <w:t>114</w:t>
      </w:r>
      <w:r w:rsidR="00B078B8" w:rsidRPr="007673BD">
        <w:rPr>
          <w:sz w:val="21"/>
          <w:szCs w:val="21"/>
        </w:rPr>
        <w:t xml:space="preserve"> (</w:t>
      </w:r>
      <w:hyperlink r:id="rId21" w:anchor="rmg114" w:history="1">
        <w:r w:rsidR="00B078B8" w:rsidRPr="007673BD">
          <w:rPr>
            <w:rStyle w:val="Hyperlink"/>
            <w:i/>
            <w:sz w:val="21"/>
            <w:szCs w:val="21"/>
          </w:rPr>
          <w:t>Accounting for decommissioning, restoration and similar provisions (‘make good’)</w:t>
        </w:r>
      </w:hyperlink>
      <w:r w:rsidR="00B078B8" w:rsidRPr="007673BD">
        <w:rPr>
          <w:sz w:val="21"/>
          <w:szCs w:val="21"/>
        </w:rPr>
        <w:t>),</w:t>
      </w:r>
      <w:r w:rsidRPr="007673BD">
        <w:rPr>
          <w:sz w:val="21"/>
          <w:szCs w:val="21"/>
        </w:rPr>
        <w:t xml:space="preserve"> </w:t>
      </w:r>
      <w:r w:rsidR="00B078B8" w:rsidRPr="007673BD">
        <w:rPr>
          <w:sz w:val="21"/>
          <w:szCs w:val="21"/>
        </w:rPr>
        <w:t>a</w:t>
      </w:r>
      <w:r w:rsidR="004B7200" w:rsidRPr="007673BD">
        <w:rPr>
          <w:sz w:val="21"/>
          <w:szCs w:val="21"/>
        </w:rPr>
        <w:t xml:space="preserve">gencies </w:t>
      </w:r>
      <w:r w:rsidR="001F086B" w:rsidRPr="007673BD">
        <w:rPr>
          <w:sz w:val="21"/>
          <w:szCs w:val="21"/>
        </w:rPr>
        <w:t xml:space="preserve">may </w:t>
      </w:r>
      <w:r w:rsidR="004B7200" w:rsidRPr="007673BD">
        <w:rPr>
          <w:sz w:val="21"/>
          <w:szCs w:val="21"/>
        </w:rPr>
        <w:t xml:space="preserve">have obligations to dismantle, remove and restore items of </w:t>
      </w:r>
      <w:r w:rsidR="00E72D26" w:rsidRPr="007673BD">
        <w:rPr>
          <w:sz w:val="21"/>
          <w:szCs w:val="21"/>
        </w:rPr>
        <w:t xml:space="preserve">leased </w:t>
      </w:r>
      <w:r w:rsidR="004B7200" w:rsidRPr="007673BD">
        <w:rPr>
          <w:sz w:val="21"/>
          <w:szCs w:val="21"/>
        </w:rPr>
        <w:t>property, plant and equipment</w:t>
      </w:r>
      <w:r w:rsidR="00715F14" w:rsidRPr="007673BD">
        <w:rPr>
          <w:sz w:val="21"/>
          <w:szCs w:val="21"/>
        </w:rPr>
        <w:t xml:space="preserve"> -</w:t>
      </w:r>
      <w:r w:rsidR="004B7200" w:rsidRPr="007673BD">
        <w:rPr>
          <w:sz w:val="21"/>
          <w:szCs w:val="21"/>
        </w:rPr>
        <w:t xml:space="preserve"> often referred to as ‘make</w:t>
      </w:r>
      <w:r w:rsidR="00E72D26" w:rsidRPr="007673BD">
        <w:rPr>
          <w:sz w:val="21"/>
          <w:szCs w:val="21"/>
        </w:rPr>
        <w:t>-</w:t>
      </w:r>
      <w:r w:rsidR="004B7200" w:rsidRPr="007673BD">
        <w:rPr>
          <w:sz w:val="21"/>
          <w:szCs w:val="21"/>
        </w:rPr>
        <w:t>good’</w:t>
      </w:r>
      <w:r w:rsidR="00ED4A3A" w:rsidRPr="007673BD">
        <w:rPr>
          <w:sz w:val="21"/>
          <w:szCs w:val="21"/>
        </w:rPr>
        <w:t xml:space="preserve"> obligations</w:t>
      </w:r>
      <w:r w:rsidR="004B7200" w:rsidRPr="007673BD">
        <w:rPr>
          <w:sz w:val="21"/>
          <w:szCs w:val="21"/>
        </w:rPr>
        <w:t xml:space="preserve">. </w:t>
      </w:r>
      <w:r w:rsidR="00715F14" w:rsidRPr="007673BD">
        <w:rPr>
          <w:sz w:val="21"/>
          <w:szCs w:val="21"/>
        </w:rPr>
        <w:t xml:space="preserve">The </w:t>
      </w:r>
      <w:r w:rsidR="00715F14" w:rsidRPr="007673BD">
        <w:rPr>
          <w:sz w:val="21"/>
          <w:szCs w:val="21"/>
          <w:lang w:val="en-AU"/>
        </w:rPr>
        <w:t xml:space="preserve">associated liabilities for make-good obligations are measured both initially and subsequently. </w:t>
      </w:r>
    </w:p>
    <w:p w14:paraId="6B74F64B" w14:textId="77777777" w:rsidR="0055665E" w:rsidRPr="007673BD" w:rsidRDefault="0055665E" w:rsidP="007673BD">
      <w:pPr>
        <w:pStyle w:val="ListParagraph"/>
        <w:numPr>
          <w:ilvl w:val="0"/>
          <w:numId w:val="6"/>
        </w:numPr>
        <w:autoSpaceDE w:val="0"/>
        <w:autoSpaceDN w:val="0"/>
        <w:adjustRightInd w:val="0"/>
        <w:spacing w:after="80"/>
        <w:contextualSpacing w:val="0"/>
        <w:rPr>
          <w:rFonts w:cs="Arial"/>
          <w:color w:val="000000"/>
          <w:sz w:val="21"/>
          <w:szCs w:val="21"/>
          <w:lang w:val="en-AU"/>
        </w:rPr>
      </w:pPr>
      <w:r w:rsidRPr="007673BD">
        <w:rPr>
          <w:rFonts w:cs="Arial"/>
          <w:color w:val="000000"/>
          <w:sz w:val="21"/>
          <w:szCs w:val="21"/>
          <w:lang w:val="en-AU"/>
        </w:rPr>
        <w:t>Provisions for make-good obligations are to be recognised and recorded as liabilities when:</w:t>
      </w:r>
    </w:p>
    <w:p w14:paraId="6B74F64C" w14:textId="5BA1DC6A" w:rsidR="0055665E" w:rsidRPr="007673BD" w:rsidRDefault="00A47CBE" w:rsidP="007673BD">
      <w:pPr>
        <w:pStyle w:val="ListParagraph"/>
        <w:numPr>
          <w:ilvl w:val="1"/>
          <w:numId w:val="6"/>
        </w:numPr>
        <w:autoSpaceDE w:val="0"/>
        <w:autoSpaceDN w:val="0"/>
        <w:adjustRightInd w:val="0"/>
        <w:spacing w:after="80"/>
        <w:ind w:left="1276" w:hanging="709"/>
        <w:contextualSpacing w:val="0"/>
        <w:rPr>
          <w:rFonts w:cs="Arial"/>
          <w:color w:val="000000"/>
          <w:sz w:val="21"/>
          <w:szCs w:val="21"/>
          <w:lang w:val="en-AU"/>
        </w:rPr>
      </w:pPr>
      <w:r w:rsidRPr="007673BD">
        <w:rPr>
          <w:rFonts w:cs="Arial"/>
          <w:color w:val="000000"/>
          <w:sz w:val="21"/>
          <w:szCs w:val="21"/>
          <w:lang w:val="en-AU"/>
        </w:rPr>
        <w:t>T</w:t>
      </w:r>
      <w:r w:rsidR="0055665E" w:rsidRPr="007673BD">
        <w:rPr>
          <w:rFonts w:cs="Arial"/>
          <w:color w:val="000000"/>
          <w:sz w:val="21"/>
          <w:szCs w:val="21"/>
          <w:lang w:val="en-AU"/>
        </w:rPr>
        <w:t>he agency has a present obligation (</w:t>
      </w:r>
      <w:hyperlink w:anchor="ObligationLegal" w:history="1">
        <w:r w:rsidR="0055665E" w:rsidRPr="007673BD">
          <w:rPr>
            <w:rStyle w:val="Hyperlink"/>
            <w:rFonts w:cs="Arial"/>
            <w:i/>
            <w:sz w:val="21"/>
            <w:szCs w:val="21"/>
            <w:lang w:val="en-AU"/>
          </w:rPr>
          <w:t>legal</w:t>
        </w:r>
      </w:hyperlink>
      <w:r w:rsidR="0055665E" w:rsidRPr="007673BD">
        <w:rPr>
          <w:rFonts w:cs="Arial"/>
          <w:color w:val="000000"/>
          <w:sz w:val="21"/>
          <w:szCs w:val="21"/>
          <w:lang w:val="en-AU"/>
        </w:rPr>
        <w:t xml:space="preserve"> or </w:t>
      </w:r>
      <w:hyperlink w:anchor="ObligationConstructive" w:history="1">
        <w:r w:rsidR="0055665E" w:rsidRPr="007673BD">
          <w:rPr>
            <w:rStyle w:val="Hyperlink"/>
            <w:rFonts w:cs="Arial"/>
            <w:i/>
            <w:sz w:val="21"/>
            <w:szCs w:val="21"/>
            <w:lang w:val="en-AU"/>
          </w:rPr>
          <w:t>constructive</w:t>
        </w:r>
      </w:hyperlink>
      <w:r w:rsidR="0055665E" w:rsidRPr="007673BD">
        <w:rPr>
          <w:rFonts w:cs="Arial"/>
          <w:color w:val="000000"/>
          <w:sz w:val="21"/>
          <w:szCs w:val="21"/>
          <w:lang w:val="en-AU"/>
        </w:rPr>
        <w:t>) as a result of a past event, and</w:t>
      </w:r>
    </w:p>
    <w:p w14:paraId="6B74F64D" w14:textId="7B2ED06D" w:rsidR="0055665E" w:rsidRPr="007673BD" w:rsidRDefault="00A47CBE" w:rsidP="007673BD">
      <w:pPr>
        <w:pStyle w:val="ListParagraph"/>
        <w:numPr>
          <w:ilvl w:val="1"/>
          <w:numId w:val="6"/>
        </w:numPr>
        <w:autoSpaceDE w:val="0"/>
        <w:autoSpaceDN w:val="0"/>
        <w:adjustRightInd w:val="0"/>
        <w:spacing w:after="80"/>
        <w:ind w:left="1276" w:hanging="709"/>
        <w:contextualSpacing w:val="0"/>
        <w:rPr>
          <w:rFonts w:cs="Arial"/>
          <w:color w:val="000000"/>
          <w:sz w:val="21"/>
          <w:szCs w:val="21"/>
          <w:lang w:val="en-AU"/>
        </w:rPr>
      </w:pPr>
      <w:r w:rsidRPr="007673BD">
        <w:rPr>
          <w:rFonts w:cs="Arial"/>
          <w:color w:val="000000"/>
          <w:sz w:val="21"/>
          <w:szCs w:val="21"/>
          <w:lang w:val="en-AU"/>
        </w:rPr>
        <w:t>I</w:t>
      </w:r>
      <w:r w:rsidR="0055665E" w:rsidRPr="007673BD">
        <w:rPr>
          <w:rFonts w:cs="Arial"/>
          <w:color w:val="000000"/>
          <w:sz w:val="21"/>
          <w:szCs w:val="21"/>
          <w:lang w:val="en-AU"/>
        </w:rPr>
        <w:t>t is probable that an outflow of resources embodying economic benefits will be required to settle the obligation, and</w:t>
      </w:r>
    </w:p>
    <w:p w14:paraId="6B74F64E" w14:textId="070E82C4" w:rsidR="0055665E" w:rsidRPr="007673BD" w:rsidRDefault="00A47CBE" w:rsidP="0055665E">
      <w:pPr>
        <w:pStyle w:val="ListParagraph"/>
        <w:numPr>
          <w:ilvl w:val="1"/>
          <w:numId w:val="6"/>
        </w:numPr>
        <w:autoSpaceDE w:val="0"/>
        <w:autoSpaceDN w:val="0"/>
        <w:adjustRightInd w:val="0"/>
        <w:ind w:left="1276" w:hanging="709"/>
        <w:contextualSpacing w:val="0"/>
        <w:rPr>
          <w:rFonts w:cs="Arial"/>
          <w:color w:val="000000"/>
          <w:sz w:val="21"/>
          <w:szCs w:val="21"/>
          <w:lang w:val="en-AU"/>
        </w:rPr>
      </w:pPr>
      <w:r w:rsidRPr="007673BD">
        <w:rPr>
          <w:rFonts w:cs="Arial"/>
          <w:color w:val="000000"/>
          <w:sz w:val="21"/>
          <w:szCs w:val="21"/>
          <w:lang w:val="en-AU"/>
        </w:rPr>
        <w:t>A</w:t>
      </w:r>
      <w:r w:rsidR="0055665E" w:rsidRPr="007673BD">
        <w:rPr>
          <w:rFonts w:cs="Arial"/>
          <w:color w:val="000000"/>
          <w:sz w:val="21"/>
          <w:szCs w:val="21"/>
          <w:lang w:val="en-AU"/>
        </w:rPr>
        <w:t xml:space="preserve"> reliable estimate can be made of the amount of the obligation</w:t>
      </w:r>
      <w:r w:rsidR="0055665E" w:rsidRPr="007673BD">
        <w:rPr>
          <w:rFonts w:cs="Arial"/>
          <w:color w:val="000000"/>
          <w:sz w:val="21"/>
          <w:szCs w:val="21"/>
          <w:lang w:val="en-AU"/>
        </w:rPr>
        <w:fldChar w:fldCharType="begin"/>
      </w:r>
      <w:r w:rsidR="0055665E" w:rsidRPr="007673BD">
        <w:rPr>
          <w:rFonts w:cs="Arial"/>
          <w:color w:val="000000"/>
          <w:sz w:val="21"/>
          <w:szCs w:val="21"/>
          <w:lang w:val="en-AU"/>
        </w:rPr>
        <w:instrText xml:space="preserve"> NOTEREF _Ref417375223 \f \h  \* MERGEFORMAT </w:instrText>
      </w:r>
      <w:r w:rsidR="0055665E" w:rsidRPr="007673BD">
        <w:rPr>
          <w:rFonts w:cs="Arial"/>
          <w:color w:val="000000"/>
          <w:sz w:val="21"/>
          <w:szCs w:val="21"/>
          <w:lang w:val="en-AU"/>
        </w:rPr>
      </w:r>
      <w:r w:rsidR="0055665E" w:rsidRPr="007673BD">
        <w:rPr>
          <w:rFonts w:cs="Arial"/>
          <w:color w:val="000000"/>
          <w:sz w:val="21"/>
          <w:szCs w:val="21"/>
          <w:lang w:val="en-AU"/>
        </w:rPr>
        <w:fldChar w:fldCharType="separate"/>
      </w:r>
      <w:r w:rsidR="00A1335C" w:rsidRPr="00A1335C">
        <w:rPr>
          <w:rStyle w:val="EndnoteReference"/>
          <w:rFonts w:cs="Arial"/>
          <w:sz w:val="21"/>
          <w:szCs w:val="21"/>
        </w:rPr>
        <w:t>15</w:t>
      </w:r>
      <w:r w:rsidR="0055665E" w:rsidRPr="007673BD">
        <w:rPr>
          <w:rFonts w:cs="Arial"/>
          <w:color w:val="000000"/>
          <w:sz w:val="21"/>
          <w:szCs w:val="21"/>
          <w:lang w:val="en-AU"/>
        </w:rPr>
        <w:fldChar w:fldCharType="end"/>
      </w:r>
      <w:r w:rsidR="0055665E" w:rsidRPr="007673BD">
        <w:rPr>
          <w:rFonts w:cs="Arial"/>
          <w:color w:val="000000"/>
          <w:sz w:val="21"/>
          <w:szCs w:val="21"/>
          <w:lang w:val="en-AU"/>
        </w:rPr>
        <w:t>.</w:t>
      </w:r>
    </w:p>
    <w:p w14:paraId="6B74F64F" w14:textId="794260CF" w:rsidR="0055665E" w:rsidRPr="007673BD" w:rsidRDefault="0055665E" w:rsidP="0055665E">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Provisions for make-good obligations are also required to be recorded as liabilities for budget purposes</w:t>
      </w:r>
      <w:r w:rsidRPr="007673BD">
        <w:rPr>
          <w:rFonts w:cs="Arial"/>
          <w:color w:val="000000"/>
          <w:sz w:val="21"/>
          <w:szCs w:val="21"/>
          <w:lang w:val="en-AU"/>
        </w:rPr>
        <w:fldChar w:fldCharType="begin"/>
      </w:r>
      <w:r w:rsidRPr="007673BD">
        <w:rPr>
          <w:rFonts w:cs="Arial"/>
          <w:color w:val="000000"/>
          <w:sz w:val="21"/>
          <w:szCs w:val="21"/>
          <w:lang w:val="en-AU"/>
        </w:rPr>
        <w:instrText xml:space="preserve"> NOTEREF _Ref415237508 \f \h  \* MERGEFORMAT </w:instrText>
      </w:r>
      <w:r w:rsidRPr="007673BD">
        <w:rPr>
          <w:rFonts w:cs="Arial"/>
          <w:color w:val="000000"/>
          <w:sz w:val="21"/>
          <w:szCs w:val="21"/>
          <w:lang w:val="en-AU"/>
        </w:rPr>
      </w:r>
      <w:r w:rsidRPr="007673BD">
        <w:rPr>
          <w:rFonts w:cs="Arial"/>
          <w:color w:val="000000"/>
          <w:sz w:val="21"/>
          <w:szCs w:val="21"/>
          <w:lang w:val="en-AU"/>
        </w:rPr>
        <w:fldChar w:fldCharType="separate"/>
      </w:r>
      <w:r w:rsidR="00A1335C" w:rsidRPr="00A1335C">
        <w:rPr>
          <w:rStyle w:val="EndnoteReference"/>
          <w:rFonts w:cs="Arial"/>
          <w:sz w:val="21"/>
          <w:szCs w:val="21"/>
        </w:rPr>
        <w:t>3</w:t>
      </w:r>
      <w:r w:rsidRPr="007673BD">
        <w:rPr>
          <w:rFonts w:cs="Arial"/>
          <w:color w:val="000000"/>
          <w:sz w:val="21"/>
          <w:szCs w:val="21"/>
          <w:lang w:val="en-AU"/>
        </w:rPr>
        <w:fldChar w:fldCharType="end"/>
      </w:r>
      <w:r w:rsidR="00CC18D1" w:rsidRPr="007673BD">
        <w:rPr>
          <w:rFonts w:cs="Arial"/>
          <w:color w:val="000000"/>
          <w:sz w:val="21"/>
          <w:szCs w:val="21"/>
          <w:lang w:val="en-AU"/>
        </w:rPr>
        <w:t xml:space="preserve">, </w:t>
      </w:r>
      <w:r w:rsidRPr="007673BD">
        <w:rPr>
          <w:rFonts w:cs="Arial"/>
          <w:color w:val="000000"/>
          <w:sz w:val="21"/>
          <w:szCs w:val="21"/>
          <w:lang w:val="en-AU"/>
        </w:rPr>
        <w:t>although funding would not normally be provided to agencies until such time as payment is required to be made</w:t>
      </w:r>
      <w:bookmarkStart w:id="46" w:name="_Ref417389852"/>
      <w:r w:rsidRPr="007673BD">
        <w:rPr>
          <w:rStyle w:val="EndnoteReference"/>
          <w:rFonts w:cs="Arial"/>
          <w:color w:val="000000"/>
          <w:sz w:val="21"/>
          <w:szCs w:val="21"/>
          <w:lang w:val="en-AU"/>
        </w:rPr>
        <w:endnoteReference w:id="7"/>
      </w:r>
      <w:bookmarkEnd w:id="46"/>
      <w:r w:rsidRPr="007673BD">
        <w:rPr>
          <w:rFonts w:cs="Arial"/>
          <w:color w:val="000000"/>
          <w:sz w:val="21"/>
          <w:szCs w:val="21"/>
          <w:lang w:val="en-AU"/>
        </w:rPr>
        <w:t xml:space="preserve">. </w:t>
      </w:r>
    </w:p>
    <w:p w14:paraId="6B74F650" w14:textId="5EAD0BC8" w:rsidR="00335228" w:rsidRPr="007673BD" w:rsidRDefault="00E50DD3" w:rsidP="00335228">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lastRenderedPageBreak/>
        <w:t>T</w:t>
      </w:r>
      <w:r w:rsidR="00335228" w:rsidRPr="007673BD">
        <w:rPr>
          <w:rFonts w:cs="Arial"/>
          <w:color w:val="000000"/>
          <w:sz w:val="21"/>
          <w:szCs w:val="21"/>
          <w:lang w:val="en-AU"/>
        </w:rPr>
        <w:t xml:space="preserve">he cost of an item of property, plant and equipment </w:t>
      </w:r>
      <w:r w:rsidRPr="007673BD">
        <w:rPr>
          <w:rFonts w:cs="Arial"/>
          <w:color w:val="000000"/>
          <w:sz w:val="21"/>
          <w:szCs w:val="21"/>
          <w:lang w:val="en-AU"/>
        </w:rPr>
        <w:t xml:space="preserve">is </w:t>
      </w:r>
      <w:r w:rsidR="00335228" w:rsidRPr="007673BD">
        <w:rPr>
          <w:rFonts w:cs="Arial"/>
          <w:color w:val="000000"/>
          <w:sz w:val="21"/>
          <w:szCs w:val="21"/>
          <w:lang w:val="en-AU"/>
        </w:rPr>
        <w:t xml:space="preserve">to include an </w:t>
      </w:r>
      <w:r w:rsidR="00C144D6" w:rsidRPr="007673BD">
        <w:rPr>
          <w:rFonts w:cs="Arial"/>
          <w:color w:val="000000"/>
          <w:sz w:val="21"/>
          <w:szCs w:val="21"/>
          <w:lang w:val="en-AU"/>
        </w:rPr>
        <w:t xml:space="preserve">initial </w:t>
      </w:r>
      <w:r w:rsidR="00335228" w:rsidRPr="007673BD">
        <w:rPr>
          <w:rFonts w:cs="Arial"/>
          <w:color w:val="000000"/>
          <w:sz w:val="21"/>
          <w:szCs w:val="21"/>
          <w:lang w:val="en-AU"/>
        </w:rPr>
        <w:t xml:space="preserve">estimate of the costs of dismantling and removing the item and restoring the site on which it is located, the obligation for which an entity incurs either when the item is acquired, or as a consequence of having used </w:t>
      </w:r>
      <w:r w:rsidR="00AA57E0" w:rsidRPr="007673BD">
        <w:rPr>
          <w:rFonts w:cs="Arial"/>
          <w:color w:val="000000"/>
          <w:sz w:val="21"/>
          <w:szCs w:val="21"/>
          <w:lang w:val="en-AU"/>
        </w:rPr>
        <w:t>it</w:t>
      </w:r>
      <w:r w:rsidR="00335228" w:rsidRPr="007673BD">
        <w:rPr>
          <w:rFonts w:cs="Arial"/>
          <w:color w:val="000000"/>
          <w:sz w:val="21"/>
          <w:szCs w:val="21"/>
          <w:lang w:val="en-AU"/>
        </w:rPr>
        <w:t xml:space="preserve"> during a period for purposes other than to produce inventories during that period</w:t>
      </w:r>
      <w:r w:rsidR="00C144D6" w:rsidRPr="007673BD">
        <w:rPr>
          <w:rFonts w:cs="Arial"/>
          <w:color w:val="000000"/>
          <w:sz w:val="21"/>
          <w:szCs w:val="21"/>
          <w:lang w:val="en-AU"/>
        </w:rPr>
        <w:fldChar w:fldCharType="begin"/>
      </w:r>
      <w:r w:rsidR="00C144D6" w:rsidRPr="007673BD">
        <w:rPr>
          <w:rFonts w:cs="Arial"/>
          <w:color w:val="000000"/>
          <w:sz w:val="21"/>
          <w:szCs w:val="21"/>
          <w:lang w:val="en-AU"/>
        </w:rPr>
        <w:instrText xml:space="preserve"> NOTEREF _Ref417389852 \f \h </w:instrText>
      </w:r>
      <w:r w:rsidR="00CC18D1" w:rsidRPr="007673BD">
        <w:rPr>
          <w:rFonts w:cs="Arial"/>
          <w:color w:val="000000"/>
          <w:sz w:val="21"/>
          <w:szCs w:val="21"/>
          <w:lang w:val="en-AU"/>
        </w:rPr>
        <w:instrText xml:space="preserve"> \* MERGEFORMAT </w:instrText>
      </w:r>
      <w:r w:rsidR="00C144D6" w:rsidRPr="007673BD">
        <w:rPr>
          <w:rFonts w:cs="Arial"/>
          <w:color w:val="000000"/>
          <w:sz w:val="21"/>
          <w:szCs w:val="21"/>
          <w:lang w:val="en-AU"/>
        </w:rPr>
      </w:r>
      <w:r w:rsidR="00C144D6" w:rsidRPr="007673BD">
        <w:rPr>
          <w:rFonts w:cs="Arial"/>
          <w:color w:val="000000"/>
          <w:sz w:val="21"/>
          <w:szCs w:val="21"/>
          <w:lang w:val="en-AU"/>
        </w:rPr>
        <w:fldChar w:fldCharType="separate"/>
      </w:r>
      <w:r w:rsidR="00A1335C" w:rsidRPr="00A1335C">
        <w:rPr>
          <w:rStyle w:val="EndnoteReference"/>
          <w:sz w:val="21"/>
          <w:szCs w:val="21"/>
        </w:rPr>
        <w:t>6</w:t>
      </w:r>
      <w:r w:rsidR="00C144D6" w:rsidRPr="007673BD">
        <w:rPr>
          <w:rFonts w:cs="Arial"/>
          <w:color w:val="000000"/>
          <w:sz w:val="21"/>
          <w:szCs w:val="21"/>
          <w:lang w:val="en-AU"/>
        </w:rPr>
        <w:fldChar w:fldCharType="end"/>
      </w:r>
      <w:r w:rsidR="00C144D6" w:rsidRPr="007673BD">
        <w:rPr>
          <w:rFonts w:cs="Arial"/>
          <w:color w:val="000000"/>
          <w:sz w:val="21"/>
          <w:szCs w:val="21"/>
          <w:vertAlign w:val="superscript"/>
          <w:lang w:val="en-AU"/>
        </w:rPr>
        <w:t>,</w:t>
      </w:r>
      <w:r w:rsidR="00335228" w:rsidRPr="007673BD">
        <w:rPr>
          <w:rFonts w:cs="Arial"/>
          <w:color w:val="000000"/>
          <w:sz w:val="21"/>
          <w:szCs w:val="21"/>
          <w:lang w:val="en-AU"/>
        </w:rPr>
        <w:fldChar w:fldCharType="begin"/>
      </w:r>
      <w:r w:rsidR="00335228" w:rsidRPr="007673BD">
        <w:rPr>
          <w:rFonts w:cs="Arial"/>
          <w:color w:val="000000"/>
          <w:sz w:val="21"/>
          <w:szCs w:val="21"/>
          <w:lang w:val="en-AU"/>
        </w:rPr>
        <w:instrText xml:space="preserve"> NOTEREF _Ref408907514 \f \h  \* MERGEFORMAT </w:instrText>
      </w:r>
      <w:r w:rsidR="00335228" w:rsidRPr="007673BD">
        <w:rPr>
          <w:rFonts w:cs="Arial"/>
          <w:color w:val="000000"/>
          <w:sz w:val="21"/>
          <w:szCs w:val="21"/>
          <w:lang w:val="en-AU"/>
        </w:rPr>
      </w:r>
      <w:r w:rsidR="00335228" w:rsidRPr="007673BD">
        <w:rPr>
          <w:rFonts w:cs="Arial"/>
          <w:color w:val="000000"/>
          <w:sz w:val="21"/>
          <w:szCs w:val="21"/>
          <w:lang w:val="en-AU"/>
        </w:rPr>
        <w:fldChar w:fldCharType="separate"/>
      </w:r>
      <w:r w:rsidR="00A1335C" w:rsidRPr="00A1335C">
        <w:rPr>
          <w:rStyle w:val="EndnoteReference"/>
          <w:rFonts w:cs="Arial"/>
          <w:sz w:val="21"/>
          <w:szCs w:val="21"/>
        </w:rPr>
        <w:t>16</w:t>
      </w:r>
      <w:r w:rsidR="00335228" w:rsidRPr="007673BD">
        <w:rPr>
          <w:rFonts w:cs="Arial"/>
          <w:color w:val="000000"/>
          <w:sz w:val="21"/>
          <w:szCs w:val="21"/>
          <w:lang w:val="en-AU"/>
        </w:rPr>
        <w:fldChar w:fldCharType="end"/>
      </w:r>
      <w:r w:rsidR="00335228" w:rsidRPr="007673BD">
        <w:rPr>
          <w:rFonts w:cs="Arial"/>
          <w:color w:val="000000"/>
          <w:sz w:val="21"/>
          <w:szCs w:val="21"/>
          <w:lang w:val="en-AU"/>
        </w:rPr>
        <w:t>.</w:t>
      </w:r>
      <w:r w:rsidRPr="007673BD">
        <w:rPr>
          <w:rFonts w:cs="Arial"/>
          <w:color w:val="000000"/>
          <w:sz w:val="21"/>
          <w:szCs w:val="21"/>
          <w:lang w:val="en-AU"/>
        </w:rPr>
        <w:t xml:space="preserve"> This initial </w:t>
      </w:r>
      <w:r w:rsidR="00C144D6" w:rsidRPr="007673BD">
        <w:rPr>
          <w:rFonts w:cs="Arial"/>
          <w:color w:val="000000"/>
          <w:sz w:val="21"/>
          <w:szCs w:val="21"/>
          <w:lang w:val="en-AU"/>
        </w:rPr>
        <w:t>estimate</w:t>
      </w:r>
      <w:r w:rsidRPr="007673BD">
        <w:rPr>
          <w:rFonts w:cs="Arial"/>
          <w:color w:val="000000"/>
          <w:sz w:val="21"/>
          <w:szCs w:val="21"/>
          <w:lang w:val="en-AU"/>
        </w:rPr>
        <w:t xml:space="preserve"> of the </w:t>
      </w:r>
      <w:r w:rsidR="00C144D6" w:rsidRPr="007673BD">
        <w:rPr>
          <w:rFonts w:cs="Arial"/>
          <w:color w:val="000000"/>
          <w:sz w:val="21"/>
          <w:szCs w:val="21"/>
          <w:lang w:val="en-AU"/>
        </w:rPr>
        <w:t>provisions</w:t>
      </w:r>
      <w:r w:rsidRPr="007673BD">
        <w:rPr>
          <w:rFonts w:cs="Arial"/>
          <w:color w:val="000000"/>
          <w:sz w:val="21"/>
          <w:szCs w:val="21"/>
          <w:lang w:val="en-AU"/>
        </w:rPr>
        <w:t xml:space="preserve"> associated with make-good obligations</w:t>
      </w:r>
      <w:r w:rsidR="00C144D6" w:rsidRPr="007673BD">
        <w:rPr>
          <w:rFonts w:cs="Arial"/>
          <w:color w:val="000000"/>
          <w:sz w:val="21"/>
          <w:szCs w:val="21"/>
          <w:lang w:val="en-AU"/>
        </w:rPr>
        <w:t xml:space="preserve"> is </w:t>
      </w:r>
      <w:r w:rsidR="00CA7DAF" w:rsidRPr="007673BD">
        <w:rPr>
          <w:rFonts w:cs="Arial"/>
          <w:color w:val="000000"/>
          <w:sz w:val="21"/>
          <w:szCs w:val="21"/>
          <w:lang w:val="en-AU"/>
        </w:rPr>
        <w:t>based on a square metre rate by a valuer</w:t>
      </w:r>
      <w:r w:rsidR="00B37AAD" w:rsidRPr="007673BD">
        <w:rPr>
          <w:rFonts w:cs="Arial"/>
          <w:color w:val="000000"/>
          <w:sz w:val="21"/>
          <w:szCs w:val="21"/>
          <w:lang w:val="en-AU"/>
        </w:rPr>
        <w:t>,</w:t>
      </w:r>
      <w:r w:rsidR="00CA7DAF" w:rsidRPr="007673BD">
        <w:rPr>
          <w:rFonts w:cs="Arial"/>
          <w:color w:val="000000"/>
          <w:sz w:val="21"/>
          <w:szCs w:val="21"/>
          <w:lang w:val="en-AU"/>
        </w:rPr>
        <w:t xml:space="preserve"> </w:t>
      </w:r>
      <w:r w:rsidR="00480A58" w:rsidRPr="007673BD">
        <w:rPr>
          <w:rFonts w:cs="Arial"/>
          <w:color w:val="000000"/>
          <w:sz w:val="21"/>
          <w:szCs w:val="21"/>
          <w:lang w:val="en-AU"/>
        </w:rPr>
        <w:t>or best estimate of the expenditure required to settle the present obligation at the end of the financial reporting period</w:t>
      </w:r>
      <w:r w:rsidR="00A90917" w:rsidRPr="007673BD">
        <w:rPr>
          <w:rFonts w:cs="Arial"/>
          <w:color w:val="000000"/>
          <w:sz w:val="21"/>
          <w:szCs w:val="21"/>
          <w:lang w:val="en-AU"/>
        </w:rPr>
        <w:t>.</w:t>
      </w:r>
      <w:r w:rsidR="00480A58" w:rsidRPr="007673BD">
        <w:rPr>
          <w:rFonts w:cs="Arial"/>
          <w:color w:val="000000"/>
          <w:sz w:val="21"/>
          <w:szCs w:val="21"/>
          <w:lang w:val="en-AU"/>
        </w:rPr>
        <w:t xml:space="preserve"> </w:t>
      </w:r>
      <w:r w:rsidR="00335228" w:rsidRPr="007673BD">
        <w:rPr>
          <w:rFonts w:cs="Arial"/>
          <w:color w:val="000000"/>
          <w:sz w:val="21"/>
          <w:szCs w:val="21"/>
          <w:lang w:val="en-AU"/>
        </w:rPr>
        <w:t xml:space="preserve">Examples of </w:t>
      </w:r>
      <w:r w:rsidR="00C144D6" w:rsidRPr="007673BD">
        <w:rPr>
          <w:rFonts w:cs="Arial"/>
          <w:color w:val="000000"/>
          <w:sz w:val="21"/>
          <w:szCs w:val="21"/>
          <w:lang w:val="en-AU"/>
        </w:rPr>
        <w:t xml:space="preserve">costs associated with </w:t>
      </w:r>
      <w:r w:rsidR="00335228" w:rsidRPr="007673BD">
        <w:rPr>
          <w:rFonts w:cs="Arial"/>
          <w:color w:val="000000"/>
          <w:sz w:val="21"/>
          <w:szCs w:val="21"/>
          <w:lang w:val="en-AU"/>
        </w:rPr>
        <w:t xml:space="preserve">make-good </w:t>
      </w:r>
      <w:r w:rsidR="00C144D6" w:rsidRPr="007673BD">
        <w:rPr>
          <w:rFonts w:cs="Arial"/>
          <w:color w:val="000000"/>
          <w:sz w:val="21"/>
          <w:szCs w:val="21"/>
          <w:lang w:val="en-AU"/>
        </w:rPr>
        <w:t>obligations</w:t>
      </w:r>
      <w:r w:rsidR="00B37AAD" w:rsidRPr="007673BD">
        <w:rPr>
          <w:rFonts w:cs="Arial"/>
          <w:color w:val="000000"/>
          <w:sz w:val="21"/>
          <w:szCs w:val="21"/>
          <w:lang w:val="en-AU"/>
        </w:rPr>
        <w:t xml:space="preserve"> include:</w:t>
      </w:r>
    </w:p>
    <w:p w14:paraId="6B74F651" w14:textId="77777777" w:rsidR="00335228" w:rsidRPr="007673BD" w:rsidRDefault="00335228" w:rsidP="00335228">
      <w:pPr>
        <w:pStyle w:val="ListParagraph"/>
        <w:numPr>
          <w:ilvl w:val="1"/>
          <w:numId w:val="6"/>
        </w:numPr>
        <w:autoSpaceDE w:val="0"/>
        <w:autoSpaceDN w:val="0"/>
        <w:adjustRightInd w:val="0"/>
        <w:ind w:left="1276" w:hanging="709"/>
        <w:contextualSpacing w:val="0"/>
        <w:rPr>
          <w:rFonts w:cs="Arial"/>
          <w:color w:val="000000"/>
          <w:sz w:val="21"/>
          <w:szCs w:val="21"/>
          <w:lang w:val="en-AU"/>
        </w:rPr>
      </w:pPr>
      <w:r w:rsidRPr="007673BD">
        <w:rPr>
          <w:rFonts w:cs="Arial"/>
          <w:bCs/>
          <w:color w:val="000000"/>
          <w:sz w:val="21"/>
          <w:szCs w:val="21"/>
          <w:lang w:val="en-AU"/>
        </w:rPr>
        <w:t xml:space="preserve">Dismantling: </w:t>
      </w:r>
      <w:r w:rsidRPr="007673BD">
        <w:rPr>
          <w:rFonts w:cs="Arial"/>
          <w:color w:val="000000"/>
          <w:sz w:val="21"/>
          <w:szCs w:val="21"/>
          <w:lang w:val="en-AU"/>
        </w:rPr>
        <w:t xml:space="preserve">the cost of taking apart a piece of machinery to allow for its removal from the site. </w:t>
      </w:r>
    </w:p>
    <w:p w14:paraId="6B74F652" w14:textId="77777777" w:rsidR="00335228" w:rsidRPr="007673BD" w:rsidRDefault="00335228" w:rsidP="00335228">
      <w:pPr>
        <w:pStyle w:val="ListParagraph"/>
        <w:numPr>
          <w:ilvl w:val="1"/>
          <w:numId w:val="6"/>
        </w:numPr>
        <w:autoSpaceDE w:val="0"/>
        <w:autoSpaceDN w:val="0"/>
        <w:adjustRightInd w:val="0"/>
        <w:ind w:left="1276" w:hanging="709"/>
        <w:contextualSpacing w:val="0"/>
        <w:rPr>
          <w:rFonts w:cs="Arial"/>
          <w:color w:val="000000"/>
          <w:sz w:val="21"/>
          <w:szCs w:val="21"/>
          <w:lang w:val="en-AU"/>
        </w:rPr>
      </w:pPr>
      <w:r w:rsidRPr="007673BD">
        <w:rPr>
          <w:rFonts w:cs="Arial"/>
          <w:bCs/>
          <w:color w:val="000000"/>
          <w:sz w:val="21"/>
          <w:szCs w:val="21"/>
          <w:lang w:val="en-AU"/>
        </w:rPr>
        <w:t xml:space="preserve">Removing: </w:t>
      </w:r>
      <w:r w:rsidRPr="007673BD">
        <w:rPr>
          <w:rFonts w:cs="Arial"/>
          <w:color w:val="000000"/>
          <w:sz w:val="21"/>
          <w:szCs w:val="21"/>
          <w:lang w:val="en-AU"/>
        </w:rPr>
        <w:t xml:space="preserve">the cost of transporting a material to a disposal facility, due to a condition of purchase that it must be disposed of in a particular manner. </w:t>
      </w:r>
    </w:p>
    <w:p w14:paraId="6B74F653" w14:textId="77777777" w:rsidR="00335228" w:rsidRPr="007673BD" w:rsidRDefault="00335228" w:rsidP="00335228">
      <w:pPr>
        <w:pStyle w:val="ListParagraph"/>
        <w:numPr>
          <w:ilvl w:val="1"/>
          <w:numId w:val="6"/>
        </w:numPr>
        <w:autoSpaceDE w:val="0"/>
        <w:autoSpaceDN w:val="0"/>
        <w:adjustRightInd w:val="0"/>
        <w:ind w:left="1276" w:hanging="709"/>
        <w:contextualSpacing w:val="0"/>
        <w:rPr>
          <w:rFonts w:cs="Arial"/>
          <w:color w:val="000000"/>
          <w:sz w:val="21"/>
          <w:szCs w:val="21"/>
          <w:lang w:val="en-AU"/>
        </w:rPr>
      </w:pPr>
      <w:r w:rsidRPr="007673BD">
        <w:rPr>
          <w:rFonts w:cs="Arial"/>
          <w:bCs/>
          <w:color w:val="000000"/>
          <w:sz w:val="21"/>
          <w:szCs w:val="21"/>
          <w:lang w:val="en-AU"/>
        </w:rPr>
        <w:t xml:space="preserve">Restoration: </w:t>
      </w:r>
      <w:r w:rsidRPr="007673BD">
        <w:rPr>
          <w:rFonts w:cs="Arial"/>
          <w:color w:val="000000"/>
          <w:sz w:val="21"/>
          <w:szCs w:val="21"/>
          <w:lang w:val="en-AU"/>
        </w:rPr>
        <w:t xml:space="preserve">the cost of returning </w:t>
      </w:r>
      <w:r w:rsidR="00CA7DAF" w:rsidRPr="007673BD">
        <w:rPr>
          <w:rFonts w:cs="Arial"/>
          <w:color w:val="000000"/>
          <w:sz w:val="21"/>
          <w:szCs w:val="21"/>
          <w:lang w:val="en-AU"/>
        </w:rPr>
        <w:t>a floor of a building to its original condition as per lease agreement</w:t>
      </w:r>
      <w:r w:rsidRPr="007673BD">
        <w:rPr>
          <w:rFonts w:cs="Arial"/>
          <w:color w:val="000000"/>
          <w:sz w:val="21"/>
          <w:szCs w:val="21"/>
          <w:lang w:val="en-AU"/>
        </w:rPr>
        <w:t xml:space="preserve">. </w:t>
      </w:r>
    </w:p>
    <w:p w14:paraId="6B74F654" w14:textId="709186C2" w:rsidR="0055665E" w:rsidRPr="007673BD" w:rsidRDefault="0055665E" w:rsidP="0055665E">
      <w:pPr>
        <w:pStyle w:val="ListParagraph"/>
        <w:numPr>
          <w:ilvl w:val="0"/>
          <w:numId w:val="6"/>
        </w:numPr>
        <w:autoSpaceDE w:val="0"/>
        <w:autoSpaceDN w:val="0"/>
        <w:adjustRightInd w:val="0"/>
        <w:contextualSpacing w:val="0"/>
        <w:rPr>
          <w:rFonts w:cs="Arial"/>
          <w:color w:val="000000"/>
          <w:sz w:val="21"/>
          <w:szCs w:val="21"/>
          <w:lang w:val="en-AU"/>
        </w:rPr>
      </w:pPr>
      <w:r w:rsidRPr="007673BD">
        <w:rPr>
          <w:rFonts w:cs="Arial"/>
          <w:color w:val="000000"/>
          <w:sz w:val="21"/>
          <w:szCs w:val="21"/>
          <w:lang w:val="en-AU"/>
        </w:rPr>
        <w:t xml:space="preserve">Subsequent measurement </w:t>
      </w:r>
      <w:r w:rsidR="00480A58" w:rsidRPr="007673BD">
        <w:rPr>
          <w:rFonts w:cs="Arial"/>
          <w:color w:val="000000"/>
          <w:sz w:val="21"/>
          <w:szCs w:val="21"/>
          <w:lang w:val="en-AU"/>
        </w:rPr>
        <w:t xml:space="preserve">by the valuer </w:t>
      </w:r>
      <w:r w:rsidR="00B37AAD" w:rsidRPr="007673BD">
        <w:rPr>
          <w:rFonts w:cs="Arial"/>
          <w:color w:val="000000"/>
          <w:sz w:val="21"/>
          <w:szCs w:val="21"/>
          <w:lang w:val="en-AU"/>
        </w:rPr>
        <w:t>(</w:t>
      </w:r>
      <w:r w:rsidR="00480A58" w:rsidRPr="007673BD">
        <w:rPr>
          <w:rFonts w:cs="Arial"/>
          <w:color w:val="000000"/>
          <w:sz w:val="21"/>
          <w:szCs w:val="21"/>
          <w:lang w:val="en-AU"/>
        </w:rPr>
        <w:t xml:space="preserve">using cost model </w:t>
      </w:r>
      <w:r w:rsidRPr="007673BD">
        <w:rPr>
          <w:rFonts w:cs="Arial"/>
          <w:color w:val="000000"/>
          <w:sz w:val="21"/>
          <w:szCs w:val="21"/>
          <w:lang w:val="en-AU"/>
        </w:rPr>
        <w:t>of the make-good component of assets</w:t>
      </w:r>
      <w:r w:rsidR="00B37AAD" w:rsidRPr="007673BD">
        <w:rPr>
          <w:rFonts w:cs="Arial"/>
          <w:color w:val="000000"/>
          <w:sz w:val="21"/>
          <w:szCs w:val="21"/>
          <w:lang w:val="en-AU"/>
        </w:rPr>
        <w:t>)</w:t>
      </w:r>
      <w:r w:rsidRPr="007673BD">
        <w:rPr>
          <w:rFonts w:cs="Arial"/>
          <w:color w:val="000000"/>
          <w:sz w:val="21"/>
          <w:szCs w:val="21"/>
          <w:lang w:val="en-AU"/>
        </w:rPr>
        <w:t xml:space="preserve"> are to be taken as the present value of the amount required to settle make-good obligations at the end of the financial reporting period. This value is then added or deducted from the cost of the related asset, with the adjusted depreciable amount being depreciated over its useful life</w:t>
      </w:r>
      <w:bookmarkStart w:id="47" w:name="_Ref417391569"/>
      <w:r w:rsidRPr="007673BD">
        <w:rPr>
          <w:rStyle w:val="EndnoteReference"/>
          <w:rFonts w:cs="Arial"/>
          <w:color w:val="000000"/>
          <w:sz w:val="21"/>
          <w:szCs w:val="21"/>
          <w:lang w:val="en-AU"/>
        </w:rPr>
        <w:endnoteReference w:id="8"/>
      </w:r>
      <w:bookmarkEnd w:id="47"/>
      <w:r w:rsidRPr="007673BD">
        <w:rPr>
          <w:rFonts w:cs="Arial"/>
          <w:color w:val="000000"/>
          <w:sz w:val="21"/>
          <w:szCs w:val="21"/>
          <w:lang w:val="en-AU"/>
        </w:rPr>
        <w:t>.</w:t>
      </w:r>
    </w:p>
    <w:p w14:paraId="6B74F655" w14:textId="7FF931F9" w:rsidR="004B7200" w:rsidRPr="007673BD" w:rsidRDefault="00852579" w:rsidP="0055665E">
      <w:pPr>
        <w:pStyle w:val="ListParagraph"/>
        <w:numPr>
          <w:ilvl w:val="0"/>
          <w:numId w:val="6"/>
        </w:numPr>
        <w:autoSpaceDE w:val="0"/>
        <w:autoSpaceDN w:val="0"/>
        <w:adjustRightInd w:val="0"/>
        <w:contextualSpacing w:val="0"/>
        <w:rPr>
          <w:rFonts w:cs="Arial"/>
          <w:color w:val="000000"/>
          <w:sz w:val="21"/>
          <w:szCs w:val="21"/>
          <w:lang w:val="en-AU"/>
        </w:rPr>
      </w:pPr>
      <w:bookmarkStart w:id="48" w:name="_Ref417385650"/>
      <w:r w:rsidRPr="007673BD">
        <w:rPr>
          <w:rFonts w:cs="Arial"/>
          <w:color w:val="000000"/>
          <w:sz w:val="21"/>
          <w:szCs w:val="21"/>
          <w:lang w:val="en-AU"/>
        </w:rPr>
        <w:t>The</w:t>
      </w:r>
      <w:r w:rsidR="004B7200" w:rsidRPr="007673BD">
        <w:rPr>
          <w:rFonts w:cs="Arial"/>
          <w:color w:val="000000"/>
          <w:sz w:val="21"/>
          <w:szCs w:val="21"/>
          <w:lang w:val="en-AU"/>
        </w:rPr>
        <w:t xml:space="preserve"> periodic unwinding of the discount </w:t>
      </w:r>
      <w:r w:rsidR="00B37AAD" w:rsidRPr="007673BD">
        <w:rPr>
          <w:rFonts w:cs="Arial"/>
          <w:color w:val="000000"/>
          <w:sz w:val="21"/>
          <w:szCs w:val="21"/>
          <w:lang w:val="en-AU"/>
        </w:rPr>
        <w:t>(</w:t>
      </w:r>
      <w:r w:rsidR="00480A58" w:rsidRPr="007673BD">
        <w:rPr>
          <w:rFonts w:cs="Arial"/>
          <w:color w:val="000000"/>
          <w:sz w:val="21"/>
          <w:szCs w:val="21"/>
          <w:lang w:val="en-AU"/>
        </w:rPr>
        <w:t xml:space="preserve">as per </w:t>
      </w:r>
      <w:hyperlink r:id="rId22" w:history="1">
        <w:r w:rsidR="00480A58" w:rsidRPr="007673BD">
          <w:rPr>
            <w:rStyle w:val="Hyperlink"/>
            <w:rFonts w:cs="Arial"/>
            <w:sz w:val="21"/>
            <w:szCs w:val="21"/>
            <w:lang w:val="en-AU"/>
          </w:rPr>
          <w:t>R</w:t>
        </w:r>
        <w:r w:rsidR="00B37AAD" w:rsidRPr="007673BD">
          <w:rPr>
            <w:rStyle w:val="Hyperlink"/>
            <w:rFonts w:cs="Arial"/>
            <w:sz w:val="21"/>
            <w:szCs w:val="21"/>
            <w:lang w:val="en-AU"/>
          </w:rPr>
          <w:t xml:space="preserve">esource </w:t>
        </w:r>
        <w:r w:rsidR="00480A58" w:rsidRPr="007673BD">
          <w:rPr>
            <w:rStyle w:val="Hyperlink"/>
            <w:rFonts w:cs="Arial"/>
            <w:sz w:val="21"/>
            <w:szCs w:val="21"/>
            <w:lang w:val="en-AU"/>
          </w:rPr>
          <w:t>M</w:t>
        </w:r>
        <w:r w:rsidR="00B37AAD" w:rsidRPr="007673BD">
          <w:rPr>
            <w:rStyle w:val="Hyperlink"/>
            <w:rFonts w:cs="Arial"/>
            <w:sz w:val="21"/>
            <w:szCs w:val="21"/>
            <w:lang w:val="en-AU"/>
          </w:rPr>
          <w:t xml:space="preserve">anagement </w:t>
        </w:r>
        <w:r w:rsidR="00480A58" w:rsidRPr="007673BD">
          <w:rPr>
            <w:rStyle w:val="Hyperlink"/>
            <w:rFonts w:cs="Arial"/>
            <w:sz w:val="21"/>
            <w:szCs w:val="21"/>
            <w:lang w:val="en-AU"/>
          </w:rPr>
          <w:t>G</w:t>
        </w:r>
        <w:r w:rsidR="00B37AAD" w:rsidRPr="007673BD">
          <w:rPr>
            <w:rStyle w:val="Hyperlink"/>
            <w:rFonts w:cs="Arial"/>
            <w:sz w:val="21"/>
            <w:szCs w:val="21"/>
            <w:lang w:val="en-AU"/>
          </w:rPr>
          <w:t>uide</w:t>
        </w:r>
        <w:r w:rsidR="00480A58" w:rsidRPr="007673BD">
          <w:rPr>
            <w:rStyle w:val="Hyperlink"/>
            <w:rFonts w:cs="Arial"/>
            <w:sz w:val="21"/>
            <w:szCs w:val="21"/>
            <w:lang w:val="en-AU"/>
          </w:rPr>
          <w:t xml:space="preserve"> 114</w:t>
        </w:r>
      </w:hyperlink>
      <w:r w:rsidR="00B37AAD" w:rsidRPr="007673BD">
        <w:rPr>
          <w:rFonts w:cs="Arial"/>
          <w:color w:val="000000"/>
          <w:sz w:val="21"/>
          <w:szCs w:val="21"/>
          <w:lang w:val="en-AU"/>
        </w:rPr>
        <w:t>, ‘</w:t>
      </w:r>
      <w:r w:rsidR="00172F52" w:rsidRPr="007673BD">
        <w:rPr>
          <w:rFonts w:cs="Arial"/>
          <w:i/>
          <w:color w:val="000000"/>
          <w:sz w:val="21"/>
          <w:szCs w:val="21"/>
          <w:lang w:val="en-AU"/>
        </w:rPr>
        <w:t>Accounting for decommissioning, restoration and similar provisions (‘make good)</w:t>
      </w:r>
      <w:r w:rsidR="00172F52" w:rsidRPr="007673BD">
        <w:rPr>
          <w:rFonts w:cs="Arial"/>
          <w:color w:val="000000"/>
          <w:sz w:val="21"/>
          <w:szCs w:val="21"/>
          <w:lang w:val="en-AU"/>
        </w:rPr>
        <w:t xml:space="preserve">’), </w:t>
      </w:r>
      <w:r w:rsidR="004B7200" w:rsidRPr="007673BD">
        <w:rPr>
          <w:rFonts w:cs="Arial"/>
          <w:color w:val="000000"/>
          <w:sz w:val="21"/>
          <w:szCs w:val="21"/>
          <w:lang w:val="en-AU"/>
        </w:rPr>
        <w:t>shall be recognised in profit or loss as a finance cost as it occurs; it cannot be capitalised</w:t>
      </w:r>
      <w:r w:rsidR="00AD3FB3" w:rsidRPr="007673BD">
        <w:rPr>
          <w:rFonts w:cs="Arial"/>
          <w:color w:val="000000"/>
          <w:sz w:val="21"/>
          <w:szCs w:val="21"/>
          <w:lang w:val="en-AU"/>
        </w:rPr>
        <w:fldChar w:fldCharType="begin"/>
      </w:r>
      <w:r w:rsidR="00AD3FB3" w:rsidRPr="007673BD">
        <w:rPr>
          <w:rFonts w:cs="Arial"/>
          <w:color w:val="000000"/>
          <w:sz w:val="21"/>
          <w:szCs w:val="21"/>
          <w:lang w:val="en-AU"/>
        </w:rPr>
        <w:instrText xml:space="preserve"> NOTEREF _Ref417391569 \f \h </w:instrText>
      </w:r>
      <w:r w:rsidR="007673BD">
        <w:rPr>
          <w:rFonts w:cs="Arial"/>
          <w:color w:val="000000"/>
          <w:sz w:val="21"/>
          <w:szCs w:val="21"/>
          <w:lang w:val="en-AU"/>
        </w:rPr>
        <w:instrText xml:space="preserve"> \* MERGEFORMAT </w:instrText>
      </w:r>
      <w:r w:rsidR="00AD3FB3" w:rsidRPr="007673BD">
        <w:rPr>
          <w:rFonts w:cs="Arial"/>
          <w:color w:val="000000"/>
          <w:sz w:val="21"/>
          <w:szCs w:val="21"/>
          <w:lang w:val="en-AU"/>
        </w:rPr>
      </w:r>
      <w:r w:rsidR="00AD3FB3" w:rsidRPr="007673BD">
        <w:rPr>
          <w:rFonts w:cs="Arial"/>
          <w:color w:val="000000"/>
          <w:sz w:val="21"/>
          <w:szCs w:val="21"/>
          <w:lang w:val="en-AU"/>
        </w:rPr>
        <w:fldChar w:fldCharType="separate"/>
      </w:r>
      <w:r w:rsidR="00A1335C" w:rsidRPr="00A1335C">
        <w:rPr>
          <w:rStyle w:val="EndnoteReference"/>
          <w:sz w:val="21"/>
          <w:szCs w:val="21"/>
        </w:rPr>
        <w:t>7</w:t>
      </w:r>
      <w:r w:rsidR="00AD3FB3" w:rsidRPr="007673BD">
        <w:rPr>
          <w:rFonts w:cs="Arial"/>
          <w:color w:val="000000"/>
          <w:sz w:val="21"/>
          <w:szCs w:val="21"/>
          <w:lang w:val="en-AU"/>
        </w:rPr>
        <w:fldChar w:fldCharType="end"/>
      </w:r>
      <w:r w:rsidR="004B7200" w:rsidRPr="007673BD">
        <w:rPr>
          <w:rFonts w:cs="Arial"/>
          <w:color w:val="000000"/>
          <w:sz w:val="21"/>
          <w:szCs w:val="21"/>
          <w:lang w:val="en-AU"/>
        </w:rPr>
        <w:t>. The unwinding of the provision should be recognised before revising the provision at year end</w:t>
      </w:r>
      <w:r w:rsidR="00AD3FB3" w:rsidRPr="007673BD">
        <w:rPr>
          <w:rFonts w:cs="Arial"/>
          <w:color w:val="000000"/>
          <w:sz w:val="21"/>
          <w:szCs w:val="21"/>
          <w:lang w:val="en-AU"/>
        </w:rPr>
        <w:fldChar w:fldCharType="begin"/>
      </w:r>
      <w:r w:rsidR="00AD3FB3" w:rsidRPr="007673BD">
        <w:rPr>
          <w:rFonts w:cs="Arial"/>
          <w:color w:val="000000"/>
          <w:sz w:val="21"/>
          <w:szCs w:val="21"/>
          <w:lang w:val="en-AU"/>
        </w:rPr>
        <w:instrText xml:space="preserve"> NOTEREF _Ref417389852 \f \h </w:instrText>
      </w:r>
      <w:r w:rsidR="007673BD">
        <w:rPr>
          <w:rFonts w:cs="Arial"/>
          <w:color w:val="000000"/>
          <w:sz w:val="21"/>
          <w:szCs w:val="21"/>
          <w:lang w:val="en-AU"/>
        </w:rPr>
        <w:instrText xml:space="preserve"> \* MERGEFORMAT </w:instrText>
      </w:r>
      <w:r w:rsidR="00AD3FB3" w:rsidRPr="007673BD">
        <w:rPr>
          <w:rFonts w:cs="Arial"/>
          <w:color w:val="000000"/>
          <w:sz w:val="21"/>
          <w:szCs w:val="21"/>
          <w:lang w:val="en-AU"/>
        </w:rPr>
      </w:r>
      <w:r w:rsidR="00AD3FB3" w:rsidRPr="007673BD">
        <w:rPr>
          <w:rFonts w:cs="Arial"/>
          <w:color w:val="000000"/>
          <w:sz w:val="21"/>
          <w:szCs w:val="21"/>
          <w:lang w:val="en-AU"/>
        </w:rPr>
        <w:fldChar w:fldCharType="separate"/>
      </w:r>
      <w:r w:rsidR="00A1335C" w:rsidRPr="00A1335C">
        <w:rPr>
          <w:rStyle w:val="EndnoteReference"/>
          <w:sz w:val="21"/>
          <w:szCs w:val="21"/>
        </w:rPr>
        <w:t>6</w:t>
      </w:r>
      <w:r w:rsidR="00AD3FB3" w:rsidRPr="007673BD">
        <w:rPr>
          <w:rFonts w:cs="Arial"/>
          <w:color w:val="000000"/>
          <w:sz w:val="21"/>
          <w:szCs w:val="21"/>
          <w:lang w:val="en-AU"/>
        </w:rPr>
        <w:fldChar w:fldCharType="end"/>
      </w:r>
      <w:r w:rsidR="004B7200" w:rsidRPr="007673BD">
        <w:rPr>
          <w:rFonts w:cs="Arial"/>
          <w:color w:val="000000"/>
          <w:sz w:val="21"/>
          <w:szCs w:val="21"/>
          <w:lang w:val="en-AU"/>
        </w:rPr>
        <w:t>.</w:t>
      </w:r>
      <w:bookmarkEnd w:id="48"/>
    </w:p>
    <w:p w14:paraId="6B74F656" w14:textId="77777777" w:rsidR="004B7200" w:rsidRPr="00715F14" w:rsidRDefault="004B7200" w:rsidP="00ED4539">
      <w:pPr>
        <w:pStyle w:val="Heading2"/>
        <w:rPr>
          <w:rFonts w:cs="Arial"/>
        </w:rPr>
      </w:pPr>
      <w:bookmarkStart w:id="49" w:name="_Toc417380709"/>
      <w:r w:rsidRPr="00715F14">
        <w:rPr>
          <w:rFonts w:cs="Arial"/>
        </w:rPr>
        <w:t>Inventory</w:t>
      </w:r>
      <w:bookmarkEnd w:id="49"/>
    </w:p>
    <w:p w14:paraId="6B74F657" w14:textId="17F0C093"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 xml:space="preserve">The </w:t>
      </w:r>
      <w:r w:rsidR="00BD2B73" w:rsidRPr="007673BD">
        <w:rPr>
          <w:rFonts w:ascii="Arial" w:hAnsi="Arial" w:cs="Arial"/>
          <w:sz w:val="21"/>
          <w:szCs w:val="21"/>
        </w:rPr>
        <w:t xml:space="preserve">agency </w:t>
      </w:r>
      <w:r w:rsidRPr="007673BD">
        <w:rPr>
          <w:rFonts w:ascii="Arial" w:hAnsi="Arial" w:cs="Arial"/>
          <w:sz w:val="21"/>
          <w:szCs w:val="21"/>
        </w:rPr>
        <w:t>holds physical inventor</w:t>
      </w:r>
      <w:r w:rsidR="005773B6" w:rsidRPr="007673BD">
        <w:rPr>
          <w:rFonts w:ascii="Arial" w:hAnsi="Arial" w:cs="Arial"/>
          <w:sz w:val="21"/>
          <w:szCs w:val="21"/>
        </w:rPr>
        <w:t>ies</w:t>
      </w:r>
      <w:r w:rsidRPr="007673BD">
        <w:rPr>
          <w:rFonts w:ascii="Arial" w:hAnsi="Arial" w:cs="Arial"/>
          <w:sz w:val="21"/>
          <w:szCs w:val="21"/>
        </w:rPr>
        <w:t xml:space="preserve"> for sale or distribution </w:t>
      </w:r>
      <w:r w:rsidR="00BD2B73" w:rsidRPr="007673BD">
        <w:rPr>
          <w:rFonts w:ascii="Arial" w:hAnsi="Arial" w:cs="Arial"/>
          <w:sz w:val="21"/>
          <w:szCs w:val="21"/>
        </w:rPr>
        <w:t xml:space="preserve">within </w:t>
      </w:r>
      <w:r w:rsidRPr="007673BD">
        <w:rPr>
          <w:rFonts w:ascii="Arial" w:hAnsi="Arial" w:cs="Arial"/>
          <w:sz w:val="21"/>
          <w:szCs w:val="21"/>
        </w:rPr>
        <w:t xml:space="preserve">Reef HQ </w:t>
      </w:r>
      <w:r w:rsidR="00BD2B73" w:rsidRPr="007673BD">
        <w:rPr>
          <w:rFonts w:ascii="Arial" w:hAnsi="Arial" w:cs="Arial"/>
          <w:sz w:val="21"/>
          <w:szCs w:val="21"/>
        </w:rPr>
        <w:t>(s</w:t>
      </w:r>
      <w:r w:rsidRPr="007673BD">
        <w:rPr>
          <w:rFonts w:ascii="Arial" w:hAnsi="Arial" w:cs="Arial"/>
          <w:sz w:val="21"/>
          <w:szCs w:val="21"/>
        </w:rPr>
        <w:t xml:space="preserve">hop items). </w:t>
      </w:r>
      <w:r w:rsidR="006C4ADA" w:rsidRPr="007673BD">
        <w:rPr>
          <w:rFonts w:ascii="Arial" w:hAnsi="Arial" w:cs="Arial"/>
          <w:sz w:val="21"/>
          <w:szCs w:val="21"/>
        </w:rPr>
        <w:t>T</w:t>
      </w:r>
      <w:r w:rsidRPr="007673BD">
        <w:rPr>
          <w:rFonts w:ascii="Arial" w:hAnsi="Arial" w:cs="Arial"/>
          <w:sz w:val="21"/>
          <w:szCs w:val="21"/>
        </w:rPr>
        <w:t>hese inventory items must be considered for recognition as a non-financial asset</w:t>
      </w:r>
      <w:r w:rsidR="00714CBC" w:rsidRPr="007673BD">
        <w:rPr>
          <w:rFonts w:ascii="Arial" w:hAnsi="Arial" w:cs="Arial"/>
          <w:sz w:val="21"/>
          <w:szCs w:val="21"/>
        </w:rPr>
        <w:t>, measured at the lower of cost and net realisable value</w:t>
      </w:r>
      <w:r w:rsidR="006C4ADA" w:rsidRPr="007673BD">
        <w:rPr>
          <w:rFonts w:ascii="Arial" w:hAnsi="Arial" w:cs="Arial"/>
          <w:sz w:val="21"/>
          <w:szCs w:val="21"/>
        </w:rPr>
        <w:fldChar w:fldCharType="begin"/>
      </w:r>
      <w:r w:rsidR="006C4ADA" w:rsidRPr="007673BD">
        <w:rPr>
          <w:rFonts w:ascii="Arial" w:hAnsi="Arial" w:cs="Arial"/>
          <w:sz w:val="21"/>
          <w:szCs w:val="21"/>
        </w:rPr>
        <w:instrText xml:space="preserve"> NOTEREF _Ref417392093 \f \h  \* MERGEFORMAT </w:instrText>
      </w:r>
      <w:r w:rsidR="006C4ADA" w:rsidRPr="007673BD">
        <w:rPr>
          <w:rFonts w:ascii="Arial" w:hAnsi="Arial" w:cs="Arial"/>
          <w:sz w:val="21"/>
          <w:szCs w:val="21"/>
        </w:rPr>
      </w:r>
      <w:r w:rsidR="006C4ADA" w:rsidRPr="007673BD">
        <w:rPr>
          <w:rFonts w:ascii="Arial" w:hAnsi="Arial" w:cs="Arial"/>
          <w:sz w:val="21"/>
          <w:szCs w:val="21"/>
        </w:rPr>
        <w:fldChar w:fldCharType="separate"/>
      </w:r>
      <w:r w:rsidR="00A1335C" w:rsidRPr="00A1335C">
        <w:rPr>
          <w:rStyle w:val="EndnoteReference"/>
          <w:rFonts w:ascii="Arial" w:hAnsi="Arial" w:cs="Arial"/>
          <w:sz w:val="21"/>
          <w:szCs w:val="21"/>
        </w:rPr>
        <w:t>13</w:t>
      </w:r>
      <w:r w:rsidR="006C4ADA" w:rsidRPr="007673BD">
        <w:rPr>
          <w:rFonts w:ascii="Arial" w:hAnsi="Arial" w:cs="Arial"/>
          <w:sz w:val="21"/>
          <w:szCs w:val="21"/>
        </w:rPr>
        <w:fldChar w:fldCharType="end"/>
      </w:r>
      <w:r w:rsidRPr="007673BD">
        <w:rPr>
          <w:rFonts w:ascii="Arial" w:hAnsi="Arial" w:cs="Arial"/>
          <w:sz w:val="21"/>
          <w:szCs w:val="21"/>
        </w:rPr>
        <w:t>.</w:t>
      </w:r>
    </w:p>
    <w:p w14:paraId="6B74F658" w14:textId="6C258DC1" w:rsidR="005773B6"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r w:rsidRPr="007673BD">
        <w:rPr>
          <w:rFonts w:ascii="Arial" w:hAnsi="Arial" w:cs="Arial"/>
          <w:sz w:val="21"/>
          <w:szCs w:val="21"/>
        </w:rPr>
        <w:t>Like other non-financial assets, the cost of inventor</w:t>
      </w:r>
      <w:r w:rsidR="005773B6" w:rsidRPr="007673BD">
        <w:rPr>
          <w:rFonts w:ascii="Arial" w:hAnsi="Arial" w:cs="Arial"/>
          <w:sz w:val="21"/>
          <w:szCs w:val="21"/>
        </w:rPr>
        <w:t>ies</w:t>
      </w:r>
      <w:r w:rsidRPr="007673BD">
        <w:rPr>
          <w:rFonts w:ascii="Arial" w:hAnsi="Arial" w:cs="Arial"/>
          <w:sz w:val="21"/>
          <w:szCs w:val="21"/>
        </w:rPr>
        <w:t xml:space="preserve"> should </w:t>
      </w:r>
      <w:r w:rsidR="005773B6" w:rsidRPr="007673BD">
        <w:rPr>
          <w:rFonts w:ascii="Arial" w:hAnsi="Arial" w:cs="Arial"/>
          <w:sz w:val="21"/>
          <w:szCs w:val="21"/>
        </w:rPr>
        <w:t>comprise all costs of purchase (other than any refundable taxes), costs of conversion and other costs incurred in bringing the inventories to their present location and condition</w:t>
      </w:r>
      <w:r w:rsidR="005773B6" w:rsidRPr="007673BD">
        <w:rPr>
          <w:rFonts w:ascii="Arial" w:hAnsi="Arial" w:cs="Arial"/>
          <w:sz w:val="21"/>
          <w:szCs w:val="21"/>
        </w:rPr>
        <w:fldChar w:fldCharType="begin"/>
      </w:r>
      <w:r w:rsidR="005773B6" w:rsidRPr="007673BD">
        <w:rPr>
          <w:rFonts w:ascii="Arial" w:hAnsi="Arial" w:cs="Arial"/>
          <w:sz w:val="21"/>
          <w:szCs w:val="21"/>
        </w:rPr>
        <w:instrText xml:space="preserve"> NOTEREF _Ref417392093 \f \h  \* MERGEFORMAT </w:instrText>
      </w:r>
      <w:r w:rsidR="005773B6" w:rsidRPr="007673BD">
        <w:rPr>
          <w:rFonts w:ascii="Arial" w:hAnsi="Arial" w:cs="Arial"/>
          <w:sz w:val="21"/>
          <w:szCs w:val="21"/>
        </w:rPr>
      </w:r>
      <w:r w:rsidR="005773B6" w:rsidRPr="007673BD">
        <w:rPr>
          <w:rFonts w:ascii="Arial" w:hAnsi="Arial" w:cs="Arial"/>
          <w:sz w:val="21"/>
          <w:szCs w:val="21"/>
        </w:rPr>
        <w:fldChar w:fldCharType="separate"/>
      </w:r>
      <w:r w:rsidR="00A1335C" w:rsidRPr="00A1335C">
        <w:rPr>
          <w:rStyle w:val="EndnoteReference"/>
          <w:rFonts w:ascii="Arial" w:hAnsi="Arial" w:cs="Arial"/>
          <w:sz w:val="21"/>
          <w:szCs w:val="21"/>
        </w:rPr>
        <w:t>13</w:t>
      </w:r>
      <w:r w:rsidR="005773B6" w:rsidRPr="007673BD">
        <w:rPr>
          <w:rFonts w:ascii="Arial" w:hAnsi="Arial" w:cs="Arial"/>
          <w:sz w:val="21"/>
          <w:szCs w:val="21"/>
        </w:rPr>
        <w:fldChar w:fldCharType="end"/>
      </w:r>
      <w:r w:rsidR="005773B6" w:rsidRPr="007673BD">
        <w:rPr>
          <w:rFonts w:ascii="Arial" w:hAnsi="Arial" w:cs="Arial"/>
          <w:sz w:val="21"/>
          <w:szCs w:val="21"/>
        </w:rPr>
        <w:t xml:space="preserve">. </w:t>
      </w:r>
    </w:p>
    <w:p w14:paraId="6B74F659" w14:textId="77777777" w:rsidR="005773B6" w:rsidRPr="007673BD" w:rsidRDefault="005773B6" w:rsidP="005773B6">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 xml:space="preserve">Examples of costs included in the cost of inventories are </w:t>
      </w:r>
      <w:r w:rsidR="00714CBC" w:rsidRPr="007673BD">
        <w:rPr>
          <w:rFonts w:ascii="Arial" w:hAnsi="Arial" w:cs="Arial"/>
          <w:sz w:val="21"/>
          <w:szCs w:val="21"/>
        </w:rPr>
        <w:t>import duties</w:t>
      </w:r>
      <w:r w:rsidR="004B7200" w:rsidRPr="007673BD">
        <w:rPr>
          <w:rFonts w:ascii="Arial" w:hAnsi="Arial" w:cs="Arial"/>
          <w:sz w:val="21"/>
          <w:szCs w:val="21"/>
        </w:rPr>
        <w:t>, transport</w:t>
      </w:r>
      <w:r w:rsidRPr="007673BD">
        <w:rPr>
          <w:rFonts w:ascii="Arial" w:hAnsi="Arial" w:cs="Arial"/>
          <w:sz w:val="21"/>
          <w:szCs w:val="21"/>
        </w:rPr>
        <w:t xml:space="preserve"> costs</w:t>
      </w:r>
      <w:r w:rsidR="004B7200" w:rsidRPr="007673BD">
        <w:rPr>
          <w:rFonts w:ascii="Arial" w:hAnsi="Arial" w:cs="Arial"/>
          <w:sz w:val="21"/>
          <w:szCs w:val="21"/>
        </w:rPr>
        <w:t>, handling and other costs directly attributable to the acquisition of the finished goods</w:t>
      </w:r>
      <w:r w:rsidR="00714CBC" w:rsidRPr="007673BD">
        <w:rPr>
          <w:rFonts w:ascii="Arial" w:hAnsi="Arial" w:cs="Arial"/>
          <w:sz w:val="21"/>
          <w:szCs w:val="21"/>
        </w:rPr>
        <w:t>, materials and services</w:t>
      </w:r>
      <w:r w:rsidR="004B7200" w:rsidRPr="007673BD">
        <w:rPr>
          <w:rFonts w:ascii="Arial" w:hAnsi="Arial" w:cs="Arial"/>
          <w:sz w:val="21"/>
          <w:szCs w:val="21"/>
        </w:rPr>
        <w:t>.</w:t>
      </w:r>
      <w:r w:rsidRPr="007673BD">
        <w:rPr>
          <w:rFonts w:ascii="Arial" w:hAnsi="Arial" w:cs="Arial"/>
          <w:sz w:val="21"/>
          <w:szCs w:val="21"/>
        </w:rPr>
        <w:br/>
      </w:r>
      <w:r w:rsidRPr="007673BD">
        <w:rPr>
          <w:rFonts w:ascii="Arial" w:hAnsi="Arial" w:cs="Arial"/>
          <w:b/>
          <w:color w:val="C00000"/>
          <w:sz w:val="21"/>
          <w:szCs w:val="21"/>
        </w:rPr>
        <w:t>Note</w:t>
      </w:r>
      <w:r w:rsidRPr="007673BD">
        <w:rPr>
          <w:rFonts w:ascii="Arial" w:hAnsi="Arial" w:cs="Arial"/>
          <w:sz w:val="21"/>
          <w:szCs w:val="21"/>
        </w:rPr>
        <w:t>: Trade discounts, rebates and other similar items are deducted in determining the costs of purchase.</w:t>
      </w:r>
    </w:p>
    <w:p w14:paraId="6B74F65A" w14:textId="77777777" w:rsidR="005773B6" w:rsidRPr="007673BD" w:rsidRDefault="005773B6" w:rsidP="005773B6">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Examples of costs excluded from the cost of inventories (and recognised as expenses in the period in which they occur) are abnormal amounts of wasted material, labour or other production costs, storage costs (unless they are necessary in the production process before further production), administrative overheads that do not contribute to bringing inventories to their present location and condition, and selling costs.</w:t>
      </w:r>
    </w:p>
    <w:p w14:paraId="6B74F65B" w14:textId="77777777" w:rsidR="004B7200" w:rsidRPr="007673BD" w:rsidRDefault="004B7200" w:rsidP="007D338B">
      <w:pPr>
        <w:pStyle w:val="NormalWeb"/>
        <w:numPr>
          <w:ilvl w:val="0"/>
          <w:numId w:val="6"/>
        </w:numPr>
        <w:shd w:val="clear" w:color="auto" w:fill="FFFFFF"/>
        <w:spacing w:before="0" w:beforeAutospacing="0" w:after="120" w:afterAutospacing="0"/>
        <w:rPr>
          <w:rFonts w:ascii="Arial" w:hAnsi="Arial" w:cs="Arial"/>
          <w:sz w:val="21"/>
          <w:szCs w:val="21"/>
        </w:rPr>
      </w:pPr>
      <w:bookmarkStart w:id="50" w:name="_Ref417455788"/>
      <w:r w:rsidRPr="007673BD">
        <w:rPr>
          <w:rFonts w:ascii="Arial" w:hAnsi="Arial" w:cs="Arial"/>
          <w:sz w:val="21"/>
          <w:szCs w:val="21"/>
        </w:rPr>
        <w:t>Inventor</w:t>
      </w:r>
      <w:r w:rsidR="00634D97" w:rsidRPr="007673BD">
        <w:rPr>
          <w:rFonts w:ascii="Arial" w:hAnsi="Arial" w:cs="Arial"/>
          <w:sz w:val="21"/>
          <w:szCs w:val="21"/>
        </w:rPr>
        <w:t xml:space="preserve">ies </w:t>
      </w:r>
      <w:r w:rsidRPr="007673BD">
        <w:rPr>
          <w:rFonts w:ascii="Arial" w:hAnsi="Arial" w:cs="Arial"/>
          <w:sz w:val="21"/>
          <w:szCs w:val="21"/>
        </w:rPr>
        <w:t>are subject to the same management and accountability principles and practices as other non-financial assets.</w:t>
      </w:r>
      <w:bookmarkEnd w:id="50"/>
      <w:r w:rsidR="008841F0" w:rsidRPr="007673BD">
        <w:rPr>
          <w:rFonts w:ascii="Arial" w:hAnsi="Arial" w:cs="Arial"/>
          <w:sz w:val="21"/>
          <w:szCs w:val="21"/>
        </w:rPr>
        <w:t xml:space="preserve"> As such, the following apply:</w:t>
      </w:r>
    </w:p>
    <w:p w14:paraId="6B74F65C" w14:textId="77777777" w:rsidR="004B7200" w:rsidRPr="007673BD" w:rsidRDefault="004B7200" w:rsidP="006605E0">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Stocktakes of inventor</w:t>
      </w:r>
      <w:r w:rsidR="008841F0" w:rsidRPr="007673BD">
        <w:rPr>
          <w:rFonts w:ascii="Arial" w:hAnsi="Arial" w:cs="Arial"/>
          <w:sz w:val="21"/>
          <w:szCs w:val="21"/>
        </w:rPr>
        <w:t>ies</w:t>
      </w:r>
      <w:r w:rsidRPr="007673BD">
        <w:rPr>
          <w:rFonts w:ascii="Arial" w:hAnsi="Arial" w:cs="Arial"/>
          <w:sz w:val="21"/>
          <w:szCs w:val="21"/>
        </w:rPr>
        <w:t xml:space="preserve"> should be undertaken, at a minimum, annually as part of </w:t>
      </w:r>
      <w:r w:rsidR="00172FE6" w:rsidRPr="007673BD">
        <w:rPr>
          <w:rFonts w:ascii="Arial" w:hAnsi="Arial" w:cs="Arial"/>
          <w:sz w:val="21"/>
          <w:szCs w:val="21"/>
        </w:rPr>
        <w:t xml:space="preserve">the agency’s </w:t>
      </w:r>
      <w:r w:rsidRPr="007673BD">
        <w:rPr>
          <w:rFonts w:ascii="Arial" w:hAnsi="Arial" w:cs="Arial"/>
          <w:sz w:val="21"/>
          <w:szCs w:val="21"/>
        </w:rPr>
        <w:t>asset stocktake process.</w:t>
      </w:r>
    </w:p>
    <w:p w14:paraId="6B74F65D" w14:textId="2EE2CDFF" w:rsidR="004B7200" w:rsidRPr="007673BD" w:rsidRDefault="004B7200" w:rsidP="006605E0">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Decisions on the disposal of inventor</w:t>
      </w:r>
      <w:r w:rsidR="008841F0" w:rsidRPr="007673BD">
        <w:rPr>
          <w:rFonts w:ascii="Arial" w:hAnsi="Arial" w:cs="Arial"/>
          <w:sz w:val="21"/>
          <w:szCs w:val="21"/>
        </w:rPr>
        <w:t>ies</w:t>
      </w:r>
      <w:r w:rsidRPr="007673BD">
        <w:rPr>
          <w:rFonts w:ascii="Arial" w:hAnsi="Arial" w:cs="Arial"/>
          <w:sz w:val="21"/>
          <w:szCs w:val="21"/>
        </w:rPr>
        <w:t xml:space="preserve"> should </w:t>
      </w:r>
      <w:r w:rsidR="008841F0" w:rsidRPr="007673BD">
        <w:rPr>
          <w:rFonts w:ascii="Arial" w:hAnsi="Arial" w:cs="Arial"/>
          <w:sz w:val="21"/>
          <w:szCs w:val="21"/>
        </w:rPr>
        <w:t>be in accordance with the ‘</w:t>
      </w:r>
      <w:hyperlink w:anchor="_Asset_disposal" w:history="1">
        <w:r w:rsidR="008841F0" w:rsidRPr="007673BD">
          <w:rPr>
            <w:rStyle w:val="Hyperlink"/>
            <w:rFonts w:ascii="Arial" w:hAnsi="Arial" w:cs="Arial"/>
            <w:sz w:val="21"/>
            <w:szCs w:val="21"/>
          </w:rPr>
          <w:t>asset disposal</w:t>
        </w:r>
      </w:hyperlink>
      <w:r w:rsidR="008841F0" w:rsidRPr="007673BD">
        <w:rPr>
          <w:rFonts w:ascii="Arial" w:hAnsi="Arial" w:cs="Arial"/>
          <w:sz w:val="21"/>
          <w:szCs w:val="21"/>
        </w:rPr>
        <w:t xml:space="preserve">’ portion of this policy and plan, and aim to achieve </w:t>
      </w:r>
      <w:r w:rsidRPr="007673BD">
        <w:rPr>
          <w:rFonts w:ascii="Arial" w:hAnsi="Arial" w:cs="Arial"/>
          <w:sz w:val="21"/>
          <w:szCs w:val="21"/>
        </w:rPr>
        <w:t xml:space="preserve">the best net outcome for </w:t>
      </w:r>
      <w:r w:rsidR="008841F0" w:rsidRPr="007673BD">
        <w:rPr>
          <w:rFonts w:ascii="Arial" w:hAnsi="Arial" w:cs="Arial"/>
          <w:sz w:val="21"/>
          <w:szCs w:val="21"/>
        </w:rPr>
        <w:t>the agency</w:t>
      </w:r>
      <w:r w:rsidRPr="007673BD">
        <w:rPr>
          <w:rFonts w:ascii="Arial" w:hAnsi="Arial" w:cs="Arial"/>
          <w:sz w:val="21"/>
          <w:szCs w:val="21"/>
        </w:rPr>
        <w:t xml:space="preserve">. The best net outcome </w:t>
      </w:r>
      <w:r w:rsidR="008841F0" w:rsidRPr="007673BD">
        <w:rPr>
          <w:rFonts w:ascii="Arial" w:hAnsi="Arial" w:cs="Arial"/>
          <w:sz w:val="21"/>
          <w:szCs w:val="21"/>
        </w:rPr>
        <w:t xml:space="preserve">may </w:t>
      </w:r>
      <w:r w:rsidRPr="007673BD">
        <w:rPr>
          <w:rFonts w:ascii="Arial" w:hAnsi="Arial" w:cs="Arial"/>
          <w:sz w:val="21"/>
          <w:szCs w:val="21"/>
        </w:rPr>
        <w:t>not necessarily mean the highest dollar return.</w:t>
      </w:r>
    </w:p>
    <w:p w14:paraId="6B74F65E" w14:textId="77777777" w:rsidR="004B7200" w:rsidRPr="007056D1" w:rsidRDefault="004B7200" w:rsidP="00ED4539">
      <w:pPr>
        <w:pStyle w:val="Heading2"/>
        <w:rPr>
          <w:rFonts w:cs="Arial"/>
        </w:rPr>
      </w:pPr>
      <w:bookmarkStart w:id="51" w:name="_Toc417380710"/>
      <w:r w:rsidRPr="007056D1">
        <w:rPr>
          <w:rFonts w:cs="Arial"/>
        </w:rPr>
        <w:lastRenderedPageBreak/>
        <w:t xml:space="preserve">Portable and </w:t>
      </w:r>
      <w:r w:rsidR="004C511C" w:rsidRPr="007056D1">
        <w:rPr>
          <w:rFonts w:cs="Arial"/>
        </w:rPr>
        <w:t>a</w:t>
      </w:r>
      <w:r w:rsidRPr="007056D1">
        <w:rPr>
          <w:rFonts w:cs="Arial"/>
        </w:rPr>
        <w:t>ttractive</w:t>
      </w:r>
      <w:r w:rsidR="004C511C" w:rsidRPr="007056D1">
        <w:rPr>
          <w:rFonts w:cs="Arial"/>
        </w:rPr>
        <w:t xml:space="preserve"> it</w:t>
      </w:r>
      <w:r w:rsidRPr="007056D1">
        <w:rPr>
          <w:rFonts w:cs="Arial"/>
        </w:rPr>
        <w:t>ems</w:t>
      </w:r>
      <w:bookmarkEnd w:id="51"/>
    </w:p>
    <w:p w14:paraId="6B74F65F" w14:textId="77777777" w:rsidR="004B7200" w:rsidRPr="007673BD" w:rsidRDefault="00D2678A" w:rsidP="008223B4">
      <w:pPr>
        <w:numPr>
          <w:ilvl w:val="0"/>
          <w:numId w:val="6"/>
        </w:numPr>
        <w:shd w:val="clear" w:color="auto" w:fill="FFFFFF"/>
        <w:rPr>
          <w:rFonts w:cs="Arial"/>
          <w:sz w:val="21"/>
          <w:szCs w:val="21"/>
        </w:rPr>
      </w:pPr>
      <w:r w:rsidRPr="007673BD">
        <w:rPr>
          <w:rFonts w:cs="Arial"/>
          <w:sz w:val="21"/>
          <w:szCs w:val="21"/>
          <w:lang w:val="en-AU"/>
        </w:rPr>
        <w:t>Non-consumable, non-depreciable tangible assets valued below</w:t>
      </w:r>
      <w:r w:rsidR="004B7200" w:rsidRPr="007673BD">
        <w:rPr>
          <w:rFonts w:cs="Arial"/>
          <w:sz w:val="21"/>
          <w:szCs w:val="21"/>
          <w:lang w:val="en-AU"/>
        </w:rPr>
        <w:t xml:space="preserve"> </w:t>
      </w:r>
      <w:r w:rsidR="00812D5D" w:rsidRPr="007673BD">
        <w:rPr>
          <w:rFonts w:cs="Arial"/>
          <w:sz w:val="21"/>
          <w:szCs w:val="21"/>
          <w:lang w:val="en-AU"/>
        </w:rPr>
        <w:t>AUD $</w:t>
      </w:r>
      <w:r w:rsidR="004B7200" w:rsidRPr="007673BD">
        <w:rPr>
          <w:rFonts w:cs="Arial"/>
          <w:sz w:val="21"/>
          <w:szCs w:val="21"/>
          <w:lang w:val="en-AU"/>
        </w:rPr>
        <w:t xml:space="preserve">5,000 </w:t>
      </w:r>
      <w:r w:rsidRPr="007673BD">
        <w:rPr>
          <w:rFonts w:cs="Arial"/>
          <w:sz w:val="21"/>
          <w:szCs w:val="21"/>
          <w:lang w:val="en-AU"/>
        </w:rPr>
        <w:t xml:space="preserve">which are susceptible to theft or loss due to their portable nature and attractiveness for personal use or resale </w:t>
      </w:r>
      <w:r w:rsidR="004B7200" w:rsidRPr="007673BD">
        <w:rPr>
          <w:rFonts w:cs="Arial"/>
          <w:sz w:val="21"/>
          <w:szCs w:val="21"/>
          <w:lang w:val="en-AU"/>
        </w:rPr>
        <w:t xml:space="preserve">are referred to as ‘portable and attractive' items.  </w:t>
      </w:r>
      <w:r w:rsidR="00930929" w:rsidRPr="007673BD">
        <w:rPr>
          <w:rFonts w:cs="Arial"/>
          <w:sz w:val="21"/>
          <w:szCs w:val="21"/>
          <w:lang w:val="en-AU"/>
        </w:rPr>
        <w:t>Portable and attractive</w:t>
      </w:r>
      <w:r w:rsidR="004B7200" w:rsidRPr="007673BD">
        <w:rPr>
          <w:rFonts w:cs="Arial"/>
          <w:sz w:val="21"/>
          <w:szCs w:val="21"/>
          <w:lang w:val="en-AU"/>
        </w:rPr>
        <w:t xml:space="preserve"> items will not be capitalised, but will be registered</w:t>
      </w:r>
      <w:r w:rsidR="00930929" w:rsidRPr="007673BD">
        <w:rPr>
          <w:rFonts w:cs="Arial"/>
          <w:sz w:val="21"/>
          <w:szCs w:val="21"/>
          <w:lang w:val="en-AU"/>
        </w:rPr>
        <w:t>.</w:t>
      </w:r>
      <w:r w:rsidR="004B7200" w:rsidRPr="007673BD">
        <w:rPr>
          <w:rFonts w:cs="Arial"/>
          <w:sz w:val="21"/>
          <w:szCs w:val="21"/>
          <w:lang w:val="en-AU"/>
        </w:rPr>
        <w:t xml:space="preserve">  </w:t>
      </w:r>
    </w:p>
    <w:p w14:paraId="6B74F660" w14:textId="07D43C4A" w:rsidR="004B7200" w:rsidRPr="007673BD" w:rsidRDefault="004B7200" w:rsidP="004C511C">
      <w:pPr>
        <w:pStyle w:val="ListParagraph"/>
        <w:numPr>
          <w:ilvl w:val="0"/>
          <w:numId w:val="6"/>
        </w:numPr>
        <w:contextualSpacing w:val="0"/>
        <w:rPr>
          <w:rFonts w:cs="Arial"/>
          <w:sz w:val="21"/>
          <w:szCs w:val="21"/>
          <w:lang w:val="en-AU"/>
        </w:rPr>
      </w:pPr>
      <w:r w:rsidRPr="007673BD">
        <w:rPr>
          <w:rFonts w:cs="Arial"/>
          <w:sz w:val="21"/>
          <w:szCs w:val="21"/>
          <w:lang w:val="en-AU"/>
        </w:rPr>
        <w:t xml:space="preserve">Responsibility and accountability for portable and attractive items is devolved to </w:t>
      </w:r>
      <w:r w:rsidR="005E1534" w:rsidRPr="007673BD">
        <w:rPr>
          <w:rFonts w:cs="Arial"/>
          <w:sz w:val="21"/>
          <w:szCs w:val="21"/>
          <w:lang w:val="en-AU"/>
        </w:rPr>
        <w:t xml:space="preserve">any </w:t>
      </w:r>
      <w:r w:rsidR="008C328C" w:rsidRPr="007673BD">
        <w:rPr>
          <w:rFonts w:cs="Arial"/>
          <w:sz w:val="21"/>
          <w:szCs w:val="21"/>
          <w:lang w:val="en-AU"/>
        </w:rPr>
        <w:t xml:space="preserve">section </w:t>
      </w:r>
      <w:r w:rsidRPr="007673BD">
        <w:rPr>
          <w:rFonts w:cs="Arial"/>
          <w:sz w:val="21"/>
          <w:szCs w:val="21"/>
          <w:lang w:val="en-AU"/>
        </w:rPr>
        <w:t xml:space="preserve">Director </w:t>
      </w:r>
      <w:r w:rsidR="005E1534" w:rsidRPr="007673BD">
        <w:rPr>
          <w:rFonts w:cs="Arial"/>
          <w:sz w:val="21"/>
          <w:szCs w:val="21"/>
          <w:lang w:val="en-AU"/>
        </w:rPr>
        <w:t xml:space="preserve">who </w:t>
      </w:r>
      <w:r w:rsidRPr="007673BD">
        <w:rPr>
          <w:rFonts w:cs="Arial"/>
          <w:sz w:val="21"/>
          <w:szCs w:val="21"/>
          <w:lang w:val="en-AU"/>
        </w:rPr>
        <w:t xml:space="preserve">holds </w:t>
      </w:r>
      <w:r w:rsidR="005E1534" w:rsidRPr="007673BD">
        <w:rPr>
          <w:rFonts w:cs="Arial"/>
          <w:sz w:val="21"/>
          <w:szCs w:val="21"/>
          <w:lang w:val="en-AU"/>
        </w:rPr>
        <w:t xml:space="preserve">such </w:t>
      </w:r>
      <w:r w:rsidRPr="007673BD">
        <w:rPr>
          <w:rFonts w:cs="Arial"/>
          <w:sz w:val="21"/>
          <w:szCs w:val="21"/>
          <w:lang w:val="en-AU"/>
        </w:rPr>
        <w:t>items</w:t>
      </w:r>
      <w:r w:rsidR="005E1534" w:rsidRPr="007673BD">
        <w:rPr>
          <w:rFonts w:cs="Arial"/>
          <w:sz w:val="21"/>
          <w:szCs w:val="21"/>
          <w:lang w:val="en-AU"/>
        </w:rPr>
        <w:t xml:space="preserve"> on behalf of the agency</w:t>
      </w:r>
      <w:r w:rsidRPr="007673BD">
        <w:rPr>
          <w:rFonts w:cs="Arial"/>
          <w:sz w:val="21"/>
          <w:szCs w:val="21"/>
          <w:lang w:val="en-AU"/>
        </w:rPr>
        <w:t xml:space="preserve">. All </w:t>
      </w:r>
      <w:r w:rsidR="005E1534" w:rsidRPr="007673BD">
        <w:rPr>
          <w:rFonts w:cs="Arial"/>
          <w:sz w:val="21"/>
          <w:szCs w:val="21"/>
          <w:lang w:val="en-AU"/>
        </w:rPr>
        <w:t xml:space="preserve">officials and contractors </w:t>
      </w:r>
      <w:r w:rsidRPr="007673BD">
        <w:rPr>
          <w:rFonts w:cs="Arial"/>
          <w:sz w:val="21"/>
          <w:szCs w:val="21"/>
          <w:lang w:val="en-AU"/>
        </w:rPr>
        <w:t>have an obligation to ensure that such items are safeguarded at all times.</w:t>
      </w:r>
      <w:r w:rsidR="00F4399D" w:rsidRPr="007673BD">
        <w:rPr>
          <w:rFonts w:cs="Arial"/>
          <w:sz w:val="21"/>
          <w:szCs w:val="21"/>
          <w:lang w:val="en-AU"/>
        </w:rPr>
        <w:t xml:space="preserve"> This may include storage of items in a secure location, area or in a locked cabinet.</w:t>
      </w:r>
    </w:p>
    <w:p w14:paraId="6B74F661" w14:textId="61381195" w:rsidR="004B7200" w:rsidRPr="007673BD" w:rsidRDefault="00930929" w:rsidP="004C511C">
      <w:pPr>
        <w:pStyle w:val="ListParagraph"/>
        <w:numPr>
          <w:ilvl w:val="0"/>
          <w:numId w:val="6"/>
        </w:numPr>
        <w:contextualSpacing w:val="0"/>
        <w:rPr>
          <w:rFonts w:cs="Arial"/>
          <w:sz w:val="21"/>
          <w:szCs w:val="21"/>
          <w:lang w:val="en-AU"/>
        </w:rPr>
      </w:pPr>
      <w:r w:rsidRPr="007673BD">
        <w:rPr>
          <w:rFonts w:cs="Arial"/>
          <w:sz w:val="21"/>
          <w:szCs w:val="21"/>
          <w:lang w:val="en-AU"/>
        </w:rPr>
        <w:t xml:space="preserve">The acquisition of </w:t>
      </w:r>
      <w:r w:rsidR="005E1534" w:rsidRPr="007673BD">
        <w:rPr>
          <w:rFonts w:cs="Arial"/>
          <w:sz w:val="21"/>
          <w:szCs w:val="21"/>
          <w:lang w:val="en-AU"/>
        </w:rPr>
        <w:t xml:space="preserve">portable and attractive items which intend to be </w:t>
      </w:r>
      <w:r w:rsidR="004B7200" w:rsidRPr="007673BD">
        <w:rPr>
          <w:rFonts w:cs="Arial"/>
          <w:sz w:val="21"/>
          <w:szCs w:val="21"/>
          <w:lang w:val="en-AU"/>
        </w:rPr>
        <w:t>connected to the</w:t>
      </w:r>
      <w:r w:rsidR="005E1534" w:rsidRPr="007673BD">
        <w:rPr>
          <w:rFonts w:cs="Arial"/>
          <w:sz w:val="21"/>
          <w:szCs w:val="21"/>
          <w:lang w:val="en-AU"/>
        </w:rPr>
        <w:t xml:space="preserve"> agency’s information technology</w:t>
      </w:r>
      <w:r w:rsidR="004B7200" w:rsidRPr="007673BD">
        <w:rPr>
          <w:rFonts w:cs="Arial"/>
          <w:sz w:val="21"/>
          <w:szCs w:val="21"/>
          <w:lang w:val="en-AU"/>
        </w:rPr>
        <w:t xml:space="preserve"> network at </w:t>
      </w:r>
      <w:r w:rsidR="001B2D75" w:rsidRPr="007673BD">
        <w:rPr>
          <w:rFonts w:cs="Arial"/>
          <w:sz w:val="21"/>
          <w:szCs w:val="21"/>
          <w:lang w:val="en-AU"/>
        </w:rPr>
        <w:t>any time</w:t>
      </w:r>
      <w:r w:rsidRPr="007673BD">
        <w:rPr>
          <w:rFonts w:cs="Arial"/>
          <w:sz w:val="21"/>
          <w:szCs w:val="21"/>
          <w:lang w:val="en-AU"/>
        </w:rPr>
        <w:t>,</w:t>
      </w:r>
      <w:r w:rsidR="004B7200" w:rsidRPr="007673BD">
        <w:rPr>
          <w:rFonts w:cs="Arial"/>
          <w:sz w:val="21"/>
          <w:szCs w:val="21"/>
          <w:lang w:val="en-AU"/>
        </w:rPr>
        <w:t xml:space="preserve"> must </w:t>
      </w:r>
      <w:r w:rsidR="005E1534" w:rsidRPr="007673BD">
        <w:rPr>
          <w:rFonts w:cs="Arial"/>
          <w:sz w:val="21"/>
          <w:szCs w:val="21"/>
          <w:lang w:val="en-AU"/>
        </w:rPr>
        <w:t xml:space="preserve">have received </w:t>
      </w:r>
      <w:r w:rsidR="004B7200" w:rsidRPr="007673BD">
        <w:rPr>
          <w:rFonts w:cs="Arial"/>
          <w:sz w:val="21"/>
          <w:szCs w:val="21"/>
          <w:lang w:val="en-AU"/>
        </w:rPr>
        <w:t xml:space="preserve">prior approval </w:t>
      </w:r>
      <w:r w:rsidR="005E1534" w:rsidRPr="007673BD">
        <w:rPr>
          <w:rFonts w:cs="Arial"/>
          <w:sz w:val="21"/>
          <w:szCs w:val="21"/>
          <w:lang w:val="en-AU"/>
        </w:rPr>
        <w:t xml:space="preserve">from </w:t>
      </w:r>
      <w:r w:rsidR="004B7200" w:rsidRPr="007673BD">
        <w:rPr>
          <w:rFonts w:cs="Arial"/>
          <w:sz w:val="21"/>
          <w:szCs w:val="21"/>
          <w:lang w:val="en-AU"/>
        </w:rPr>
        <w:t xml:space="preserve">the </w:t>
      </w:r>
      <w:r w:rsidR="005E1534" w:rsidRPr="007673BD">
        <w:rPr>
          <w:rFonts w:cs="Arial"/>
          <w:sz w:val="21"/>
          <w:szCs w:val="21"/>
          <w:lang w:val="en-AU"/>
        </w:rPr>
        <w:t>Chief Information Officer.</w:t>
      </w:r>
      <w:r w:rsidR="005B7128" w:rsidRPr="007673BD">
        <w:rPr>
          <w:rFonts w:cs="Arial"/>
          <w:sz w:val="21"/>
          <w:szCs w:val="21"/>
          <w:lang w:val="en-AU"/>
        </w:rPr>
        <w:t xml:space="preserve"> </w:t>
      </w:r>
      <w:r w:rsidR="005B7128" w:rsidRPr="007673BD">
        <w:rPr>
          <w:sz w:val="21"/>
          <w:szCs w:val="21"/>
        </w:rPr>
        <w:t>Assistant Director, IT Operations is responsible for the oversight of all orders placed through the WoG panel arrangement, which includes mobile devices and other IT equipment. Staff ordering from the WoG panel are required to seek approval of their proposed orders from the Assistant Director, IT Operations; Manager, Governance and Security; or the CIO.  The is in line with the IT mobile device ordering process workflow</w:t>
      </w:r>
    </w:p>
    <w:p w14:paraId="6B74F662" w14:textId="22F4EBCE" w:rsidR="004B7200" w:rsidRPr="007673BD" w:rsidRDefault="004B7200" w:rsidP="004C511C">
      <w:pPr>
        <w:pStyle w:val="ListParagraph"/>
        <w:numPr>
          <w:ilvl w:val="0"/>
          <w:numId w:val="6"/>
        </w:numPr>
        <w:contextualSpacing w:val="0"/>
        <w:rPr>
          <w:rFonts w:cs="Arial"/>
          <w:sz w:val="21"/>
          <w:szCs w:val="21"/>
          <w:lang w:val="en-AU"/>
        </w:rPr>
      </w:pPr>
      <w:r w:rsidRPr="007673BD">
        <w:rPr>
          <w:rFonts w:cs="Arial"/>
          <w:sz w:val="21"/>
          <w:szCs w:val="21"/>
          <w:lang w:val="en-AU"/>
        </w:rPr>
        <w:t xml:space="preserve">Upon receipt of a portable and attractive item, the responsible </w:t>
      </w:r>
      <w:r w:rsidR="005E1534" w:rsidRPr="007673BD">
        <w:rPr>
          <w:rFonts w:cs="Arial"/>
          <w:sz w:val="21"/>
          <w:szCs w:val="21"/>
          <w:lang w:val="en-AU"/>
        </w:rPr>
        <w:t xml:space="preserve">section </w:t>
      </w:r>
      <w:r w:rsidRPr="007673BD">
        <w:rPr>
          <w:rFonts w:cs="Arial"/>
          <w:sz w:val="21"/>
          <w:szCs w:val="21"/>
          <w:lang w:val="en-AU"/>
        </w:rPr>
        <w:t xml:space="preserve">Director </w:t>
      </w:r>
      <w:r w:rsidR="005E1534" w:rsidRPr="007673BD">
        <w:rPr>
          <w:rFonts w:cs="Arial"/>
          <w:sz w:val="21"/>
          <w:szCs w:val="21"/>
          <w:lang w:val="en-AU"/>
        </w:rPr>
        <w:t xml:space="preserve">must </w:t>
      </w:r>
      <w:r w:rsidR="00A852D4" w:rsidRPr="007673BD">
        <w:rPr>
          <w:rFonts w:cs="Arial"/>
          <w:sz w:val="21"/>
          <w:szCs w:val="21"/>
          <w:lang w:val="en-AU"/>
        </w:rPr>
        <w:t>upload</w:t>
      </w:r>
      <w:r w:rsidR="005E1534" w:rsidRPr="007673BD">
        <w:rPr>
          <w:rFonts w:cs="Arial"/>
          <w:sz w:val="21"/>
          <w:szCs w:val="21"/>
          <w:lang w:val="en-AU"/>
        </w:rPr>
        <w:t xml:space="preserve"> all </w:t>
      </w:r>
      <w:r w:rsidRPr="007673BD">
        <w:rPr>
          <w:rFonts w:cs="Arial"/>
          <w:sz w:val="21"/>
          <w:szCs w:val="21"/>
          <w:lang w:val="en-AU"/>
        </w:rPr>
        <w:t>relevant details</w:t>
      </w:r>
      <w:r w:rsidR="00602E31" w:rsidRPr="007673BD">
        <w:rPr>
          <w:rFonts w:cs="Arial"/>
          <w:sz w:val="21"/>
          <w:szCs w:val="21"/>
          <w:lang w:val="en-AU"/>
        </w:rPr>
        <w:t xml:space="preserve"> via </w:t>
      </w:r>
      <w:hyperlink r:id="rId23" w:history="1">
        <w:r w:rsidR="00602E31" w:rsidRPr="007673BD">
          <w:rPr>
            <w:rStyle w:val="Hyperlink"/>
            <w:rFonts w:cs="Arial"/>
            <w:sz w:val="21"/>
            <w:szCs w:val="21"/>
            <w:lang w:val="en-AU"/>
          </w:rPr>
          <w:t>TheDock</w:t>
        </w:r>
      </w:hyperlink>
      <w:r w:rsidR="005E1534" w:rsidRPr="007673BD">
        <w:rPr>
          <w:rFonts w:cs="Arial"/>
          <w:sz w:val="21"/>
          <w:szCs w:val="21"/>
          <w:lang w:val="en-AU"/>
        </w:rPr>
        <w:t xml:space="preserve"> (as per their ‘</w:t>
      </w:r>
      <w:hyperlink w:anchor="_Accountabilities_/_responsibilities" w:history="1">
        <w:r w:rsidR="008223B4" w:rsidRPr="007673BD">
          <w:rPr>
            <w:rStyle w:val="Hyperlink"/>
            <w:rFonts w:cs="Arial"/>
            <w:sz w:val="21"/>
            <w:szCs w:val="21"/>
            <w:lang w:val="en-AU"/>
          </w:rPr>
          <w:t>accountabilities/ responsibilities</w:t>
        </w:r>
      </w:hyperlink>
      <w:r w:rsidR="008223B4" w:rsidRPr="007673BD">
        <w:rPr>
          <w:rFonts w:cs="Arial"/>
          <w:sz w:val="21"/>
          <w:szCs w:val="21"/>
          <w:lang w:val="en-AU"/>
        </w:rPr>
        <w:t>’)</w:t>
      </w:r>
      <w:r w:rsidRPr="007673BD">
        <w:rPr>
          <w:rFonts w:cs="Arial"/>
          <w:sz w:val="21"/>
          <w:szCs w:val="21"/>
          <w:lang w:val="en-AU"/>
        </w:rPr>
        <w:t xml:space="preserve">. A barcode </w:t>
      </w:r>
      <w:r w:rsidR="00A852D4" w:rsidRPr="007673BD">
        <w:rPr>
          <w:rFonts w:cs="Arial"/>
          <w:sz w:val="21"/>
          <w:szCs w:val="21"/>
          <w:lang w:val="en-AU"/>
        </w:rPr>
        <w:t xml:space="preserve">may </w:t>
      </w:r>
      <w:r w:rsidRPr="007673BD">
        <w:rPr>
          <w:rFonts w:cs="Arial"/>
          <w:sz w:val="21"/>
          <w:szCs w:val="21"/>
          <w:lang w:val="en-AU"/>
        </w:rPr>
        <w:t xml:space="preserve">be </w:t>
      </w:r>
      <w:r w:rsidR="008223B4" w:rsidRPr="007673BD">
        <w:rPr>
          <w:rFonts w:cs="Arial"/>
          <w:sz w:val="21"/>
          <w:szCs w:val="21"/>
          <w:lang w:val="en-AU"/>
        </w:rPr>
        <w:t xml:space="preserve">provided </w:t>
      </w:r>
      <w:r w:rsidR="00A852D4" w:rsidRPr="007673BD">
        <w:rPr>
          <w:rFonts w:cs="Arial"/>
          <w:sz w:val="21"/>
          <w:szCs w:val="21"/>
          <w:lang w:val="en-AU"/>
        </w:rPr>
        <w:t xml:space="preserve">by Finance </w:t>
      </w:r>
      <w:r w:rsidRPr="007673BD">
        <w:rPr>
          <w:rFonts w:cs="Arial"/>
          <w:sz w:val="21"/>
          <w:szCs w:val="21"/>
          <w:lang w:val="en-AU"/>
        </w:rPr>
        <w:t xml:space="preserve">to assign </w:t>
      </w:r>
      <w:r w:rsidR="008223B4" w:rsidRPr="007673BD">
        <w:rPr>
          <w:rFonts w:cs="Arial"/>
          <w:sz w:val="21"/>
          <w:szCs w:val="21"/>
          <w:lang w:val="en-AU"/>
        </w:rPr>
        <w:t>and affix to</w:t>
      </w:r>
      <w:r w:rsidRPr="007673BD">
        <w:rPr>
          <w:rFonts w:cs="Arial"/>
          <w:sz w:val="21"/>
          <w:szCs w:val="21"/>
          <w:lang w:val="en-AU"/>
        </w:rPr>
        <w:t xml:space="preserve"> the </w:t>
      </w:r>
      <w:r w:rsidR="008223B4" w:rsidRPr="007673BD">
        <w:rPr>
          <w:rFonts w:cs="Arial"/>
          <w:sz w:val="21"/>
          <w:szCs w:val="21"/>
          <w:lang w:val="en-AU"/>
        </w:rPr>
        <w:t xml:space="preserve">portable and attractive </w:t>
      </w:r>
      <w:r w:rsidRPr="007673BD">
        <w:rPr>
          <w:rFonts w:cs="Arial"/>
          <w:sz w:val="21"/>
          <w:szCs w:val="21"/>
          <w:lang w:val="en-AU"/>
        </w:rPr>
        <w:t xml:space="preserve">item. </w:t>
      </w:r>
    </w:p>
    <w:p w14:paraId="6B74F663" w14:textId="2EE3408E" w:rsidR="004B7200" w:rsidRPr="007673BD" w:rsidRDefault="008223B4" w:rsidP="007673BD">
      <w:pPr>
        <w:pStyle w:val="ListParagraph"/>
        <w:numPr>
          <w:ilvl w:val="0"/>
          <w:numId w:val="6"/>
        </w:numPr>
        <w:spacing w:after="80"/>
        <w:contextualSpacing w:val="0"/>
        <w:rPr>
          <w:rFonts w:cs="Arial"/>
          <w:sz w:val="21"/>
          <w:szCs w:val="21"/>
          <w:lang w:val="en-AU"/>
        </w:rPr>
      </w:pPr>
      <w:r w:rsidRPr="007673BD">
        <w:rPr>
          <w:rFonts w:cs="Arial"/>
          <w:sz w:val="21"/>
          <w:szCs w:val="21"/>
          <w:lang w:val="en-AU"/>
        </w:rPr>
        <w:t xml:space="preserve">The </w:t>
      </w:r>
      <w:r w:rsidR="004B7200" w:rsidRPr="007673BD">
        <w:rPr>
          <w:rFonts w:cs="Arial"/>
          <w:sz w:val="21"/>
          <w:szCs w:val="21"/>
          <w:lang w:val="en-AU"/>
        </w:rPr>
        <w:t xml:space="preserve">portable and attractive register </w:t>
      </w:r>
      <w:r w:rsidRPr="007673BD">
        <w:rPr>
          <w:rFonts w:cs="Arial"/>
          <w:sz w:val="21"/>
          <w:szCs w:val="21"/>
          <w:lang w:val="en-AU"/>
        </w:rPr>
        <w:t>lo</w:t>
      </w:r>
      <w:r w:rsidR="00F4399D" w:rsidRPr="007673BD">
        <w:rPr>
          <w:rFonts w:cs="Arial"/>
          <w:sz w:val="21"/>
          <w:szCs w:val="21"/>
          <w:lang w:val="en-AU"/>
        </w:rPr>
        <w:t xml:space="preserve">cated within </w:t>
      </w:r>
      <w:hyperlink r:id="rId24" w:history="1">
        <w:r w:rsidR="00F4399D" w:rsidRPr="007673BD">
          <w:rPr>
            <w:rStyle w:val="Hyperlink"/>
            <w:rFonts w:cs="Arial"/>
            <w:sz w:val="21"/>
            <w:szCs w:val="21"/>
            <w:lang w:val="en-AU"/>
          </w:rPr>
          <w:t>TheDock</w:t>
        </w:r>
      </w:hyperlink>
      <w:r w:rsidR="00F4399D" w:rsidRPr="007673BD">
        <w:rPr>
          <w:rFonts w:cs="Arial"/>
          <w:sz w:val="21"/>
          <w:szCs w:val="21"/>
          <w:lang w:val="en-AU"/>
        </w:rPr>
        <w:t xml:space="preserve"> </w:t>
      </w:r>
      <w:r w:rsidRPr="007673BD">
        <w:rPr>
          <w:rFonts w:cs="Arial"/>
          <w:sz w:val="21"/>
          <w:szCs w:val="21"/>
          <w:lang w:val="en-AU"/>
        </w:rPr>
        <w:t xml:space="preserve">is to be maintained by relevant section(s), oversighted by the Finance section and </w:t>
      </w:r>
      <w:r w:rsidR="00DD652B" w:rsidRPr="007673BD">
        <w:rPr>
          <w:rFonts w:cs="Arial"/>
          <w:sz w:val="21"/>
          <w:szCs w:val="21"/>
          <w:lang w:val="en-AU"/>
        </w:rPr>
        <w:t xml:space="preserve">may </w:t>
      </w:r>
      <w:r w:rsidR="001066D1" w:rsidRPr="007673BD">
        <w:rPr>
          <w:rFonts w:cs="Arial"/>
          <w:sz w:val="21"/>
          <w:szCs w:val="21"/>
          <w:lang w:val="en-AU"/>
        </w:rPr>
        <w:t>contain</w:t>
      </w:r>
      <w:r w:rsidR="00DD652B" w:rsidRPr="007673BD">
        <w:rPr>
          <w:rFonts w:cs="Arial"/>
          <w:sz w:val="21"/>
          <w:szCs w:val="21"/>
          <w:lang w:val="en-AU"/>
        </w:rPr>
        <w:t>, but not limited to,</w:t>
      </w:r>
      <w:r w:rsidR="001066D1" w:rsidRPr="007673BD">
        <w:rPr>
          <w:rFonts w:cs="Arial"/>
          <w:sz w:val="21"/>
          <w:szCs w:val="21"/>
          <w:lang w:val="en-AU"/>
        </w:rPr>
        <w:t xml:space="preserve"> </w:t>
      </w:r>
      <w:r w:rsidR="004B7200" w:rsidRPr="007673BD">
        <w:rPr>
          <w:rFonts w:cs="Arial"/>
          <w:sz w:val="21"/>
          <w:szCs w:val="21"/>
          <w:lang w:val="en-AU"/>
        </w:rPr>
        <w:t xml:space="preserve">the following </w:t>
      </w:r>
      <w:r w:rsidR="00F4399D" w:rsidRPr="007673BD">
        <w:rPr>
          <w:rFonts w:cs="Arial"/>
          <w:sz w:val="21"/>
          <w:szCs w:val="21"/>
          <w:lang w:val="en-AU"/>
        </w:rPr>
        <w:t xml:space="preserve">metadata </w:t>
      </w:r>
      <w:r w:rsidRPr="007673BD">
        <w:rPr>
          <w:rFonts w:cs="Arial"/>
          <w:sz w:val="21"/>
          <w:szCs w:val="21"/>
          <w:lang w:val="en-AU"/>
        </w:rPr>
        <w:t>information</w:t>
      </w:r>
      <w:r w:rsidR="004B7200" w:rsidRPr="007673BD">
        <w:rPr>
          <w:rFonts w:cs="Arial"/>
          <w:sz w:val="21"/>
          <w:szCs w:val="21"/>
          <w:lang w:val="en-AU"/>
        </w:rPr>
        <w:t>:</w:t>
      </w:r>
    </w:p>
    <w:p w14:paraId="6B74F664" w14:textId="1ED89C7D"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A</w:t>
      </w:r>
      <w:r w:rsidR="008223B4" w:rsidRPr="007673BD">
        <w:rPr>
          <w:rFonts w:ascii="Arial" w:hAnsi="Arial" w:cs="Arial"/>
          <w:sz w:val="21"/>
          <w:szCs w:val="21"/>
        </w:rPr>
        <w:t xml:space="preserve"> </w:t>
      </w:r>
      <w:r w:rsidR="004B7200" w:rsidRPr="007673BD">
        <w:rPr>
          <w:rFonts w:ascii="Arial" w:hAnsi="Arial" w:cs="Arial"/>
          <w:sz w:val="21"/>
          <w:szCs w:val="21"/>
        </w:rPr>
        <w:t>description of the item;</w:t>
      </w:r>
    </w:p>
    <w:p w14:paraId="6B74F665" w14:textId="77EF66AE"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A</w:t>
      </w:r>
      <w:r w:rsidR="008223B4" w:rsidRPr="007673BD">
        <w:rPr>
          <w:rFonts w:ascii="Arial" w:hAnsi="Arial" w:cs="Arial"/>
          <w:sz w:val="21"/>
          <w:szCs w:val="21"/>
        </w:rPr>
        <w:t xml:space="preserve"> designated </w:t>
      </w:r>
      <w:r w:rsidR="004B7200" w:rsidRPr="007673BD">
        <w:rPr>
          <w:rFonts w:ascii="Arial" w:hAnsi="Arial" w:cs="Arial"/>
          <w:sz w:val="21"/>
          <w:szCs w:val="21"/>
        </w:rPr>
        <w:t>custodian</w:t>
      </w:r>
      <w:r w:rsidR="008223B4" w:rsidRPr="007673BD">
        <w:rPr>
          <w:rFonts w:ascii="Arial" w:hAnsi="Arial" w:cs="Arial"/>
          <w:sz w:val="21"/>
          <w:szCs w:val="21"/>
        </w:rPr>
        <w:t xml:space="preserve"> for the item</w:t>
      </w:r>
      <w:r w:rsidR="004B7200" w:rsidRPr="007673BD">
        <w:rPr>
          <w:rFonts w:ascii="Arial" w:hAnsi="Arial" w:cs="Arial"/>
          <w:sz w:val="21"/>
          <w:szCs w:val="21"/>
        </w:rPr>
        <w:t>;</w:t>
      </w:r>
    </w:p>
    <w:p w14:paraId="6B74F666" w14:textId="291B824C"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T</w:t>
      </w:r>
      <w:r w:rsidR="008223B4" w:rsidRPr="007673BD">
        <w:rPr>
          <w:rFonts w:ascii="Arial" w:hAnsi="Arial" w:cs="Arial"/>
          <w:sz w:val="21"/>
          <w:szCs w:val="21"/>
        </w:rPr>
        <w:t xml:space="preserve">he physical </w:t>
      </w:r>
      <w:r w:rsidR="004B7200" w:rsidRPr="007673BD">
        <w:rPr>
          <w:rFonts w:ascii="Arial" w:hAnsi="Arial" w:cs="Arial"/>
          <w:sz w:val="21"/>
          <w:szCs w:val="21"/>
        </w:rPr>
        <w:t>location</w:t>
      </w:r>
      <w:r w:rsidR="008223B4" w:rsidRPr="007673BD">
        <w:rPr>
          <w:rFonts w:ascii="Arial" w:hAnsi="Arial" w:cs="Arial"/>
          <w:sz w:val="21"/>
          <w:szCs w:val="21"/>
        </w:rPr>
        <w:t xml:space="preserve"> of the item</w:t>
      </w:r>
      <w:r w:rsidR="004B7200" w:rsidRPr="007673BD">
        <w:rPr>
          <w:rFonts w:ascii="Arial" w:hAnsi="Arial" w:cs="Arial"/>
          <w:sz w:val="21"/>
          <w:szCs w:val="21"/>
        </w:rPr>
        <w:t>;</w:t>
      </w:r>
    </w:p>
    <w:p w14:paraId="6B74F667" w14:textId="3F74D340"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T</w:t>
      </w:r>
      <w:r w:rsidR="008223B4" w:rsidRPr="007673BD">
        <w:rPr>
          <w:rFonts w:ascii="Arial" w:hAnsi="Arial" w:cs="Arial"/>
          <w:sz w:val="21"/>
          <w:szCs w:val="21"/>
        </w:rPr>
        <w:t xml:space="preserve">he </w:t>
      </w:r>
      <w:r w:rsidR="00DD652B" w:rsidRPr="007673BD">
        <w:rPr>
          <w:rFonts w:ascii="Arial" w:hAnsi="Arial" w:cs="Arial"/>
          <w:sz w:val="21"/>
          <w:szCs w:val="21"/>
        </w:rPr>
        <w:t xml:space="preserve">Finance </w:t>
      </w:r>
      <w:r w:rsidR="004B7200" w:rsidRPr="007673BD">
        <w:rPr>
          <w:rFonts w:ascii="Arial" w:hAnsi="Arial" w:cs="Arial"/>
          <w:sz w:val="21"/>
          <w:szCs w:val="21"/>
        </w:rPr>
        <w:t>barcode number</w:t>
      </w:r>
      <w:r w:rsidR="00DD652B" w:rsidRPr="007673BD">
        <w:rPr>
          <w:rFonts w:ascii="Arial" w:hAnsi="Arial" w:cs="Arial"/>
          <w:sz w:val="21"/>
          <w:szCs w:val="21"/>
        </w:rPr>
        <w:t xml:space="preserve"> (if applicable)</w:t>
      </w:r>
      <w:r w:rsidR="004B7200" w:rsidRPr="007673BD">
        <w:rPr>
          <w:rFonts w:ascii="Arial" w:hAnsi="Arial" w:cs="Arial"/>
          <w:sz w:val="21"/>
          <w:szCs w:val="21"/>
        </w:rPr>
        <w:t>; and</w:t>
      </w:r>
    </w:p>
    <w:p w14:paraId="6B74F668" w14:textId="0547DBA1" w:rsidR="004B7200" w:rsidRPr="007673BD" w:rsidRDefault="00A47CBE" w:rsidP="008A42B2">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T</w:t>
      </w:r>
      <w:r w:rsidR="008223B4" w:rsidRPr="007673BD">
        <w:rPr>
          <w:rFonts w:ascii="Arial" w:hAnsi="Arial" w:cs="Arial"/>
          <w:sz w:val="21"/>
          <w:szCs w:val="21"/>
        </w:rPr>
        <w:t xml:space="preserve">he </w:t>
      </w:r>
      <w:r w:rsidR="004B7200" w:rsidRPr="007673BD">
        <w:rPr>
          <w:rFonts w:ascii="Arial" w:hAnsi="Arial" w:cs="Arial"/>
          <w:sz w:val="21"/>
          <w:szCs w:val="21"/>
        </w:rPr>
        <w:t>serial number</w:t>
      </w:r>
      <w:r w:rsidR="008223B4" w:rsidRPr="007673BD">
        <w:rPr>
          <w:rFonts w:ascii="Arial" w:hAnsi="Arial" w:cs="Arial"/>
          <w:sz w:val="21"/>
          <w:szCs w:val="21"/>
        </w:rPr>
        <w:t xml:space="preserve"> of the item.</w:t>
      </w:r>
    </w:p>
    <w:p w14:paraId="6B74F669" w14:textId="6028499B" w:rsidR="00930929" w:rsidRPr="007673BD" w:rsidRDefault="00704C75" w:rsidP="008A4186">
      <w:pPr>
        <w:pStyle w:val="ListParagraph"/>
        <w:numPr>
          <w:ilvl w:val="0"/>
          <w:numId w:val="6"/>
        </w:numPr>
        <w:contextualSpacing w:val="0"/>
        <w:rPr>
          <w:rFonts w:cs="Arial"/>
          <w:sz w:val="21"/>
          <w:szCs w:val="21"/>
        </w:rPr>
      </w:pPr>
      <w:r w:rsidRPr="007673BD">
        <w:rPr>
          <w:rFonts w:cs="Arial"/>
          <w:sz w:val="21"/>
          <w:szCs w:val="21"/>
          <w:lang w:val="en-AU"/>
        </w:rPr>
        <w:t>Registration of a</w:t>
      </w:r>
      <w:r w:rsidR="001066D1" w:rsidRPr="007673BD">
        <w:rPr>
          <w:rFonts w:cs="Arial"/>
          <w:sz w:val="21"/>
          <w:szCs w:val="21"/>
          <w:lang w:val="en-AU"/>
        </w:rPr>
        <w:t>ll i</w:t>
      </w:r>
      <w:r w:rsidR="00930929" w:rsidRPr="007673BD">
        <w:rPr>
          <w:rFonts w:cs="Arial"/>
          <w:sz w:val="21"/>
          <w:szCs w:val="21"/>
          <w:lang w:val="en-AU"/>
        </w:rPr>
        <w:t xml:space="preserve">nformation </w:t>
      </w:r>
      <w:r w:rsidR="001066D1" w:rsidRPr="007673BD">
        <w:rPr>
          <w:rFonts w:cs="Arial"/>
          <w:sz w:val="21"/>
          <w:szCs w:val="21"/>
          <w:lang w:val="en-AU"/>
        </w:rPr>
        <w:t>and communications t</w:t>
      </w:r>
      <w:r w:rsidR="00930929" w:rsidRPr="007673BD">
        <w:rPr>
          <w:rFonts w:cs="Arial"/>
          <w:sz w:val="21"/>
          <w:szCs w:val="21"/>
          <w:lang w:val="en-AU"/>
        </w:rPr>
        <w:t xml:space="preserve">echnology equipment </w:t>
      </w:r>
      <w:r w:rsidR="001066D1" w:rsidRPr="007673BD">
        <w:rPr>
          <w:rFonts w:cs="Arial"/>
          <w:sz w:val="21"/>
          <w:szCs w:val="21"/>
          <w:lang w:val="en-AU"/>
        </w:rPr>
        <w:t>which meets the definition of a</w:t>
      </w:r>
      <w:r w:rsidR="00930929" w:rsidRPr="007673BD">
        <w:rPr>
          <w:rFonts w:cs="Arial"/>
          <w:sz w:val="21"/>
          <w:szCs w:val="21"/>
          <w:lang w:val="en-AU"/>
        </w:rPr>
        <w:t xml:space="preserve"> portable and attractive</w:t>
      </w:r>
      <w:r w:rsidR="001066D1" w:rsidRPr="007673BD">
        <w:rPr>
          <w:rFonts w:cs="Arial"/>
          <w:sz w:val="21"/>
          <w:szCs w:val="21"/>
          <w:lang w:val="en-AU"/>
        </w:rPr>
        <w:t xml:space="preserve"> ite</w:t>
      </w:r>
      <w:r w:rsidR="00F11B83" w:rsidRPr="007673BD">
        <w:rPr>
          <w:rFonts w:cs="Arial"/>
          <w:sz w:val="21"/>
          <w:szCs w:val="21"/>
          <w:lang w:val="en-AU"/>
        </w:rPr>
        <w:t>m</w:t>
      </w:r>
      <w:r w:rsidR="00930929" w:rsidRPr="007673BD">
        <w:rPr>
          <w:rFonts w:cs="Arial"/>
          <w:sz w:val="21"/>
          <w:szCs w:val="21"/>
          <w:lang w:val="en-AU"/>
        </w:rPr>
        <w:t xml:space="preserve"> will be the responsibility of the Information Technology section</w:t>
      </w:r>
      <w:r w:rsidR="001066D1" w:rsidRPr="007673BD">
        <w:rPr>
          <w:rFonts w:cs="Arial"/>
          <w:sz w:val="21"/>
          <w:szCs w:val="21"/>
          <w:lang w:val="en-AU"/>
        </w:rPr>
        <w:t xml:space="preserve"> </w:t>
      </w:r>
      <w:r w:rsidR="00834899" w:rsidRPr="007673BD">
        <w:rPr>
          <w:rFonts w:cs="Arial"/>
          <w:sz w:val="21"/>
          <w:szCs w:val="21"/>
          <w:lang w:val="en-AU"/>
        </w:rPr>
        <w:t xml:space="preserve">as per </w:t>
      </w:r>
      <w:r w:rsidR="00834899" w:rsidRPr="007673BD">
        <w:rPr>
          <w:rFonts w:cs="Arial"/>
          <w:sz w:val="21"/>
          <w:szCs w:val="21"/>
          <w:lang w:val="en-AU"/>
        </w:rPr>
        <w:fldChar w:fldCharType="begin"/>
      </w:r>
      <w:r w:rsidR="00834899" w:rsidRPr="007673BD">
        <w:rPr>
          <w:rFonts w:cs="Arial"/>
          <w:sz w:val="21"/>
          <w:szCs w:val="21"/>
          <w:lang w:val="en-AU"/>
        </w:rPr>
        <w:instrText xml:space="preserve"> REF _Ref417467054 \h </w:instrText>
      </w:r>
      <w:r w:rsidR="007673BD">
        <w:rPr>
          <w:rFonts w:cs="Arial"/>
          <w:sz w:val="21"/>
          <w:szCs w:val="21"/>
          <w:lang w:val="en-AU"/>
        </w:rPr>
        <w:instrText xml:space="preserve"> \* MERGEFORMAT </w:instrText>
      </w:r>
      <w:r w:rsidR="00834899" w:rsidRPr="007673BD">
        <w:rPr>
          <w:rFonts w:cs="Arial"/>
          <w:sz w:val="21"/>
          <w:szCs w:val="21"/>
          <w:lang w:val="en-AU"/>
        </w:rPr>
      </w:r>
      <w:r w:rsidR="00834899" w:rsidRPr="007673BD">
        <w:rPr>
          <w:rFonts w:cs="Arial"/>
          <w:sz w:val="21"/>
          <w:szCs w:val="21"/>
          <w:lang w:val="en-AU"/>
        </w:rPr>
        <w:fldChar w:fldCharType="separate"/>
      </w:r>
      <w:r w:rsidR="00A1335C" w:rsidRPr="00A1335C">
        <w:rPr>
          <w:sz w:val="21"/>
          <w:szCs w:val="21"/>
        </w:rPr>
        <w:t xml:space="preserve">Table </w:t>
      </w:r>
      <w:r w:rsidR="00A1335C" w:rsidRPr="00A1335C">
        <w:rPr>
          <w:noProof/>
          <w:sz w:val="21"/>
          <w:szCs w:val="21"/>
        </w:rPr>
        <w:t>6</w:t>
      </w:r>
      <w:r w:rsidR="00A1335C" w:rsidRPr="00A1335C">
        <w:rPr>
          <w:sz w:val="21"/>
          <w:szCs w:val="21"/>
        </w:rPr>
        <w:t>: Table of accountabilities and responsibilities</w:t>
      </w:r>
      <w:r w:rsidR="00834899" w:rsidRPr="007673BD">
        <w:rPr>
          <w:rFonts w:cs="Arial"/>
          <w:sz w:val="21"/>
          <w:szCs w:val="21"/>
          <w:lang w:val="en-AU"/>
        </w:rPr>
        <w:fldChar w:fldCharType="end"/>
      </w:r>
      <w:r w:rsidR="00834899" w:rsidRPr="007673BD">
        <w:rPr>
          <w:rFonts w:cs="Arial"/>
          <w:sz w:val="21"/>
          <w:szCs w:val="21"/>
          <w:lang w:val="en-AU"/>
        </w:rPr>
        <w:t xml:space="preserve">, and </w:t>
      </w:r>
      <w:r w:rsidR="001066D1" w:rsidRPr="007673BD">
        <w:rPr>
          <w:rFonts w:cs="Arial"/>
          <w:sz w:val="21"/>
          <w:szCs w:val="21"/>
          <w:lang w:val="en-AU"/>
        </w:rPr>
        <w:t>in accordance with</w:t>
      </w:r>
      <w:r w:rsidR="00834899" w:rsidRPr="007673BD">
        <w:rPr>
          <w:rFonts w:cs="Arial"/>
          <w:sz w:val="21"/>
          <w:szCs w:val="21"/>
          <w:lang w:val="en-AU"/>
        </w:rPr>
        <w:t xml:space="preserve"> this policy and plan</w:t>
      </w:r>
      <w:r w:rsidR="00930929" w:rsidRPr="007673BD">
        <w:rPr>
          <w:rFonts w:cs="Arial"/>
          <w:sz w:val="21"/>
          <w:szCs w:val="21"/>
          <w:lang w:val="en-AU"/>
        </w:rPr>
        <w:t xml:space="preserve">.  </w:t>
      </w:r>
    </w:p>
    <w:p w14:paraId="6B74F66A" w14:textId="38516ED4" w:rsidR="00930929" w:rsidRPr="007673BD" w:rsidRDefault="00930929" w:rsidP="00930929">
      <w:pPr>
        <w:pStyle w:val="ListParagraph"/>
        <w:numPr>
          <w:ilvl w:val="0"/>
          <w:numId w:val="6"/>
        </w:numPr>
        <w:shd w:val="clear" w:color="auto" w:fill="FFFFFF"/>
        <w:contextualSpacing w:val="0"/>
        <w:rPr>
          <w:rFonts w:cs="Arial"/>
          <w:sz w:val="21"/>
          <w:szCs w:val="21"/>
          <w:lang w:val="en-AU"/>
        </w:rPr>
      </w:pPr>
      <w:bookmarkStart w:id="52" w:name="_Ref417471448"/>
      <w:r w:rsidRPr="007673BD">
        <w:rPr>
          <w:rFonts w:cs="Arial"/>
          <w:sz w:val="21"/>
          <w:szCs w:val="21"/>
          <w:lang w:val="en-AU"/>
        </w:rPr>
        <w:t xml:space="preserve">Outcomes of the </w:t>
      </w:r>
      <w:r w:rsidR="009202D6" w:rsidRPr="007673BD">
        <w:rPr>
          <w:rFonts w:cs="Arial"/>
          <w:sz w:val="21"/>
          <w:szCs w:val="21"/>
          <w:lang w:val="en-AU"/>
        </w:rPr>
        <w:t xml:space="preserve">annual </w:t>
      </w:r>
      <w:r w:rsidRPr="007673BD">
        <w:rPr>
          <w:rFonts w:cs="Arial"/>
          <w:sz w:val="21"/>
          <w:szCs w:val="21"/>
          <w:lang w:val="en-AU"/>
        </w:rPr>
        <w:t>stocktak</w:t>
      </w:r>
      <w:r w:rsidR="009202D6" w:rsidRPr="007673BD">
        <w:rPr>
          <w:rFonts w:cs="Arial"/>
          <w:sz w:val="21"/>
          <w:szCs w:val="21"/>
          <w:lang w:val="en-AU"/>
        </w:rPr>
        <w:t>ing process</w:t>
      </w:r>
      <w:r w:rsidRPr="007673BD">
        <w:rPr>
          <w:rFonts w:cs="Arial"/>
          <w:sz w:val="21"/>
          <w:szCs w:val="21"/>
          <w:lang w:val="en-AU"/>
        </w:rPr>
        <w:t xml:space="preserve"> will be </w:t>
      </w:r>
      <w:r w:rsidR="009202D6" w:rsidRPr="007673BD">
        <w:rPr>
          <w:rFonts w:cs="Arial"/>
          <w:sz w:val="21"/>
          <w:szCs w:val="21"/>
          <w:lang w:val="en-AU"/>
        </w:rPr>
        <w:t xml:space="preserve">provided </w:t>
      </w:r>
      <w:r w:rsidRPr="007673BD">
        <w:rPr>
          <w:rFonts w:cs="Arial"/>
          <w:sz w:val="21"/>
          <w:szCs w:val="21"/>
          <w:lang w:val="en-AU"/>
        </w:rPr>
        <w:t>to the Finance Manager, citing</w:t>
      </w:r>
      <w:r w:rsidR="009202D6" w:rsidRPr="007673BD">
        <w:rPr>
          <w:rFonts w:cs="Arial"/>
          <w:sz w:val="21"/>
          <w:szCs w:val="21"/>
          <w:lang w:val="en-AU"/>
        </w:rPr>
        <w:t xml:space="preserve"> any</w:t>
      </w:r>
      <w:r w:rsidRPr="007673BD">
        <w:rPr>
          <w:rFonts w:cs="Arial"/>
          <w:sz w:val="21"/>
          <w:szCs w:val="21"/>
          <w:lang w:val="en-AU"/>
        </w:rPr>
        <w:t xml:space="preserve"> issues </w:t>
      </w:r>
      <w:r w:rsidR="009202D6" w:rsidRPr="007673BD">
        <w:rPr>
          <w:rFonts w:cs="Arial"/>
          <w:sz w:val="21"/>
          <w:szCs w:val="21"/>
          <w:lang w:val="en-AU"/>
        </w:rPr>
        <w:t xml:space="preserve">(such </w:t>
      </w:r>
      <w:r w:rsidRPr="007673BD">
        <w:rPr>
          <w:rFonts w:cs="Arial"/>
          <w:sz w:val="21"/>
          <w:szCs w:val="21"/>
          <w:lang w:val="en-AU"/>
        </w:rPr>
        <w:t xml:space="preserve">as discrepancies, losses </w:t>
      </w:r>
      <w:r w:rsidR="00323E41" w:rsidRPr="007673BD">
        <w:rPr>
          <w:rFonts w:cs="Arial"/>
          <w:sz w:val="21"/>
          <w:szCs w:val="21"/>
          <w:lang w:val="en-AU"/>
        </w:rPr>
        <w:t>etc.</w:t>
      </w:r>
      <w:r w:rsidR="009202D6" w:rsidRPr="007673BD">
        <w:rPr>
          <w:rFonts w:cs="Arial"/>
          <w:sz w:val="21"/>
          <w:szCs w:val="21"/>
          <w:lang w:val="en-AU"/>
        </w:rPr>
        <w:t>) and</w:t>
      </w:r>
      <w:r w:rsidRPr="007673BD">
        <w:rPr>
          <w:rFonts w:cs="Arial"/>
          <w:sz w:val="21"/>
          <w:szCs w:val="21"/>
          <w:lang w:val="en-AU"/>
        </w:rPr>
        <w:t xml:space="preserve"> accompanied </w:t>
      </w:r>
      <w:r w:rsidR="009202D6" w:rsidRPr="007673BD">
        <w:rPr>
          <w:rFonts w:cs="Arial"/>
          <w:sz w:val="21"/>
          <w:szCs w:val="21"/>
          <w:lang w:val="en-AU"/>
        </w:rPr>
        <w:t xml:space="preserve">by </w:t>
      </w:r>
      <w:r w:rsidRPr="007673BD">
        <w:rPr>
          <w:rFonts w:cs="Arial"/>
          <w:sz w:val="21"/>
          <w:szCs w:val="21"/>
          <w:lang w:val="en-AU"/>
        </w:rPr>
        <w:t>an action plan</w:t>
      </w:r>
      <w:r w:rsidR="009202D6" w:rsidRPr="007673BD">
        <w:rPr>
          <w:rFonts w:cs="Arial"/>
          <w:sz w:val="21"/>
          <w:szCs w:val="21"/>
          <w:lang w:val="en-AU"/>
        </w:rPr>
        <w:t xml:space="preserve"> (where required) </w:t>
      </w:r>
      <w:r w:rsidR="00F11B83" w:rsidRPr="007673BD">
        <w:rPr>
          <w:rFonts w:cs="Arial"/>
          <w:sz w:val="21"/>
          <w:szCs w:val="21"/>
          <w:lang w:val="en-AU"/>
        </w:rPr>
        <w:t xml:space="preserve">to address </w:t>
      </w:r>
      <w:r w:rsidR="00834899" w:rsidRPr="007673BD">
        <w:rPr>
          <w:rFonts w:cs="Arial"/>
          <w:sz w:val="21"/>
          <w:szCs w:val="21"/>
          <w:lang w:val="en-AU"/>
        </w:rPr>
        <w:t>any identified opportunities for process improvement.</w:t>
      </w:r>
      <w:bookmarkEnd w:id="52"/>
      <w:r w:rsidRPr="007673BD">
        <w:rPr>
          <w:rFonts w:cs="Arial"/>
          <w:sz w:val="21"/>
          <w:szCs w:val="21"/>
          <w:lang w:val="en-AU"/>
        </w:rPr>
        <w:t xml:space="preserve"> </w:t>
      </w:r>
    </w:p>
    <w:p w14:paraId="6B74F66B" w14:textId="623E27A7" w:rsidR="00930929" w:rsidRPr="007673BD" w:rsidRDefault="00930929" w:rsidP="00930929">
      <w:pPr>
        <w:pStyle w:val="ListParagraph"/>
        <w:numPr>
          <w:ilvl w:val="0"/>
          <w:numId w:val="6"/>
        </w:numPr>
        <w:contextualSpacing w:val="0"/>
        <w:rPr>
          <w:rFonts w:cs="Arial"/>
          <w:sz w:val="21"/>
          <w:szCs w:val="21"/>
          <w:lang w:val="en-AU"/>
        </w:rPr>
      </w:pPr>
      <w:r w:rsidRPr="007673BD">
        <w:rPr>
          <w:rFonts w:cs="Arial"/>
          <w:sz w:val="21"/>
          <w:szCs w:val="21"/>
          <w:lang w:val="en-AU"/>
        </w:rPr>
        <w:t xml:space="preserve">Any portable and attractive items that are required outside the normal workplace </w:t>
      </w:r>
      <w:r w:rsidR="00F11B83" w:rsidRPr="007673BD">
        <w:rPr>
          <w:rFonts w:cs="Arial"/>
          <w:sz w:val="21"/>
          <w:szCs w:val="21"/>
          <w:lang w:val="en-AU"/>
        </w:rPr>
        <w:t xml:space="preserve">may </w:t>
      </w:r>
      <w:r w:rsidRPr="007673BD">
        <w:rPr>
          <w:rFonts w:cs="Arial"/>
          <w:sz w:val="21"/>
          <w:szCs w:val="21"/>
          <w:lang w:val="en-AU"/>
        </w:rPr>
        <w:t xml:space="preserve">be assigned as personal </w:t>
      </w:r>
      <w:r w:rsidR="00F4399D" w:rsidRPr="007673BD">
        <w:rPr>
          <w:rFonts w:cs="Arial"/>
          <w:sz w:val="21"/>
          <w:szCs w:val="21"/>
          <w:lang w:val="en-AU"/>
        </w:rPr>
        <w:t>issue item</w:t>
      </w:r>
      <w:r w:rsidR="007339EE" w:rsidRPr="007673BD">
        <w:rPr>
          <w:rFonts w:cs="Arial"/>
          <w:sz w:val="21"/>
          <w:szCs w:val="21"/>
          <w:lang w:val="en-AU"/>
        </w:rPr>
        <w:t xml:space="preserve"> to an official (e.g. a mobile phone and tablet </w:t>
      </w:r>
      <w:r w:rsidR="00A26621" w:rsidRPr="007673BD">
        <w:rPr>
          <w:rFonts w:cs="Arial"/>
          <w:sz w:val="21"/>
          <w:szCs w:val="21"/>
          <w:lang w:val="en-AU"/>
        </w:rPr>
        <w:t>issued to an official</w:t>
      </w:r>
      <w:r w:rsidR="007339EE" w:rsidRPr="007673BD">
        <w:rPr>
          <w:rFonts w:cs="Arial"/>
          <w:sz w:val="21"/>
          <w:szCs w:val="21"/>
          <w:lang w:val="en-AU"/>
        </w:rPr>
        <w:t xml:space="preserve"> </w:t>
      </w:r>
      <w:r w:rsidR="00A26621" w:rsidRPr="007673BD">
        <w:rPr>
          <w:rFonts w:cs="Arial"/>
          <w:sz w:val="21"/>
          <w:szCs w:val="21"/>
          <w:lang w:val="en-AU"/>
        </w:rPr>
        <w:t xml:space="preserve">on commencement in a position </w:t>
      </w:r>
      <w:r w:rsidR="007339EE" w:rsidRPr="007673BD">
        <w:rPr>
          <w:rFonts w:cs="Arial"/>
          <w:sz w:val="21"/>
          <w:szCs w:val="21"/>
          <w:lang w:val="en-AU"/>
        </w:rPr>
        <w:t>or the temporary loan of a laptop to an official)</w:t>
      </w:r>
      <w:r w:rsidRPr="007673BD">
        <w:rPr>
          <w:rFonts w:cs="Arial"/>
          <w:sz w:val="21"/>
          <w:szCs w:val="21"/>
          <w:lang w:val="en-AU"/>
        </w:rPr>
        <w:t xml:space="preserve">. </w:t>
      </w:r>
      <w:r w:rsidR="00F11B83" w:rsidRPr="007673BD">
        <w:rPr>
          <w:rFonts w:cs="Arial"/>
          <w:sz w:val="21"/>
          <w:szCs w:val="21"/>
          <w:lang w:val="en-AU"/>
        </w:rPr>
        <w:t xml:space="preserve">The </w:t>
      </w:r>
      <w:r w:rsidR="007339EE" w:rsidRPr="007673BD">
        <w:rPr>
          <w:rFonts w:cs="Arial"/>
          <w:sz w:val="21"/>
          <w:szCs w:val="21"/>
          <w:lang w:val="en-AU"/>
        </w:rPr>
        <w:t xml:space="preserve">relevant section </w:t>
      </w:r>
      <w:r w:rsidR="00F4399D" w:rsidRPr="007673BD">
        <w:rPr>
          <w:rFonts w:cs="Arial"/>
          <w:sz w:val="21"/>
          <w:szCs w:val="21"/>
          <w:lang w:val="en-AU"/>
        </w:rPr>
        <w:t xml:space="preserve">or </w:t>
      </w:r>
      <w:r w:rsidR="007339EE" w:rsidRPr="007673BD">
        <w:rPr>
          <w:rFonts w:cs="Arial"/>
          <w:sz w:val="21"/>
          <w:szCs w:val="21"/>
          <w:lang w:val="en-AU"/>
        </w:rPr>
        <w:t xml:space="preserve">IT </w:t>
      </w:r>
      <w:r w:rsidR="00F4399D" w:rsidRPr="007673BD">
        <w:rPr>
          <w:rFonts w:cs="Arial"/>
          <w:sz w:val="21"/>
          <w:szCs w:val="21"/>
          <w:lang w:val="en-AU"/>
        </w:rPr>
        <w:t xml:space="preserve">(dependent upon equipment) </w:t>
      </w:r>
      <w:r w:rsidRPr="007673BD">
        <w:rPr>
          <w:rFonts w:cs="Arial"/>
          <w:sz w:val="21"/>
          <w:szCs w:val="21"/>
          <w:lang w:val="en-AU"/>
        </w:rPr>
        <w:t>will record such items as personal issue</w:t>
      </w:r>
      <w:r w:rsidR="00F11B83" w:rsidRPr="007673BD">
        <w:rPr>
          <w:rFonts w:cs="Arial"/>
          <w:sz w:val="21"/>
          <w:szCs w:val="21"/>
          <w:lang w:val="en-AU"/>
        </w:rPr>
        <w:t>,</w:t>
      </w:r>
      <w:r w:rsidRPr="007673BD">
        <w:rPr>
          <w:rFonts w:cs="Arial"/>
          <w:sz w:val="21"/>
          <w:szCs w:val="21"/>
          <w:lang w:val="en-AU"/>
        </w:rPr>
        <w:t xml:space="preserve"> upon receipt of written approval from the relevant section Director</w:t>
      </w:r>
      <w:r w:rsidR="00302037" w:rsidRPr="007673BD">
        <w:rPr>
          <w:rFonts w:cs="Arial"/>
          <w:sz w:val="21"/>
          <w:szCs w:val="21"/>
          <w:lang w:val="en-AU"/>
        </w:rPr>
        <w:t xml:space="preserve"> or CIO for IT equipment</w:t>
      </w:r>
      <w:r w:rsidRPr="007673BD">
        <w:rPr>
          <w:rFonts w:cs="Arial"/>
          <w:sz w:val="21"/>
          <w:szCs w:val="21"/>
          <w:lang w:val="en-AU"/>
        </w:rPr>
        <w:t xml:space="preserve">. Removal of items from the </w:t>
      </w:r>
      <w:r w:rsidR="00F11B83" w:rsidRPr="007673BD">
        <w:rPr>
          <w:rFonts w:cs="Arial"/>
          <w:sz w:val="21"/>
          <w:szCs w:val="21"/>
          <w:lang w:val="en-AU"/>
        </w:rPr>
        <w:t xml:space="preserve">agency </w:t>
      </w:r>
      <w:r w:rsidRPr="007673BD">
        <w:rPr>
          <w:rFonts w:cs="Arial"/>
          <w:sz w:val="21"/>
          <w:szCs w:val="21"/>
          <w:lang w:val="en-AU"/>
        </w:rPr>
        <w:t xml:space="preserve">without approval is considered ‘unauthorised removal of government property’ which </w:t>
      </w:r>
      <w:r w:rsidR="00834899" w:rsidRPr="007673BD">
        <w:rPr>
          <w:rFonts w:cs="Arial"/>
          <w:sz w:val="21"/>
          <w:szCs w:val="21"/>
          <w:lang w:val="en-AU"/>
        </w:rPr>
        <w:t xml:space="preserve">may be subject to investigation </w:t>
      </w:r>
      <w:r w:rsidR="00834899" w:rsidRPr="007673BD">
        <w:rPr>
          <w:rFonts w:cs="Arial"/>
          <w:sz w:val="21"/>
          <w:szCs w:val="21"/>
        </w:rPr>
        <w:t>in accordance with the agency’s fraud control policy and plan</w:t>
      </w:r>
      <w:r w:rsidRPr="007673BD">
        <w:rPr>
          <w:rFonts w:cs="Arial"/>
          <w:sz w:val="21"/>
          <w:szCs w:val="21"/>
          <w:lang w:val="en-AU"/>
        </w:rPr>
        <w:t>.</w:t>
      </w:r>
    </w:p>
    <w:p w14:paraId="6B74F66C" w14:textId="11516F29" w:rsidR="004B7200" w:rsidRPr="007673BD" w:rsidRDefault="004B7200" w:rsidP="007673BD">
      <w:pPr>
        <w:pStyle w:val="ListParagraph"/>
        <w:numPr>
          <w:ilvl w:val="0"/>
          <w:numId w:val="6"/>
        </w:numPr>
        <w:spacing w:after="80"/>
        <w:ind w:right="-144"/>
        <w:contextualSpacing w:val="0"/>
        <w:rPr>
          <w:rFonts w:cs="Arial"/>
          <w:sz w:val="21"/>
          <w:szCs w:val="21"/>
          <w:lang w:val="en-AU"/>
        </w:rPr>
      </w:pPr>
      <w:r w:rsidRPr="007673BD">
        <w:rPr>
          <w:rFonts w:cs="Arial"/>
          <w:sz w:val="21"/>
          <w:szCs w:val="21"/>
          <w:lang w:val="en-AU"/>
        </w:rPr>
        <w:t xml:space="preserve">Disposal action </w:t>
      </w:r>
      <w:r w:rsidR="008223B4" w:rsidRPr="007673BD">
        <w:rPr>
          <w:rFonts w:cs="Arial"/>
          <w:sz w:val="21"/>
          <w:szCs w:val="21"/>
          <w:lang w:val="en-AU"/>
        </w:rPr>
        <w:t xml:space="preserve">may be </w:t>
      </w:r>
      <w:r w:rsidRPr="007673BD">
        <w:rPr>
          <w:rFonts w:cs="Arial"/>
          <w:sz w:val="21"/>
          <w:szCs w:val="21"/>
          <w:lang w:val="en-AU"/>
        </w:rPr>
        <w:t xml:space="preserve">required where portable and attractive items are surplus, under-performing, unserviceable or have been superseded with </w:t>
      </w:r>
      <w:r w:rsidR="008223B4" w:rsidRPr="007673BD">
        <w:rPr>
          <w:rFonts w:cs="Arial"/>
          <w:sz w:val="21"/>
          <w:szCs w:val="21"/>
          <w:lang w:val="en-AU"/>
        </w:rPr>
        <w:t xml:space="preserve">more recent </w:t>
      </w:r>
      <w:r w:rsidRPr="007673BD">
        <w:rPr>
          <w:rFonts w:cs="Arial"/>
          <w:sz w:val="21"/>
          <w:szCs w:val="21"/>
          <w:lang w:val="en-AU"/>
        </w:rPr>
        <w:t xml:space="preserve">technology.  Where disposal action is to be taken, </w:t>
      </w:r>
      <w:r w:rsidR="008223B4" w:rsidRPr="007673BD">
        <w:rPr>
          <w:rFonts w:cs="Arial"/>
          <w:sz w:val="21"/>
          <w:szCs w:val="21"/>
          <w:lang w:val="en-AU"/>
        </w:rPr>
        <w:t xml:space="preserve">it is to be consistent with the </w:t>
      </w:r>
      <w:hyperlink w:anchor="_Asset_disposal" w:history="1">
        <w:r w:rsidR="008223B4" w:rsidRPr="007673BD">
          <w:rPr>
            <w:rStyle w:val="Hyperlink"/>
            <w:rFonts w:cs="Arial"/>
            <w:sz w:val="21"/>
            <w:szCs w:val="21"/>
            <w:lang w:val="en-AU"/>
          </w:rPr>
          <w:t>asset disposal</w:t>
        </w:r>
      </w:hyperlink>
      <w:r w:rsidR="008223B4" w:rsidRPr="007673BD">
        <w:rPr>
          <w:rFonts w:cs="Arial"/>
          <w:sz w:val="21"/>
          <w:szCs w:val="21"/>
          <w:lang w:val="en-AU"/>
        </w:rPr>
        <w:t xml:space="preserve"> </w:t>
      </w:r>
      <w:r w:rsidR="00834899" w:rsidRPr="007673BD">
        <w:rPr>
          <w:rFonts w:cs="Arial"/>
          <w:sz w:val="21"/>
          <w:szCs w:val="21"/>
          <w:lang w:val="en-AU"/>
        </w:rPr>
        <w:t>portion</w:t>
      </w:r>
      <w:r w:rsidR="008223B4" w:rsidRPr="007673BD">
        <w:rPr>
          <w:rFonts w:cs="Arial"/>
          <w:sz w:val="21"/>
          <w:szCs w:val="21"/>
          <w:lang w:val="en-AU"/>
        </w:rPr>
        <w:t xml:space="preserve"> of this policy and plan, and </w:t>
      </w:r>
      <w:r w:rsidRPr="007673BD">
        <w:rPr>
          <w:rFonts w:cs="Arial"/>
          <w:sz w:val="21"/>
          <w:szCs w:val="21"/>
          <w:lang w:val="en-AU"/>
        </w:rPr>
        <w:t xml:space="preserve">the </w:t>
      </w:r>
      <w:hyperlink r:id="rId25" w:history="1">
        <w:r w:rsidR="00DD652B" w:rsidRPr="007673BD">
          <w:rPr>
            <w:rStyle w:val="Hyperlink"/>
            <w:rFonts w:cs="Arial"/>
            <w:sz w:val="21"/>
            <w:szCs w:val="21"/>
            <w:lang w:val="en-AU"/>
          </w:rPr>
          <w:t>Asset Disposal Form</w:t>
        </w:r>
      </w:hyperlink>
      <w:r w:rsidR="00DD652B" w:rsidRPr="007673BD">
        <w:rPr>
          <w:rFonts w:cs="Arial"/>
          <w:sz w:val="21"/>
          <w:szCs w:val="21"/>
          <w:lang w:val="en-AU"/>
        </w:rPr>
        <w:t xml:space="preserve"> containing, but not limited to, the </w:t>
      </w:r>
      <w:r w:rsidR="008223B4" w:rsidRPr="007673BD">
        <w:rPr>
          <w:rFonts w:cs="Arial"/>
          <w:sz w:val="21"/>
          <w:szCs w:val="21"/>
          <w:lang w:val="en-AU"/>
        </w:rPr>
        <w:t>following information</w:t>
      </w:r>
      <w:r w:rsidRPr="007673BD">
        <w:rPr>
          <w:rFonts w:cs="Arial"/>
          <w:sz w:val="21"/>
          <w:szCs w:val="21"/>
          <w:lang w:val="en-AU"/>
        </w:rPr>
        <w:t>:</w:t>
      </w:r>
    </w:p>
    <w:p w14:paraId="6B74F66D" w14:textId="6C842266"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A</w:t>
      </w:r>
      <w:r w:rsidR="008223B4" w:rsidRPr="007673BD">
        <w:rPr>
          <w:rFonts w:ascii="Arial" w:hAnsi="Arial" w:cs="Arial"/>
          <w:sz w:val="21"/>
          <w:szCs w:val="21"/>
        </w:rPr>
        <w:t xml:space="preserve"> </w:t>
      </w:r>
      <w:r w:rsidR="004B7200" w:rsidRPr="007673BD">
        <w:rPr>
          <w:rFonts w:ascii="Arial" w:hAnsi="Arial" w:cs="Arial"/>
          <w:sz w:val="21"/>
          <w:szCs w:val="21"/>
        </w:rPr>
        <w:t>description of the item</w:t>
      </w:r>
      <w:r w:rsidR="008223B4" w:rsidRPr="007673BD">
        <w:rPr>
          <w:rFonts w:ascii="Arial" w:hAnsi="Arial" w:cs="Arial"/>
          <w:sz w:val="21"/>
          <w:szCs w:val="21"/>
        </w:rPr>
        <w:t xml:space="preserve"> being disposed of</w:t>
      </w:r>
      <w:r w:rsidR="004B7200" w:rsidRPr="007673BD">
        <w:rPr>
          <w:rFonts w:ascii="Arial" w:hAnsi="Arial" w:cs="Arial"/>
          <w:sz w:val="21"/>
          <w:szCs w:val="21"/>
        </w:rPr>
        <w:t>;</w:t>
      </w:r>
    </w:p>
    <w:p w14:paraId="6B74F66E" w14:textId="1E316863" w:rsidR="004B7200"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T</w:t>
      </w:r>
      <w:r w:rsidR="004B7200" w:rsidRPr="007673BD">
        <w:rPr>
          <w:rFonts w:ascii="Arial" w:hAnsi="Arial" w:cs="Arial"/>
          <w:sz w:val="21"/>
          <w:szCs w:val="21"/>
        </w:rPr>
        <w:t xml:space="preserve">he </w:t>
      </w:r>
      <w:r w:rsidR="008223B4" w:rsidRPr="007673BD">
        <w:rPr>
          <w:rFonts w:ascii="Arial" w:hAnsi="Arial" w:cs="Arial"/>
          <w:sz w:val="21"/>
          <w:szCs w:val="21"/>
        </w:rPr>
        <w:t>barcode</w:t>
      </w:r>
      <w:r w:rsidR="00D26F2C" w:rsidRPr="007673BD">
        <w:rPr>
          <w:rFonts w:ascii="Arial" w:hAnsi="Arial" w:cs="Arial"/>
          <w:sz w:val="21"/>
          <w:szCs w:val="21"/>
        </w:rPr>
        <w:t xml:space="preserve"> (if available)</w:t>
      </w:r>
      <w:r w:rsidR="008223B4" w:rsidRPr="007673BD">
        <w:rPr>
          <w:rFonts w:ascii="Arial" w:hAnsi="Arial" w:cs="Arial"/>
          <w:sz w:val="21"/>
          <w:szCs w:val="21"/>
        </w:rPr>
        <w:t xml:space="preserve"> and serial </w:t>
      </w:r>
      <w:r w:rsidR="004B7200" w:rsidRPr="007673BD">
        <w:rPr>
          <w:rFonts w:ascii="Arial" w:hAnsi="Arial" w:cs="Arial"/>
          <w:sz w:val="21"/>
          <w:szCs w:val="21"/>
        </w:rPr>
        <w:t>number</w:t>
      </w:r>
      <w:r w:rsidR="008223B4" w:rsidRPr="007673BD">
        <w:rPr>
          <w:rFonts w:ascii="Arial" w:hAnsi="Arial" w:cs="Arial"/>
          <w:sz w:val="21"/>
          <w:szCs w:val="21"/>
        </w:rPr>
        <w:t>s</w:t>
      </w:r>
      <w:r w:rsidR="004B7200" w:rsidRPr="007673BD">
        <w:rPr>
          <w:rFonts w:ascii="Arial" w:hAnsi="Arial" w:cs="Arial"/>
          <w:sz w:val="21"/>
          <w:szCs w:val="21"/>
        </w:rPr>
        <w:t xml:space="preserve"> of the item;</w:t>
      </w:r>
    </w:p>
    <w:p w14:paraId="67A3E165" w14:textId="5F4194E1" w:rsidR="00D26F2C"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lastRenderedPageBreak/>
        <w:t>T</w:t>
      </w:r>
      <w:r w:rsidR="008223B4" w:rsidRPr="007673BD">
        <w:rPr>
          <w:rFonts w:ascii="Arial" w:hAnsi="Arial" w:cs="Arial"/>
          <w:sz w:val="21"/>
          <w:szCs w:val="21"/>
        </w:rPr>
        <w:t xml:space="preserve">he physical </w:t>
      </w:r>
      <w:r w:rsidR="004B7200" w:rsidRPr="007673BD">
        <w:rPr>
          <w:rFonts w:ascii="Arial" w:hAnsi="Arial" w:cs="Arial"/>
          <w:sz w:val="21"/>
          <w:szCs w:val="21"/>
        </w:rPr>
        <w:t xml:space="preserve">location of item; </w:t>
      </w:r>
    </w:p>
    <w:p w14:paraId="7D9A0214" w14:textId="4EC22806" w:rsidR="00D26F2C" w:rsidRPr="007673BD" w:rsidRDefault="00A47CBE" w:rsidP="007673BD">
      <w:pPr>
        <w:pStyle w:val="NormalWeb"/>
        <w:numPr>
          <w:ilvl w:val="1"/>
          <w:numId w:val="6"/>
        </w:numPr>
        <w:shd w:val="clear" w:color="auto" w:fill="FFFFFF"/>
        <w:spacing w:before="0" w:beforeAutospacing="0" w:after="80" w:afterAutospacing="0"/>
        <w:ind w:left="1276" w:hanging="709"/>
        <w:rPr>
          <w:rFonts w:ascii="Arial" w:hAnsi="Arial" w:cs="Arial"/>
          <w:sz w:val="21"/>
          <w:szCs w:val="21"/>
        </w:rPr>
      </w:pPr>
      <w:r w:rsidRPr="007673BD">
        <w:rPr>
          <w:rFonts w:ascii="Arial" w:hAnsi="Arial" w:cs="Arial"/>
          <w:sz w:val="21"/>
          <w:szCs w:val="21"/>
        </w:rPr>
        <w:t>T</w:t>
      </w:r>
      <w:r w:rsidR="00D26F2C" w:rsidRPr="007673BD">
        <w:rPr>
          <w:rFonts w:ascii="Arial" w:hAnsi="Arial" w:cs="Arial"/>
          <w:sz w:val="21"/>
          <w:szCs w:val="21"/>
        </w:rPr>
        <w:t>he reason for disposal; and</w:t>
      </w:r>
    </w:p>
    <w:p w14:paraId="6B74F670" w14:textId="363CC31F" w:rsidR="004B7200" w:rsidRPr="007673BD" w:rsidRDefault="00A47CBE" w:rsidP="00D26F2C">
      <w:pPr>
        <w:pStyle w:val="NormalWeb"/>
        <w:numPr>
          <w:ilvl w:val="1"/>
          <w:numId w:val="6"/>
        </w:numPr>
        <w:shd w:val="clear" w:color="auto" w:fill="FFFFFF"/>
        <w:spacing w:before="0" w:beforeAutospacing="0" w:after="120" w:afterAutospacing="0"/>
        <w:ind w:left="1276" w:hanging="709"/>
        <w:rPr>
          <w:rFonts w:ascii="Arial" w:hAnsi="Arial" w:cs="Arial"/>
          <w:sz w:val="21"/>
          <w:szCs w:val="21"/>
        </w:rPr>
      </w:pPr>
      <w:r w:rsidRPr="007673BD">
        <w:rPr>
          <w:rFonts w:ascii="Arial" w:hAnsi="Arial" w:cs="Arial"/>
          <w:sz w:val="21"/>
          <w:szCs w:val="21"/>
        </w:rPr>
        <w:t>R</w:t>
      </w:r>
      <w:r w:rsidR="00D26F2C" w:rsidRPr="007673BD">
        <w:rPr>
          <w:rFonts w:ascii="Arial" w:hAnsi="Arial" w:cs="Arial"/>
          <w:sz w:val="21"/>
          <w:szCs w:val="21"/>
        </w:rPr>
        <w:t>ecommended method of disposal.</w:t>
      </w:r>
    </w:p>
    <w:p w14:paraId="6B74F671" w14:textId="06C2A011" w:rsidR="004B7200" w:rsidRPr="007673BD" w:rsidRDefault="004B7200" w:rsidP="004C511C">
      <w:pPr>
        <w:pStyle w:val="ListParagraph"/>
        <w:numPr>
          <w:ilvl w:val="0"/>
          <w:numId w:val="6"/>
        </w:numPr>
        <w:contextualSpacing w:val="0"/>
        <w:rPr>
          <w:rFonts w:cs="Arial"/>
          <w:sz w:val="21"/>
          <w:szCs w:val="21"/>
          <w:lang w:val="en-AU"/>
        </w:rPr>
      </w:pPr>
      <w:r w:rsidRPr="007673BD">
        <w:rPr>
          <w:rFonts w:cs="Arial"/>
          <w:sz w:val="21"/>
          <w:szCs w:val="21"/>
          <w:lang w:val="en-AU"/>
        </w:rPr>
        <w:t xml:space="preserve">Relevant disposal </w:t>
      </w:r>
      <w:r w:rsidR="008223B4" w:rsidRPr="007673BD">
        <w:rPr>
          <w:rFonts w:cs="Arial"/>
          <w:sz w:val="21"/>
          <w:szCs w:val="21"/>
          <w:lang w:val="en-AU"/>
        </w:rPr>
        <w:t xml:space="preserve">options and </w:t>
      </w:r>
      <w:r w:rsidRPr="007673BD">
        <w:rPr>
          <w:rFonts w:cs="Arial"/>
          <w:sz w:val="21"/>
          <w:szCs w:val="21"/>
          <w:lang w:val="en-AU"/>
        </w:rPr>
        <w:t>action</w:t>
      </w:r>
      <w:r w:rsidR="00834899" w:rsidRPr="007673BD">
        <w:rPr>
          <w:rFonts w:cs="Arial"/>
          <w:sz w:val="21"/>
          <w:szCs w:val="21"/>
          <w:lang w:val="en-AU"/>
        </w:rPr>
        <w:t>s</w:t>
      </w:r>
      <w:r w:rsidRPr="007673BD">
        <w:rPr>
          <w:rFonts w:cs="Arial"/>
          <w:sz w:val="21"/>
          <w:szCs w:val="21"/>
          <w:lang w:val="en-AU"/>
        </w:rPr>
        <w:t xml:space="preserve"> will be carried out by </w:t>
      </w:r>
      <w:r w:rsidR="008223B4" w:rsidRPr="007673BD">
        <w:rPr>
          <w:rFonts w:cs="Arial"/>
          <w:sz w:val="21"/>
          <w:szCs w:val="21"/>
          <w:lang w:val="en-AU"/>
        </w:rPr>
        <w:t xml:space="preserve">the </w:t>
      </w:r>
      <w:r w:rsidRPr="007673BD">
        <w:rPr>
          <w:rFonts w:cs="Arial"/>
          <w:sz w:val="21"/>
          <w:szCs w:val="21"/>
          <w:lang w:val="en-AU"/>
        </w:rPr>
        <w:t xml:space="preserve">Finance </w:t>
      </w:r>
      <w:r w:rsidR="008223B4" w:rsidRPr="007673BD">
        <w:rPr>
          <w:rFonts w:cs="Arial"/>
          <w:sz w:val="21"/>
          <w:szCs w:val="21"/>
          <w:lang w:val="en-AU"/>
        </w:rPr>
        <w:t xml:space="preserve">section, </w:t>
      </w:r>
      <w:r w:rsidRPr="007673BD">
        <w:rPr>
          <w:rFonts w:cs="Arial"/>
          <w:sz w:val="21"/>
          <w:szCs w:val="21"/>
          <w:lang w:val="en-AU"/>
        </w:rPr>
        <w:t xml:space="preserve">with prior approval from the </w:t>
      </w:r>
      <w:r w:rsidR="00F4399D" w:rsidRPr="007673BD">
        <w:rPr>
          <w:rFonts w:cs="Arial"/>
          <w:sz w:val="21"/>
          <w:szCs w:val="21"/>
          <w:lang w:val="en-AU"/>
        </w:rPr>
        <w:t xml:space="preserve">Chief Finance Officer or </w:t>
      </w:r>
      <w:r w:rsidRPr="007673BD">
        <w:rPr>
          <w:rFonts w:cs="Arial"/>
          <w:sz w:val="21"/>
          <w:szCs w:val="21"/>
          <w:lang w:val="en-AU"/>
        </w:rPr>
        <w:t xml:space="preserve">Finance Manager. Upon receipt of proceeds </w:t>
      </w:r>
      <w:r w:rsidR="00930929" w:rsidRPr="007673BD">
        <w:rPr>
          <w:rFonts w:cs="Arial"/>
          <w:sz w:val="21"/>
          <w:szCs w:val="21"/>
          <w:lang w:val="en-AU"/>
        </w:rPr>
        <w:t xml:space="preserve">of disposal </w:t>
      </w:r>
      <w:r w:rsidRPr="007673BD">
        <w:rPr>
          <w:rFonts w:cs="Arial"/>
          <w:sz w:val="21"/>
          <w:szCs w:val="21"/>
          <w:lang w:val="en-AU"/>
        </w:rPr>
        <w:t xml:space="preserve">(if any) or </w:t>
      </w:r>
      <w:r w:rsidR="00930929" w:rsidRPr="007673BD">
        <w:rPr>
          <w:rFonts w:cs="Arial"/>
          <w:sz w:val="21"/>
          <w:szCs w:val="21"/>
          <w:lang w:val="en-AU"/>
        </w:rPr>
        <w:t>approval of other disposal methods</w:t>
      </w:r>
      <w:r w:rsidRPr="007673BD">
        <w:rPr>
          <w:rFonts w:cs="Arial"/>
          <w:sz w:val="21"/>
          <w:szCs w:val="21"/>
          <w:lang w:val="en-AU"/>
        </w:rPr>
        <w:t>, the item</w:t>
      </w:r>
      <w:r w:rsidR="00930929" w:rsidRPr="007673BD">
        <w:rPr>
          <w:rFonts w:cs="Arial"/>
          <w:sz w:val="21"/>
          <w:szCs w:val="21"/>
          <w:lang w:val="en-AU"/>
        </w:rPr>
        <w:t>(</w:t>
      </w:r>
      <w:r w:rsidRPr="007673BD">
        <w:rPr>
          <w:rFonts w:cs="Arial"/>
          <w:sz w:val="21"/>
          <w:szCs w:val="21"/>
          <w:lang w:val="en-AU"/>
        </w:rPr>
        <w:t>s</w:t>
      </w:r>
      <w:r w:rsidR="00930929" w:rsidRPr="007673BD">
        <w:rPr>
          <w:rFonts w:cs="Arial"/>
          <w:sz w:val="21"/>
          <w:szCs w:val="21"/>
          <w:lang w:val="en-AU"/>
        </w:rPr>
        <w:t>)</w:t>
      </w:r>
      <w:r w:rsidRPr="007673BD">
        <w:rPr>
          <w:rFonts w:cs="Arial"/>
          <w:sz w:val="21"/>
          <w:szCs w:val="21"/>
          <w:lang w:val="en-AU"/>
        </w:rPr>
        <w:t xml:space="preserve"> will be </w:t>
      </w:r>
      <w:r w:rsidR="00D26F2C" w:rsidRPr="007673BD">
        <w:rPr>
          <w:rFonts w:cs="Arial"/>
          <w:sz w:val="21"/>
          <w:szCs w:val="21"/>
          <w:lang w:val="en-AU"/>
        </w:rPr>
        <w:t>updated</w:t>
      </w:r>
      <w:r w:rsidR="00930929" w:rsidRPr="007673BD">
        <w:rPr>
          <w:rFonts w:cs="Arial"/>
          <w:sz w:val="21"/>
          <w:szCs w:val="21"/>
          <w:lang w:val="en-AU"/>
        </w:rPr>
        <w:t xml:space="preserve"> from </w:t>
      </w:r>
      <w:r w:rsidRPr="007673BD">
        <w:rPr>
          <w:rFonts w:cs="Arial"/>
          <w:sz w:val="21"/>
          <w:szCs w:val="21"/>
          <w:lang w:val="en-AU"/>
        </w:rPr>
        <w:t xml:space="preserve">the </w:t>
      </w:r>
      <w:hyperlink r:id="rId26" w:history="1">
        <w:r w:rsidR="00D26F2C" w:rsidRPr="007673BD">
          <w:rPr>
            <w:rStyle w:val="Hyperlink"/>
            <w:rFonts w:cs="Arial"/>
            <w:sz w:val="21"/>
            <w:szCs w:val="21"/>
            <w:lang w:val="en-AU"/>
          </w:rPr>
          <w:t>TheDock</w:t>
        </w:r>
      </w:hyperlink>
      <w:r w:rsidR="00D26F2C" w:rsidRPr="007673BD">
        <w:rPr>
          <w:rFonts w:cs="Arial"/>
          <w:sz w:val="21"/>
          <w:szCs w:val="21"/>
          <w:lang w:val="en-AU"/>
        </w:rPr>
        <w:t xml:space="preserve"> </w:t>
      </w:r>
      <w:r w:rsidRPr="007673BD">
        <w:rPr>
          <w:rFonts w:cs="Arial"/>
          <w:sz w:val="21"/>
          <w:szCs w:val="21"/>
          <w:lang w:val="en-AU"/>
        </w:rPr>
        <w:t>portable and attractive register</w:t>
      </w:r>
      <w:r w:rsidR="00930929" w:rsidRPr="007673BD">
        <w:rPr>
          <w:rFonts w:cs="Arial"/>
          <w:sz w:val="21"/>
          <w:szCs w:val="21"/>
          <w:lang w:val="en-AU"/>
        </w:rPr>
        <w:t xml:space="preserve"> by the </w:t>
      </w:r>
      <w:r w:rsidR="00302037" w:rsidRPr="007673BD">
        <w:rPr>
          <w:rFonts w:cs="Arial"/>
          <w:sz w:val="21"/>
          <w:szCs w:val="21"/>
          <w:lang w:val="en-AU"/>
        </w:rPr>
        <w:t>responsible</w:t>
      </w:r>
      <w:r w:rsidR="00930929" w:rsidRPr="007673BD">
        <w:rPr>
          <w:rFonts w:cs="Arial"/>
          <w:sz w:val="21"/>
          <w:szCs w:val="21"/>
          <w:lang w:val="en-AU"/>
        </w:rPr>
        <w:t xml:space="preserve"> section</w:t>
      </w:r>
      <w:r w:rsidRPr="007673BD">
        <w:rPr>
          <w:rFonts w:cs="Arial"/>
          <w:sz w:val="21"/>
          <w:szCs w:val="21"/>
          <w:lang w:val="en-AU"/>
        </w:rPr>
        <w:t>.</w:t>
      </w:r>
    </w:p>
    <w:p w14:paraId="6B74F673" w14:textId="77777777" w:rsidR="004B7200" w:rsidRPr="00AC3A52" w:rsidRDefault="008F5217" w:rsidP="0009188E">
      <w:pPr>
        <w:pStyle w:val="Heading1"/>
        <w:ind w:left="0" w:firstLine="0"/>
        <w:rPr>
          <w:rFonts w:cs="Arial"/>
          <w:lang w:val="en-AU"/>
        </w:rPr>
      </w:pPr>
      <w:bookmarkStart w:id="53" w:name="_Accountabilities_/_responsibilities"/>
      <w:bookmarkStart w:id="54" w:name="_Toc417380711"/>
      <w:bookmarkEnd w:id="53"/>
      <w:r w:rsidRPr="00AC3A52">
        <w:rPr>
          <w:rFonts w:cs="Arial"/>
          <w:lang w:val="en-AU"/>
        </w:rPr>
        <w:t>Accountabilities</w:t>
      </w:r>
      <w:r w:rsidR="004B7200" w:rsidRPr="00AC3A52">
        <w:rPr>
          <w:rFonts w:cs="Arial"/>
          <w:lang w:val="en-AU"/>
        </w:rPr>
        <w:t xml:space="preserve"> / </w:t>
      </w:r>
      <w:r w:rsidRPr="00AC3A52">
        <w:rPr>
          <w:rFonts w:cs="Arial"/>
          <w:lang w:val="en-AU"/>
        </w:rPr>
        <w:t>responsibilities</w:t>
      </w:r>
      <w:bookmarkEnd w:id="54"/>
    </w:p>
    <w:p w14:paraId="6B74F674" w14:textId="2A55D54F" w:rsidR="001066D1" w:rsidRPr="007673BD" w:rsidRDefault="008A4186" w:rsidP="007673BD">
      <w:pPr>
        <w:ind w:left="567" w:hanging="567"/>
        <w:rPr>
          <w:sz w:val="21"/>
          <w:szCs w:val="21"/>
        </w:rPr>
      </w:pPr>
      <w:bookmarkStart w:id="55" w:name="_Ref417466618"/>
      <w:r w:rsidRPr="007673BD">
        <w:rPr>
          <w:b/>
          <w:color w:val="C00000"/>
          <w:sz w:val="21"/>
          <w:szCs w:val="21"/>
        </w:rPr>
        <w:t>Note</w:t>
      </w:r>
      <w:r w:rsidR="007673BD" w:rsidRPr="007673BD">
        <w:rPr>
          <w:sz w:val="21"/>
          <w:szCs w:val="21"/>
        </w:rPr>
        <w:t>:</w:t>
      </w:r>
      <w:r w:rsidR="007673BD" w:rsidRPr="007673BD">
        <w:rPr>
          <w:sz w:val="21"/>
          <w:szCs w:val="21"/>
        </w:rPr>
        <w:tab/>
      </w:r>
      <w:r w:rsidR="001066D1" w:rsidRPr="007673BD">
        <w:rPr>
          <w:sz w:val="21"/>
          <w:szCs w:val="21"/>
        </w:rPr>
        <w:t>Officials and contractors may have accountabilities</w:t>
      </w:r>
      <w:r w:rsidRPr="007673BD">
        <w:rPr>
          <w:sz w:val="21"/>
          <w:szCs w:val="21"/>
        </w:rPr>
        <w:t xml:space="preserve"> </w:t>
      </w:r>
      <w:r w:rsidR="001066D1" w:rsidRPr="007673BD">
        <w:rPr>
          <w:sz w:val="21"/>
          <w:szCs w:val="21"/>
        </w:rPr>
        <w:t>/</w:t>
      </w:r>
      <w:r w:rsidRPr="007673BD">
        <w:rPr>
          <w:sz w:val="21"/>
          <w:szCs w:val="21"/>
        </w:rPr>
        <w:t xml:space="preserve"> </w:t>
      </w:r>
      <w:r w:rsidR="001066D1" w:rsidRPr="007673BD">
        <w:rPr>
          <w:sz w:val="21"/>
          <w:szCs w:val="21"/>
        </w:rPr>
        <w:t>responsibilities in more than one group.</w:t>
      </w:r>
    </w:p>
    <w:p w14:paraId="6B74F675" w14:textId="4617047C" w:rsidR="004471B1" w:rsidRPr="008A4186" w:rsidRDefault="004471B1" w:rsidP="008A4186">
      <w:pPr>
        <w:pStyle w:val="Caption"/>
      </w:pPr>
      <w:bookmarkStart w:id="56" w:name="_Ref417469173"/>
      <w:bookmarkStart w:id="57" w:name="_Ref417467054"/>
      <w:r w:rsidRPr="008A4186">
        <w:t xml:space="preserve">Table </w:t>
      </w:r>
      <w:r w:rsidR="00EC5075" w:rsidRPr="008A4186">
        <w:fldChar w:fldCharType="begin"/>
      </w:r>
      <w:r w:rsidR="00EC5075" w:rsidRPr="008A4186">
        <w:instrText xml:space="preserve"> SEQ Table \* ARABIC </w:instrText>
      </w:r>
      <w:r w:rsidR="00EC5075" w:rsidRPr="008A4186">
        <w:fldChar w:fldCharType="separate"/>
      </w:r>
      <w:r w:rsidR="00A1335C">
        <w:rPr>
          <w:noProof/>
        </w:rPr>
        <w:t>6</w:t>
      </w:r>
      <w:r w:rsidR="00EC5075" w:rsidRPr="008A4186">
        <w:fldChar w:fldCharType="end"/>
      </w:r>
      <w:bookmarkEnd w:id="56"/>
      <w:r w:rsidRPr="00025A16">
        <w:rPr>
          <w:b w:val="0"/>
        </w:rPr>
        <w:t>: Table of accountabilities and responsibilities</w:t>
      </w:r>
      <w:bookmarkEnd w:id="57"/>
      <w:r w:rsidRPr="008A4186">
        <w:t xml:space="preserve"> </w:t>
      </w:r>
      <w:bookmarkEnd w:id="55"/>
    </w:p>
    <w:tbl>
      <w:tblPr>
        <w:tblStyle w:val="TableGrid"/>
        <w:tblW w:w="0" w:type="auto"/>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Caption w:val="Table 2"/>
        <w:tblDescription w:val="Table explaining the accountabilities and responsibilities for asset management."/>
      </w:tblPr>
      <w:tblGrid>
        <w:gridCol w:w="1822"/>
        <w:gridCol w:w="7181"/>
      </w:tblGrid>
      <w:tr w:rsidR="00746F33" w:rsidRPr="007673BD" w14:paraId="6B74F678" w14:textId="77777777" w:rsidTr="007673BD">
        <w:trPr>
          <w:trHeight w:val="335"/>
          <w:tblHeader/>
        </w:trPr>
        <w:tc>
          <w:tcPr>
            <w:tcW w:w="1822" w:type="dxa"/>
            <w:shd w:val="clear" w:color="auto" w:fill="2E74B5" w:themeFill="accent1" w:themeFillShade="BF"/>
            <w:vAlign w:val="center"/>
          </w:tcPr>
          <w:p w14:paraId="6B74F676" w14:textId="77777777" w:rsidR="00746F33" w:rsidRPr="007673BD" w:rsidRDefault="00746F33" w:rsidP="00746F33">
            <w:pPr>
              <w:spacing w:after="0"/>
              <w:jc w:val="center"/>
              <w:rPr>
                <w:rFonts w:cs="Arial"/>
                <w:b/>
                <w:color w:val="FFFFFF" w:themeColor="background1"/>
                <w:sz w:val="21"/>
                <w:szCs w:val="21"/>
                <w:lang w:val="en-AU"/>
              </w:rPr>
            </w:pPr>
            <w:r w:rsidRPr="007673BD">
              <w:rPr>
                <w:rFonts w:cs="Arial"/>
                <w:b/>
                <w:color w:val="FFFFFF" w:themeColor="background1"/>
                <w:sz w:val="21"/>
                <w:szCs w:val="21"/>
                <w:lang w:val="en-AU"/>
              </w:rPr>
              <w:t>Group</w:t>
            </w:r>
          </w:p>
        </w:tc>
        <w:tc>
          <w:tcPr>
            <w:tcW w:w="7181" w:type="dxa"/>
            <w:shd w:val="clear" w:color="auto" w:fill="2E74B5" w:themeFill="accent1" w:themeFillShade="BF"/>
            <w:vAlign w:val="center"/>
          </w:tcPr>
          <w:p w14:paraId="6B74F677" w14:textId="77777777" w:rsidR="00746F33" w:rsidRPr="007673BD" w:rsidRDefault="00746F33" w:rsidP="00746F33">
            <w:pPr>
              <w:spacing w:after="0"/>
              <w:jc w:val="center"/>
              <w:rPr>
                <w:rFonts w:cs="Arial"/>
                <w:color w:val="FFFFFF" w:themeColor="background1"/>
                <w:sz w:val="21"/>
                <w:szCs w:val="21"/>
                <w:lang w:val="en-AU"/>
              </w:rPr>
            </w:pPr>
            <w:r w:rsidRPr="007673BD">
              <w:rPr>
                <w:rFonts w:cs="Arial"/>
                <w:b/>
                <w:color w:val="FFFFFF" w:themeColor="background1"/>
                <w:sz w:val="21"/>
                <w:szCs w:val="21"/>
                <w:lang w:val="en-AU"/>
              </w:rPr>
              <w:t>Accountabilities / responsibilities</w:t>
            </w:r>
          </w:p>
        </w:tc>
      </w:tr>
      <w:tr w:rsidR="00746F33" w:rsidRPr="007673BD" w14:paraId="6B74F67B" w14:textId="77777777" w:rsidTr="007673BD">
        <w:trPr>
          <w:trHeight w:val="1134"/>
        </w:trPr>
        <w:tc>
          <w:tcPr>
            <w:tcW w:w="1822" w:type="dxa"/>
            <w:shd w:val="clear" w:color="auto" w:fill="BDD6EE" w:themeFill="accent1" w:themeFillTint="66"/>
          </w:tcPr>
          <w:p w14:paraId="6B74F679" w14:textId="77777777" w:rsidR="00746F33" w:rsidRPr="007673BD" w:rsidRDefault="008F5217"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Accountable Authority</w:t>
            </w:r>
          </w:p>
        </w:tc>
        <w:tc>
          <w:tcPr>
            <w:tcW w:w="7181" w:type="dxa"/>
          </w:tcPr>
          <w:p w14:paraId="6B74F67A" w14:textId="77777777" w:rsidR="00746F33" w:rsidRPr="007673BD" w:rsidRDefault="004471B1" w:rsidP="00197547">
            <w:pPr>
              <w:pStyle w:val="ListParagraph"/>
              <w:numPr>
                <w:ilvl w:val="0"/>
                <w:numId w:val="17"/>
              </w:numPr>
              <w:ind w:left="601" w:hanging="643"/>
              <w:rPr>
                <w:rFonts w:cs="Arial"/>
                <w:sz w:val="21"/>
                <w:szCs w:val="21"/>
              </w:rPr>
            </w:pPr>
            <w:r w:rsidRPr="007673BD">
              <w:rPr>
                <w:rFonts w:cs="Arial"/>
                <w:sz w:val="21"/>
                <w:szCs w:val="21"/>
              </w:rPr>
              <w:t xml:space="preserve">As per s15 of the </w:t>
            </w:r>
            <w:r w:rsidRPr="007673BD">
              <w:rPr>
                <w:rFonts w:cs="Arial"/>
                <w:i/>
                <w:sz w:val="21"/>
                <w:szCs w:val="21"/>
              </w:rPr>
              <w:t>Public Governance, Performance and Accountability Act 2013</w:t>
            </w:r>
            <w:r w:rsidRPr="007673BD">
              <w:rPr>
                <w:rFonts w:cs="Arial"/>
                <w:sz w:val="21"/>
                <w:szCs w:val="21"/>
              </w:rPr>
              <w:t xml:space="preserve">, </w:t>
            </w:r>
            <w:r w:rsidR="00197547" w:rsidRPr="007673BD">
              <w:rPr>
                <w:rFonts w:cs="Arial"/>
                <w:sz w:val="21"/>
                <w:szCs w:val="21"/>
              </w:rPr>
              <w:t>accountable for</w:t>
            </w:r>
            <w:r w:rsidRPr="007673BD">
              <w:rPr>
                <w:rFonts w:cs="Arial"/>
                <w:sz w:val="21"/>
                <w:szCs w:val="21"/>
              </w:rPr>
              <w:t xml:space="preserve"> govern</w:t>
            </w:r>
            <w:r w:rsidR="00197547" w:rsidRPr="007673BD">
              <w:rPr>
                <w:rFonts w:cs="Arial"/>
                <w:sz w:val="21"/>
                <w:szCs w:val="21"/>
              </w:rPr>
              <w:t>ing</w:t>
            </w:r>
            <w:r w:rsidRPr="007673BD">
              <w:rPr>
                <w:rFonts w:cs="Arial"/>
                <w:sz w:val="21"/>
                <w:szCs w:val="21"/>
              </w:rPr>
              <w:t xml:space="preserve"> the agency in a way that promotes proper use and management of public resources. That is, in a way that promotes the achievement of the purposes of the agency and is efficient, effective, economical, ethical, and financially sustainable.</w:t>
            </w:r>
          </w:p>
        </w:tc>
      </w:tr>
      <w:tr w:rsidR="008D319F" w:rsidRPr="007673BD" w14:paraId="6B74F67F" w14:textId="77777777" w:rsidTr="007673BD">
        <w:trPr>
          <w:trHeight w:val="1134"/>
        </w:trPr>
        <w:tc>
          <w:tcPr>
            <w:tcW w:w="1822" w:type="dxa"/>
            <w:shd w:val="clear" w:color="auto" w:fill="BDD6EE" w:themeFill="accent1" w:themeFillTint="66"/>
          </w:tcPr>
          <w:p w14:paraId="6B74F67C" w14:textId="77777777" w:rsidR="008D319F" w:rsidRPr="007673BD" w:rsidRDefault="008D319F"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Executive Management Group (EMG)</w:t>
            </w:r>
          </w:p>
        </w:tc>
        <w:tc>
          <w:tcPr>
            <w:tcW w:w="7181" w:type="dxa"/>
          </w:tcPr>
          <w:p w14:paraId="6B74F67D" w14:textId="77777777" w:rsidR="00F82BCF" w:rsidRPr="007673BD" w:rsidRDefault="00F82BCF" w:rsidP="00A02850">
            <w:pPr>
              <w:pStyle w:val="ListParagraph"/>
              <w:numPr>
                <w:ilvl w:val="0"/>
                <w:numId w:val="17"/>
              </w:numPr>
              <w:ind w:left="601" w:hanging="641"/>
              <w:contextualSpacing w:val="0"/>
              <w:rPr>
                <w:rFonts w:cs="Arial"/>
                <w:sz w:val="21"/>
                <w:szCs w:val="21"/>
              </w:rPr>
            </w:pPr>
            <w:r w:rsidRPr="007673BD">
              <w:rPr>
                <w:rFonts w:cs="Arial"/>
                <w:sz w:val="21"/>
                <w:szCs w:val="21"/>
              </w:rPr>
              <w:t xml:space="preserve">Responsible for an observably high level of commitment to asset management in order to facilitate the proper use and management of public resources (in a way that is efficient, effective, economical, ethical, financially sustainable and </w:t>
            </w:r>
            <w:r w:rsidR="007065DE" w:rsidRPr="007673BD">
              <w:rPr>
                <w:rFonts w:cs="Arial"/>
                <w:sz w:val="21"/>
                <w:szCs w:val="21"/>
              </w:rPr>
              <w:t>supportive of the purposes of the agency</w:t>
            </w:r>
            <w:r w:rsidRPr="007673BD">
              <w:rPr>
                <w:rFonts w:cs="Arial"/>
                <w:sz w:val="21"/>
                <w:szCs w:val="21"/>
              </w:rPr>
              <w:t>)</w:t>
            </w:r>
            <w:r w:rsidR="00A02850" w:rsidRPr="007673BD">
              <w:rPr>
                <w:rFonts w:cs="Arial"/>
                <w:sz w:val="21"/>
                <w:szCs w:val="21"/>
              </w:rPr>
              <w:t>.</w:t>
            </w:r>
            <w:r w:rsidRPr="007673BD">
              <w:rPr>
                <w:rFonts w:cs="Arial"/>
                <w:sz w:val="21"/>
                <w:szCs w:val="21"/>
              </w:rPr>
              <w:t xml:space="preserve"> </w:t>
            </w:r>
          </w:p>
          <w:p w14:paraId="6B74F67E" w14:textId="77777777" w:rsidR="008D319F" w:rsidRPr="007673BD" w:rsidRDefault="008D319F" w:rsidP="00A02850">
            <w:pPr>
              <w:pStyle w:val="ListParagraph"/>
              <w:numPr>
                <w:ilvl w:val="0"/>
                <w:numId w:val="17"/>
              </w:numPr>
              <w:ind w:left="601" w:hanging="641"/>
              <w:contextualSpacing w:val="0"/>
              <w:rPr>
                <w:rFonts w:cs="Arial"/>
                <w:sz w:val="21"/>
                <w:szCs w:val="21"/>
              </w:rPr>
            </w:pPr>
            <w:r w:rsidRPr="007673BD">
              <w:rPr>
                <w:rFonts w:cs="Arial"/>
                <w:sz w:val="21"/>
                <w:szCs w:val="21"/>
              </w:rPr>
              <w:t>Responsible for the consideration</w:t>
            </w:r>
            <w:r w:rsidR="00374E81" w:rsidRPr="007673BD">
              <w:rPr>
                <w:rFonts w:cs="Arial"/>
                <w:sz w:val="21"/>
                <w:szCs w:val="21"/>
              </w:rPr>
              <w:t xml:space="preserve"> (and subsequent decision-making) of Capital Management Plans submitted by sections as part of the annual budget process.</w:t>
            </w:r>
          </w:p>
        </w:tc>
      </w:tr>
      <w:tr w:rsidR="003859E9" w:rsidRPr="007673BD" w14:paraId="6B74F686" w14:textId="77777777" w:rsidTr="007673BD">
        <w:trPr>
          <w:trHeight w:val="562"/>
        </w:trPr>
        <w:tc>
          <w:tcPr>
            <w:tcW w:w="1822" w:type="dxa"/>
            <w:shd w:val="clear" w:color="auto" w:fill="BDD6EE" w:themeFill="accent1" w:themeFillTint="66"/>
          </w:tcPr>
          <w:p w14:paraId="6B74F680" w14:textId="77777777" w:rsidR="003859E9" w:rsidRPr="007673BD" w:rsidRDefault="003859E9"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Senior Management Team (section Directors)</w:t>
            </w:r>
          </w:p>
        </w:tc>
        <w:tc>
          <w:tcPr>
            <w:tcW w:w="7181" w:type="dxa"/>
          </w:tcPr>
          <w:p w14:paraId="6B74F681" w14:textId="77777777" w:rsidR="00C90D4F" w:rsidRPr="007673BD" w:rsidRDefault="00C90D4F" w:rsidP="00C90D4F">
            <w:pPr>
              <w:pStyle w:val="ListParagraph"/>
              <w:numPr>
                <w:ilvl w:val="0"/>
                <w:numId w:val="17"/>
              </w:numPr>
              <w:ind w:left="601" w:hanging="641"/>
              <w:contextualSpacing w:val="0"/>
              <w:rPr>
                <w:rFonts w:cs="Arial"/>
                <w:sz w:val="21"/>
                <w:szCs w:val="21"/>
              </w:rPr>
            </w:pPr>
            <w:r w:rsidRPr="007673BD">
              <w:rPr>
                <w:rFonts w:cs="Arial"/>
                <w:sz w:val="21"/>
                <w:szCs w:val="21"/>
              </w:rPr>
              <w:t xml:space="preserve">Responsible for the annual preparation of Capital Management Plans (by March/ April each year, as part of the budget process) for the acquisition and/or management of assets required for the operational delivery of strategic </w:t>
            </w:r>
            <w:r w:rsidR="005E1534" w:rsidRPr="007673BD">
              <w:rPr>
                <w:rFonts w:cs="Arial"/>
                <w:sz w:val="21"/>
                <w:szCs w:val="21"/>
              </w:rPr>
              <w:t>objectives</w:t>
            </w:r>
            <w:r w:rsidRPr="007673BD">
              <w:rPr>
                <w:rFonts w:cs="Arial"/>
                <w:sz w:val="21"/>
                <w:szCs w:val="21"/>
              </w:rPr>
              <w:t xml:space="preserve">. </w:t>
            </w:r>
          </w:p>
          <w:p w14:paraId="6B74F682" w14:textId="77777777" w:rsidR="00C90D4F" w:rsidRPr="007673BD" w:rsidRDefault="00C90D4F" w:rsidP="00C90D4F">
            <w:pPr>
              <w:pStyle w:val="ListParagraph"/>
              <w:ind w:left="601"/>
              <w:contextualSpacing w:val="0"/>
              <w:rPr>
                <w:rFonts w:cs="Arial"/>
                <w:sz w:val="21"/>
                <w:szCs w:val="21"/>
              </w:rPr>
            </w:pPr>
            <w:r w:rsidRPr="007673BD">
              <w:rPr>
                <w:rFonts w:cs="Arial"/>
                <w:b/>
                <w:sz w:val="21"/>
                <w:szCs w:val="21"/>
              </w:rPr>
              <w:t>Note</w:t>
            </w:r>
            <w:r w:rsidRPr="007673BD">
              <w:rPr>
                <w:rFonts w:cs="Arial"/>
                <w:sz w:val="21"/>
                <w:szCs w:val="21"/>
              </w:rPr>
              <w:t>: Changes to capital allocations outside the annual budget process may occur in exceptional circumstances; however approval must be sought initially from the Chief Finance Officer and then subsequently from the agency Chairman.</w:t>
            </w:r>
          </w:p>
          <w:p w14:paraId="6B74F683" w14:textId="77777777" w:rsidR="003859E9" w:rsidRPr="007673BD" w:rsidRDefault="003859E9" w:rsidP="00C90D4F">
            <w:pPr>
              <w:pStyle w:val="ListParagraph"/>
              <w:numPr>
                <w:ilvl w:val="0"/>
                <w:numId w:val="17"/>
              </w:numPr>
              <w:ind w:left="601" w:hanging="641"/>
              <w:contextualSpacing w:val="0"/>
              <w:rPr>
                <w:rFonts w:cs="Arial"/>
                <w:sz w:val="21"/>
                <w:szCs w:val="21"/>
              </w:rPr>
            </w:pPr>
            <w:r w:rsidRPr="007673BD">
              <w:rPr>
                <w:rFonts w:cs="Arial"/>
                <w:sz w:val="21"/>
                <w:szCs w:val="21"/>
              </w:rPr>
              <w:t>Responsible for including all reportable assets</w:t>
            </w:r>
            <w:r w:rsidR="005E1534" w:rsidRPr="007673BD">
              <w:rPr>
                <w:rFonts w:cs="Arial"/>
                <w:sz w:val="21"/>
                <w:szCs w:val="21"/>
              </w:rPr>
              <w:t xml:space="preserve"> and portable and attractive items</w:t>
            </w:r>
            <w:r w:rsidRPr="007673BD">
              <w:rPr>
                <w:rFonts w:cs="Arial"/>
                <w:sz w:val="21"/>
                <w:szCs w:val="21"/>
              </w:rPr>
              <w:t xml:space="preserve"> purchased or received by their section (including those purchased from budgets provided by other areas of the agency, such as approved project funds) within the FMIS asset register.</w:t>
            </w:r>
          </w:p>
          <w:p w14:paraId="6B74F684" w14:textId="77777777" w:rsidR="003859E9" w:rsidRPr="007673BD" w:rsidRDefault="003859E9" w:rsidP="003859E9">
            <w:pPr>
              <w:pStyle w:val="ListParagraph"/>
              <w:numPr>
                <w:ilvl w:val="0"/>
                <w:numId w:val="17"/>
              </w:numPr>
              <w:ind w:left="601" w:hanging="641"/>
              <w:contextualSpacing w:val="0"/>
              <w:rPr>
                <w:rFonts w:cs="Arial"/>
                <w:sz w:val="21"/>
                <w:szCs w:val="21"/>
              </w:rPr>
            </w:pPr>
            <w:r w:rsidRPr="007673BD">
              <w:rPr>
                <w:rFonts w:cs="Arial"/>
                <w:sz w:val="21"/>
                <w:szCs w:val="21"/>
              </w:rPr>
              <w:t xml:space="preserve">Responsible for the ongoing maintenance of their section’s asset register, including ensuring asset locations are up to date, asset descriptions are sufficient to aid identification and </w:t>
            </w:r>
            <w:r w:rsidRPr="007673BD">
              <w:rPr>
                <w:rFonts w:cs="Arial"/>
                <w:sz w:val="21"/>
                <w:szCs w:val="21"/>
                <w:lang w:val="en-AU"/>
              </w:rPr>
              <w:t>stocktake</w:t>
            </w:r>
            <w:r w:rsidRPr="007673BD">
              <w:rPr>
                <w:rFonts w:cs="Arial"/>
                <w:sz w:val="21"/>
                <w:szCs w:val="21"/>
              </w:rPr>
              <w:t>, and that disposal/ deactivation of assets is undertaken in a timely manner.</w:t>
            </w:r>
          </w:p>
          <w:p w14:paraId="6B74F685" w14:textId="77777777" w:rsidR="003859E9" w:rsidRPr="007673BD" w:rsidRDefault="00C90D4F" w:rsidP="00C90D4F">
            <w:pPr>
              <w:pStyle w:val="ListParagraph"/>
              <w:numPr>
                <w:ilvl w:val="0"/>
                <w:numId w:val="17"/>
              </w:numPr>
              <w:ind w:left="601" w:hanging="641"/>
              <w:contextualSpacing w:val="0"/>
              <w:rPr>
                <w:rFonts w:cs="Arial"/>
                <w:sz w:val="21"/>
                <w:szCs w:val="21"/>
              </w:rPr>
            </w:pPr>
            <w:r w:rsidRPr="007673BD">
              <w:rPr>
                <w:rFonts w:cs="Arial"/>
                <w:sz w:val="21"/>
                <w:szCs w:val="21"/>
              </w:rPr>
              <w:t xml:space="preserve">Responsible for assessing the impairment of their section’s assets as part of the annual stocktaking process. Where assets are impaired, the carrying book value should be amended if needed, so </w:t>
            </w:r>
            <w:r w:rsidRPr="007673BD">
              <w:rPr>
                <w:rFonts w:cs="Arial"/>
                <w:sz w:val="21"/>
                <w:szCs w:val="21"/>
              </w:rPr>
              <w:lastRenderedPageBreak/>
              <w:t>it accurately reflects the ‘fair value’ of the asset, given local conditions and/or whether its remaining lifespan remains valid.</w:t>
            </w:r>
          </w:p>
        </w:tc>
      </w:tr>
      <w:tr w:rsidR="008A4186" w:rsidRPr="007673BD" w14:paraId="6B74F68F" w14:textId="77777777" w:rsidTr="007673BD">
        <w:trPr>
          <w:trHeight w:val="373"/>
        </w:trPr>
        <w:tc>
          <w:tcPr>
            <w:tcW w:w="1822" w:type="dxa"/>
            <w:shd w:val="clear" w:color="auto" w:fill="BDD6EE" w:themeFill="accent1" w:themeFillTint="66"/>
          </w:tcPr>
          <w:p w14:paraId="6B74F68A" w14:textId="77777777" w:rsidR="008A4186" w:rsidRPr="007673BD" w:rsidRDefault="008A4186" w:rsidP="008A4186">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lastRenderedPageBreak/>
              <w:t>Information Management and System Technologies section</w:t>
            </w:r>
          </w:p>
        </w:tc>
        <w:tc>
          <w:tcPr>
            <w:tcW w:w="7181" w:type="dxa"/>
          </w:tcPr>
          <w:p w14:paraId="6B74F68B" w14:textId="77777777" w:rsidR="008A4186" w:rsidRPr="007673BD" w:rsidRDefault="008A4186" w:rsidP="008A4186">
            <w:pPr>
              <w:pStyle w:val="ListParagraph"/>
              <w:numPr>
                <w:ilvl w:val="0"/>
                <w:numId w:val="17"/>
              </w:numPr>
              <w:ind w:left="601" w:hanging="641"/>
              <w:contextualSpacing w:val="0"/>
              <w:rPr>
                <w:rFonts w:cs="Arial"/>
                <w:sz w:val="21"/>
                <w:szCs w:val="21"/>
                <w:lang w:val="en-AU"/>
              </w:rPr>
            </w:pPr>
            <w:r w:rsidRPr="007673BD">
              <w:rPr>
                <w:rFonts w:cs="Arial"/>
                <w:sz w:val="21"/>
                <w:szCs w:val="21"/>
                <w:lang w:val="en-AU"/>
              </w:rPr>
              <w:t>Responsible for managing portable and attractive information and communication technologies on behalf of the agency by:</w:t>
            </w:r>
          </w:p>
          <w:p w14:paraId="6B74F68C" w14:textId="3E93E8F5" w:rsidR="008A4186" w:rsidRPr="007673BD" w:rsidRDefault="00A47CBE" w:rsidP="008A4186">
            <w:pPr>
              <w:pStyle w:val="ListParagraph"/>
              <w:numPr>
                <w:ilvl w:val="1"/>
                <w:numId w:val="17"/>
              </w:numPr>
              <w:ind w:left="1168" w:hanging="425"/>
              <w:contextualSpacing w:val="0"/>
              <w:rPr>
                <w:rFonts w:cs="Arial"/>
                <w:sz w:val="21"/>
                <w:szCs w:val="21"/>
                <w:lang w:val="en-AU"/>
              </w:rPr>
            </w:pPr>
            <w:r w:rsidRPr="007673BD">
              <w:rPr>
                <w:rFonts w:cs="Arial"/>
                <w:sz w:val="21"/>
                <w:szCs w:val="21"/>
                <w:lang w:val="en-AU"/>
              </w:rPr>
              <w:t>R</w:t>
            </w:r>
            <w:r w:rsidR="008A4186" w:rsidRPr="007673BD">
              <w:rPr>
                <w:rFonts w:cs="Arial"/>
                <w:sz w:val="21"/>
                <w:szCs w:val="21"/>
                <w:lang w:val="en-AU"/>
              </w:rPr>
              <w:t xml:space="preserve">egistering </w:t>
            </w:r>
            <w:r w:rsidR="009202D6" w:rsidRPr="007673BD">
              <w:rPr>
                <w:rFonts w:cs="Arial"/>
                <w:sz w:val="21"/>
                <w:szCs w:val="21"/>
                <w:lang w:val="en-AU"/>
              </w:rPr>
              <w:t xml:space="preserve">and tag </w:t>
            </w:r>
            <w:r w:rsidR="008A4186" w:rsidRPr="007673BD">
              <w:rPr>
                <w:rFonts w:cs="Arial"/>
                <w:sz w:val="21"/>
                <w:szCs w:val="21"/>
                <w:lang w:val="en-AU"/>
              </w:rPr>
              <w:t xml:space="preserve">all </w:t>
            </w:r>
            <w:r w:rsidR="009202D6" w:rsidRPr="007673BD">
              <w:rPr>
                <w:rFonts w:cs="Arial"/>
                <w:sz w:val="21"/>
                <w:szCs w:val="21"/>
                <w:lang w:val="en-AU"/>
              </w:rPr>
              <w:t>portable and attractive information and communication technologies onto the ‘portable and attractive register’ as they are received into the agency</w:t>
            </w:r>
          </w:p>
          <w:p w14:paraId="6B74F68D" w14:textId="12605377" w:rsidR="009202D6" w:rsidRPr="007673BD" w:rsidRDefault="00A47CBE" w:rsidP="008A4186">
            <w:pPr>
              <w:pStyle w:val="ListParagraph"/>
              <w:numPr>
                <w:ilvl w:val="1"/>
                <w:numId w:val="17"/>
              </w:numPr>
              <w:ind w:left="1168" w:hanging="425"/>
              <w:contextualSpacing w:val="0"/>
              <w:rPr>
                <w:rFonts w:cs="Arial"/>
                <w:sz w:val="21"/>
                <w:szCs w:val="21"/>
                <w:lang w:val="en-AU"/>
              </w:rPr>
            </w:pPr>
            <w:r w:rsidRPr="007673BD">
              <w:rPr>
                <w:rFonts w:cs="Arial"/>
                <w:sz w:val="21"/>
                <w:szCs w:val="21"/>
                <w:lang w:val="en-AU"/>
              </w:rPr>
              <w:t>U</w:t>
            </w:r>
            <w:r w:rsidR="009202D6" w:rsidRPr="007673BD">
              <w:rPr>
                <w:rFonts w:cs="Arial"/>
                <w:sz w:val="21"/>
                <w:szCs w:val="21"/>
                <w:lang w:val="en-AU"/>
              </w:rPr>
              <w:t>ndertaking an annual stocktake of portable and attractive information and communication technologies and reflecting resultant changes (e.g., transfers and disposals) within the ‘portable and attractive register’, and</w:t>
            </w:r>
          </w:p>
          <w:p w14:paraId="6B74F68E" w14:textId="714B5911" w:rsidR="008A4186" w:rsidRPr="007673BD" w:rsidRDefault="00A47CBE" w:rsidP="009202D6">
            <w:pPr>
              <w:pStyle w:val="ListParagraph"/>
              <w:numPr>
                <w:ilvl w:val="1"/>
                <w:numId w:val="17"/>
              </w:numPr>
              <w:ind w:left="1168" w:hanging="425"/>
              <w:contextualSpacing w:val="0"/>
              <w:rPr>
                <w:rFonts w:cs="Arial"/>
                <w:sz w:val="21"/>
                <w:szCs w:val="21"/>
                <w:lang w:val="en-AU"/>
              </w:rPr>
            </w:pPr>
            <w:r w:rsidRPr="007673BD">
              <w:rPr>
                <w:rFonts w:cs="Arial"/>
                <w:sz w:val="21"/>
                <w:szCs w:val="21"/>
                <w:lang w:val="en-AU"/>
              </w:rPr>
              <w:t>M</w:t>
            </w:r>
            <w:r w:rsidR="009202D6" w:rsidRPr="007673BD">
              <w:rPr>
                <w:rFonts w:cs="Arial"/>
                <w:sz w:val="21"/>
                <w:szCs w:val="21"/>
                <w:lang w:val="en-AU"/>
              </w:rPr>
              <w:t>aintaining a register of portable and attractive information and communication technologies which have been issued for personal use.</w:t>
            </w:r>
          </w:p>
        </w:tc>
      </w:tr>
      <w:tr w:rsidR="00197547" w:rsidRPr="007673BD" w14:paraId="6B74F693" w14:textId="77777777" w:rsidTr="007673BD">
        <w:trPr>
          <w:trHeight w:val="373"/>
        </w:trPr>
        <w:tc>
          <w:tcPr>
            <w:tcW w:w="1822" w:type="dxa"/>
            <w:shd w:val="clear" w:color="auto" w:fill="BDD6EE" w:themeFill="accent1" w:themeFillTint="66"/>
          </w:tcPr>
          <w:p w14:paraId="6B74F690" w14:textId="77777777" w:rsidR="00197547" w:rsidRPr="007673BD" w:rsidRDefault="00197547"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Chief Finance Officer</w:t>
            </w:r>
          </w:p>
        </w:tc>
        <w:tc>
          <w:tcPr>
            <w:tcW w:w="7181" w:type="dxa"/>
          </w:tcPr>
          <w:p w14:paraId="6B74F691" w14:textId="77777777" w:rsidR="00197547" w:rsidRPr="007673BD" w:rsidRDefault="00197547" w:rsidP="003859E9">
            <w:pPr>
              <w:pStyle w:val="ListParagraph"/>
              <w:numPr>
                <w:ilvl w:val="0"/>
                <w:numId w:val="17"/>
              </w:numPr>
              <w:ind w:left="601" w:hanging="641"/>
              <w:contextualSpacing w:val="0"/>
              <w:rPr>
                <w:rFonts w:cs="Arial"/>
                <w:sz w:val="21"/>
                <w:szCs w:val="21"/>
              </w:rPr>
            </w:pPr>
            <w:r w:rsidRPr="007673BD">
              <w:rPr>
                <w:rFonts w:cs="Arial"/>
                <w:sz w:val="21"/>
                <w:szCs w:val="21"/>
              </w:rPr>
              <w:t>Responsible for an observably high level of commitment to asset management in order to facilitate the proper use and management of public resources (in a way that is efficient, effective, economical, ethical, financially sustainable and supportive of the purposes of the agency)</w:t>
            </w:r>
            <w:r w:rsidR="00A02850" w:rsidRPr="007673BD">
              <w:rPr>
                <w:rFonts w:cs="Arial"/>
                <w:sz w:val="21"/>
                <w:szCs w:val="21"/>
              </w:rPr>
              <w:t>.</w:t>
            </w:r>
            <w:r w:rsidRPr="007673BD">
              <w:rPr>
                <w:rFonts w:cs="Arial"/>
                <w:sz w:val="21"/>
                <w:szCs w:val="21"/>
              </w:rPr>
              <w:t xml:space="preserve"> </w:t>
            </w:r>
          </w:p>
          <w:p w14:paraId="6B74F692" w14:textId="77777777" w:rsidR="00197547" w:rsidRPr="007673BD" w:rsidRDefault="003859E9" w:rsidP="003859E9">
            <w:pPr>
              <w:pStyle w:val="ListParagraph"/>
              <w:numPr>
                <w:ilvl w:val="0"/>
                <w:numId w:val="17"/>
              </w:numPr>
              <w:ind w:left="601" w:hanging="641"/>
              <w:contextualSpacing w:val="0"/>
              <w:rPr>
                <w:rFonts w:cs="Arial"/>
                <w:sz w:val="21"/>
                <w:szCs w:val="21"/>
                <w:lang w:val="en-AU"/>
              </w:rPr>
            </w:pPr>
            <w:r w:rsidRPr="007673BD">
              <w:rPr>
                <w:rFonts w:cs="Arial"/>
                <w:sz w:val="21"/>
                <w:szCs w:val="21"/>
              </w:rPr>
              <w:t>Responsible for entering information on all finance leases into the FMIS asset register.</w:t>
            </w:r>
          </w:p>
        </w:tc>
      </w:tr>
      <w:tr w:rsidR="00262ECA" w:rsidRPr="007673BD" w14:paraId="6B74F697" w14:textId="77777777" w:rsidTr="007673BD">
        <w:trPr>
          <w:trHeight w:val="373"/>
        </w:trPr>
        <w:tc>
          <w:tcPr>
            <w:tcW w:w="1822" w:type="dxa"/>
            <w:shd w:val="clear" w:color="auto" w:fill="BDD6EE" w:themeFill="accent1" w:themeFillTint="66"/>
          </w:tcPr>
          <w:p w14:paraId="6B74F694" w14:textId="77777777" w:rsidR="00262ECA" w:rsidRPr="007673BD" w:rsidRDefault="00262ECA"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Finance section</w:t>
            </w:r>
          </w:p>
        </w:tc>
        <w:tc>
          <w:tcPr>
            <w:tcW w:w="7181" w:type="dxa"/>
          </w:tcPr>
          <w:p w14:paraId="6B74F695" w14:textId="0EA11885" w:rsidR="004E4D88" w:rsidRPr="007673BD" w:rsidRDefault="004E4D88" w:rsidP="003859E9">
            <w:pPr>
              <w:pStyle w:val="ListParagraph"/>
              <w:numPr>
                <w:ilvl w:val="0"/>
                <w:numId w:val="17"/>
              </w:numPr>
              <w:ind w:left="601" w:hanging="641"/>
              <w:contextualSpacing w:val="0"/>
              <w:rPr>
                <w:rFonts w:cs="Arial"/>
                <w:sz w:val="21"/>
                <w:szCs w:val="21"/>
                <w:lang w:val="en-AU"/>
              </w:rPr>
            </w:pPr>
            <w:r w:rsidRPr="007673BD">
              <w:rPr>
                <w:rFonts w:cs="Arial"/>
                <w:sz w:val="21"/>
                <w:szCs w:val="21"/>
                <w:lang w:val="en-AU"/>
              </w:rPr>
              <w:t>Responsible f</w:t>
            </w:r>
            <w:r w:rsidR="009A1EE3" w:rsidRPr="007673BD">
              <w:rPr>
                <w:rFonts w:cs="Arial"/>
                <w:sz w:val="21"/>
                <w:szCs w:val="21"/>
                <w:lang w:val="en-AU"/>
              </w:rPr>
              <w:t>or managing the</w:t>
            </w:r>
            <w:r w:rsidRPr="007673BD">
              <w:rPr>
                <w:rFonts w:cs="Arial"/>
                <w:sz w:val="21"/>
                <w:szCs w:val="21"/>
                <w:lang w:val="en-AU"/>
              </w:rPr>
              <w:t xml:space="preserve"> revaluation program of all asset classe</w:t>
            </w:r>
            <w:r w:rsidR="009A1EE3" w:rsidRPr="007673BD">
              <w:rPr>
                <w:rFonts w:cs="Arial"/>
                <w:sz w:val="21"/>
                <w:szCs w:val="21"/>
                <w:lang w:val="en-AU"/>
              </w:rPr>
              <w:t>s</w:t>
            </w:r>
            <w:r w:rsidRPr="007673BD">
              <w:rPr>
                <w:rFonts w:cs="Arial"/>
                <w:sz w:val="21"/>
                <w:szCs w:val="21"/>
                <w:lang w:val="en-AU"/>
              </w:rPr>
              <w:t xml:space="preserve"> via an independent commercial valuer.</w:t>
            </w:r>
          </w:p>
          <w:p w14:paraId="6B74F696" w14:textId="77777777" w:rsidR="00262ECA" w:rsidRPr="007673BD" w:rsidRDefault="00262ECA" w:rsidP="003859E9">
            <w:pPr>
              <w:pStyle w:val="ListParagraph"/>
              <w:numPr>
                <w:ilvl w:val="0"/>
                <w:numId w:val="17"/>
              </w:numPr>
              <w:spacing w:after="80"/>
              <w:ind w:left="601" w:hanging="641"/>
              <w:rPr>
                <w:rFonts w:cs="Arial"/>
                <w:sz w:val="21"/>
                <w:szCs w:val="21"/>
                <w:lang w:val="en-AU"/>
              </w:rPr>
            </w:pPr>
            <w:r w:rsidRPr="007673BD">
              <w:rPr>
                <w:rFonts w:cs="Arial"/>
                <w:sz w:val="21"/>
                <w:szCs w:val="21"/>
                <w:lang w:val="en-AU"/>
              </w:rPr>
              <w:t>Responsible for the general maintenance and quality assurance of</w:t>
            </w:r>
            <w:r w:rsidR="003859E9" w:rsidRPr="007673BD">
              <w:rPr>
                <w:rFonts w:cs="Arial"/>
                <w:sz w:val="21"/>
                <w:szCs w:val="21"/>
                <w:lang w:val="en-AU"/>
              </w:rPr>
              <w:t xml:space="preserve"> the agency’s FMIS a</w:t>
            </w:r>
            <w:r w:rsidRPr="007673BD">
              <w:rPr>
                <w:rFonts w:cs="Arial"/>
                <w:sz w:val="21"/>
                <w:szCs w:val="21"/>
                <w:lang w:val="en-AU"/>
              </w:rPr>
              <w:t xml:space="preserve">sset </w:t>
            </w:r>
            <w:r w:rsidR="003859E9" w:rsidRPr="007673BD">
              <w:rPr>
                <w:rFonts w:cs="Arial"/>
                <w:sz w:val="21"/>
                <w:szCs w:val="21"/>
                <w:lang w:val="en-AU"/>
              </w:rPr>
              <w:t>r</w:t>
            </w:r>
            <w:r w:rsidRPr="007673BD">
              <w:rPr>
                <w:rFonts w:cs="Arial"/>
                <w:sz w:val="21"/>
                <w:szCs w:val="21"/>
                <w:lang w:val="en-AU"/>
              </w:rPr>
              <w:t xml:space="preserve">egister, </w:t>
            </w:r>
            <w:r w:rsidR="004E4D88" w:rsidRPr="007673BD">
              <w:rPr>
                <w:rFonts w:cs="Arial"/>
                <w:sz w:val="21"/>
                <w:szCs w:val="21"/>
                <w:lang w:val="en-AU"/>
              </w:rPr>
              <w:t xml:space="preserve">particularly following </w:t>
            </w:r>
            <w:r w:rsidRPr="007673BD">
              <w:rPr>
                <w:rFonts w:cs="Arial"/>
                <w:sz w:val="21"/>
                <w:szCs w:val="21"/>
                <w:lang w:val="en-AU"/>
              </w:rPr>
              <w:t>the annual stocktake process, asset revaluation and impairment management.</w:t>
            </w:r>
          </w:p>
        </w:tc>
      </w:tr>
      <w:tr w:rsidR="00262ECA" w:rsidRPr="007673BD" w14:paraId="6B74F69A" w14:textId="77777777" w:rsidTr="007673BD">
        <w:trPr>
          <w:trHeight w:val="461"/>
        </w:trPr>
        <w:tc>
          <w:tcPr>
            <w:tcW w:w="1822" w:type="dxa"/>
            <w:shd w:val="clear" w:color="auto" w:fill="BDD6EE" w:themeFill="accent1" w:themeFillTint="66"/>
          </w:tcPr>
          <w:p w14:paraId="6B74F698" w14:textId="77777777" w:rsidR="00262ECA" w:rsidRPr="007673BD" w:rsidRDefault="00262ECA"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Officials who supervise other officials</w:t>
            </w:r>
          </w:p>
        </w:tc>
        <w:tc>
          <w:tcPr>
            <w:tcW w:w="7181" w:type="dxa"/>
          </w:tcPr>
          <w:p w14:paraId="6B74F699" w14:textId="77777777" w:rsidR="00262ECA" w:rsidRPr="007673BD" w:rsidRDefault="00262ECA" w:rsidP="003859E9">
            <w:pPr>
              <w:pStyle w:val="ListParagraph"/>
              <w:numPr>
                <w:ilvl w:val="0"/>
                <w:numId w:val="17"/>
              </w:numPr>
              <w:spacing w:after="80"/>
              <w:ind w:left="601" w:hanging="641"/>
              <w:rPr>
                <w:rFonts w:cs="Arial"/>
                <w:sz w:val="21"/>
                <w:szCs w:val="21"/>
                <w:lang w:val="en-AU"/>
              </w:rPr>
            </w:pPr>
            <w:r w:rsidRPr="007673BD">
              <w:rPr>
                <w:rFonts w:cs="Arial"/>
                <w:sz w:val="21"/>
                <w:szCs w:val="21"/>
                <w:lang w:val="en-AU"/>
              </w:rPr>
              <w:t>Responsible for complying and managing non-compliance to this policy and any other actions implemented for the management of assets</w:t>
            </w:r>
            <w:r w:rsidR="005E1534" w:rsidRPr="007673BD">
              <w:rPr>
                <w:rFonts w:cs="Arial"/>
                <w:sz w:val="21"/>
                <w:szCs w:val="21"/>
                <w:lang w:val="en-AU"/>
              </w:rPr>
              <w:t xml:space="preserve"> (including portable and attractive items)</w:t>
            </w:r>
            <w:r w:rsidRPr="007673BD">
              <w:rPr>
                <w:rFonts w:cs="Arial"/>
                <w:sz w:val="21"/>
                <w:szCs w:val="21"/>
                <w:lang w:val="en-AU"/>
              </w:rPr>
              <w:t>.</w:t>
            </w:r>
          </w:p>
        </w:tc>
      </w:tr>
      <w:tr w:rsidR="00262ECA" w:rsidRPr="007673BD" w14:paraId="6B74F69D" w14:textId="77777777" w:rsidTr="007673BD">
        <w:trPr>
          <w:trHeight w:val="294"/>
        </w:trPr>
        <w:tc>
          <w:tcPr>
            <w:tcW w:w="1822" w:type="dxa"/>
            <w:shd w:val="clear" w:color="auto" w:fill="BDD6EE" w:themeFill="accent1" w:themeFillTint="66"/>
          </w:tcPr>
          <w:p w14:paraId="6B74F69B" w14:textId="77777777" w:rsidR="00262ECA" w:rsidRPr="007673BD" w:rsidRDefault="00262ECA" w:rsidP="004471B1">
            <w:pPr>
              <w:pStyle w:val="ListParagraph"/>
              <w:spacing w:after="80"/>
              <w:ind w:left="0"/>
              <w:contextualSpacing w:val="0"/>
              <w:rPr>
                <w:rFonts w:cs="Arial"/>
                <w:color w:val="000000" w:themeColor="text1"/>
                <w:sz w:val="21"/>
                <w:szCs w:val="21"/>
                <w:lang w:val="en-AU"/>
              </w:rPr>
            </w:pPr>
            <w:r w:rsidRPr="007673BD">
              <w:rPr>
                <w:rFonts w:cs="Arial"/>
                <w:color w:val="000000" w:themeColor="text1"/>
                <w:sz w:val="21"/>
                <w:szCs w:val="21"/>
                <w:lang w:val="en-AU"/>
              </w:rPr>
              <w:t>All officials</w:t>
            </w:r>
          </w:p>
        </w:tc>
        <w:tc>
          <w:tcPr>
            <w:tcW w:w="7181" w:type="dxa"/>
          </w:tcPr>
          <w:p w14:paraId="6B74F69C" w14:textId="77777777" w:rsidR="00262ECA" w:rsidRPr="007673BD" w:rsidRDefault="00262ECA" w:rsidP="003859E9">
            <w:pPr>
              <w:pStyle w:val="ListParagraph"/>
              <w:numPr>
                <w:ilvl w:val="0"/>
                <w:numId w:val="17"/>
              </w:numPr>
              <w:spacing w:after="80"/>
              <w:ind w:left="601" w:hanging="641"/>
              <w:rPr>
                <w:rFonts w:cs="Arial"/>
                <w:sz w:val="21"/>
                <w:szCs w:val="21"/>
                <w:lang w:val="en-AU"/>
              </w:rPr>
            </w:pPr>
            <w:r w:rsidRPr="007673BD">
              <w:rPr>
                <w:rFonts w:cs="Arial"/>
                <w:sz w:val="21"/>
                <w:szCs w:val="21"/>
                <w:lang w:val="en-AU"/>
              </w:rPr>
              <w:t xml:space="preserve">Responsible for complying with this policy and any other actions </w:t>
            </w:r>
            <w:r w:rsidR="003859E9" w:rsidRPr="007673BD">
              <w:rPr>
                <w:rFonts w:cs="Arial"/>
                <w:sz w:val="21"/>
                <w:szCs w:val="21"/>
                <w:lang w:val="en-AU"/>
              </w:rPr>
              <w:t xml:space="preserve">or directions </w:t>
            </w:r>
            <w:r w:rsidRPr="007673BD">
              <w:rPr>
                <w:rFonts w:cs="Arial"/>
                <w:sz w:val="21"/>
                <w:szCs w:val="21"/>
                <w:lang w:val="en-AU"/>
              </w:rPr>
              <w:t>implemented for the management of assets</w:t>
            </w:r>
            <w:r w:rsidR="005E1534" w:rsidRPr="007673BD">
              <w:rPr>
                <w:rFonts w:cs="Arial"/>
                <w:sz w:val="21"/>
                <w:szCs w:val="21"/>
                <w:lang w:val="en-AU"/>
              </w:rPr>
              <w:t xml:space="preserve"> (including portable and attractive items)</w:t>
            </w:r>
            <w:r w:rsidRPr="007673BD">
              <w:rPr>
                <w:rFonts w:cs="Arial"/>
                <w:sz w:val="21"/>
                <w:szCs w:val="21"/>
                <w:lang w:val="en-AU"/>
              </w:rPr>
              <w:t>.</w:t>
            </w:r>
          </w:p>
        </w:tc>
      </w:tr>
    </w:tbl>
    <w:p w14:paraId="6B74F69E" w14:textId="77777777" w:rsidR="00BF7E87" w:rsidRPr="00AC3A52" w:rsidRDefault="00BF7E87">
      <w:pPr>
        <w:spacing w:after="200" w:line="276" w:lineRule="auto"/>
        <w:rPr>
          <w:rFonts w:cs="Arial"/>
          <w:lang w:val="en-AU"/>
        </w:rPr>
      </w:pPr>
      <w:r w:rsidRPr="00AC3A52">
        <w:rPr>
          <w:rFonts w:cs="Arial"/>
          <w:lang w:val="en-AU"/>
        </w:rPr>
        <w:br w:type="page"/>
      </w:r>
    </w:p>
    <w:p w14:paraId="6B74F69F" w14:textId="1F8E8C99" w:rsidR="00BF7E87" w:rsidRPr="00AC3A52" w:rsidRDefault="00BF7E87" w:rsidP="00D435A0">
      <w:pPr>
        <w:pStyle w:val="Heading1"/>
        <w:rPr>
          <w:rFonts w:cs="Arial"/>
          <w:lang w:val="en-AU"/>
        </w:rPr>
      </w:pPr>
      <w:bookmarkStart w:id="58" w:name="_Toc417380712"/>
      <w:r w:rsidRPr="00AC3A52">
        <w:rPr>
          <w:rFonts w:cs="Arial"/>
          <w:lang w:val="en-AU"/>
        </w:rPr>
        <w:lastRenderedPageBreak/>
        <w:t xml:space="preserve">Appendix 1 </w:t>
      </w:r>
      <w:r w:rsidR="00411F87">
        <w:rPr>
          <w:rFonts w:cs="Arial"/>
          <w:lang w:val="en-AU"/>
        </w:rPr>
        <w:t>–</w:t>
      </w:r>
      <w:r w:rsidRPr="00AC3A52">
        <w:rPr>
          <w:rFonts w:cs="Arial"/>
          <w:lang w:val="en-AU"/>
        </w:rPr>
        <w:t xml:space="preserve"> Definitions and related material</w:t>
      </w:r>
      <w:bookmarkEnd w:id="58"/>
    </w:p>
    <w:p w14:paraId="6B74F6A0" w14:textId="77777777" w:rsidR="00BF7E87" w:rsidRPr="00AC3A52" w:rsidRDefault="00BF7E87" w:rsidP="00D435A0">
      <w:pPr>
        <w:pStyle w:val="Heading2"/>
        <w:rPr>
          <w:rFonts w:cs="Arial"/>
        </w:rPr>
      </w:pPr>
      <w:bookmarkStart w:id="59" w:name="_Toc417380713"/>
      <w:r w:rsidRPr="00AC3A52">
        <w:rPr>
          <w:rFonts w:cs="Arial"/>
        </w:rPr>
        <w:t>Definitions</w:t>
      </w:r>
      <w:bookmarkEnd w:id="59"/>
    </w:p>
    <w:tbl>
      <w:tblPr>
        <w:tblStyle w:val="TableGrid"/>
        <w:tblW w:w="9199" w:type="dxa"/>
        <w:tblBorders>
          <w:top w:val="single" w:sz="12" w:space="0" w:color="D5DCE4" w:themeColor="text2" w:themeTint="33"/>
          <w:left w:val="single" w:sz="12" w:space="0" w:color="D5DCE4" w:themeColor="text2" w:themeTint="33"/>
          <w:bottom w:val="single" w:sz="12" w:space="0" w:color="D5DCE4" w:themeColor="text2" w:themeTint="33"/>
          <w:right w:val="single" w:sz="12" w:space="0" w:color="D5DCE4" w:themeColor="text2" w:themeTint="33"/>
          <w:insideH w:val="single" w:sz="12" w:space="0" w:color="D5DCE4" w:themeColor="text2" w:themeTint="33"/>
          <w:insideV w:val="single" w:sz="12" w:space="0" w:color="D5DCE4" w:themeColor="text2" w:themeTint="33"/>
        </w:tblBorders>
        <w:tblLook w:val="04A0" w:firstRow="1" w:lastRow="0" w:firstColumn="1" w:lastColumn="0" w:noHBand="0" w:noVBand="1"/>
        <w:tblDescription w:val="table of definitions"/>
      </w:tblPr>
      <w:tblGrid>
        <w:gridCol w:w="2259"/>
        <w:gridCol w:w="6940"/>
      </w:tblGrid>
      <w:tr w:rsidR="000F1D48" w14:paraId="3DDCAA51" w14:textId="77777777" w:rsidTr="000F1D48">
        <w:trPr>
          <w:tblHeader/>
        </w:trPr>
        <w:tc>
          <w:tcPr>
            <w:tcW w:w="2259" w:type="dxa"/>
            <w:shd w:val="clear" w:color="auto" w:fill="2E74B5" w:themeFill="accent1" w:themeFillShade="BF"/>
          </w:tcPr>
          <w:p w14:paraId="45C8F9B0" w14:textId="46F3E0B1" w:rsidR="000F1D48" w:rsidRPr="00A1335C" w:rsidRDefault="000F1D48">
            <w:pPr>
              <w:rPr>
                <w:b/>
                <w:color w:val="FFFFFF" w:themeColor="background1"/>
                <w:sz w:val="21"/>
                <w:szCs w:val="21"/>
              </w:rPr>
            </w:pPr>
            <w:r w:rsidRPr="00A1335C">
              <w:rPr>
                <w:b/>
                <w:color w:val="FFFFFF" w:themeColor="background1"/>
                <w:sz w:val="21"/>
                <w:szCs w:val="21"/>
              </w:rPr>
              <w:t>Term</w:t>
            </w:r>
          </w:p>
        </w:tc>
        <w:tc>
          <w:tcPr>
            <w:tcW w:w="6940" w:type="dxa"/>
            <w:shd w:val="clear" w:color="auto" w:fill="2E74B5" w:themeFill="accent1" w:themeFillShade="BF"/>
          </w:tcPr>
          <w:p w14:paraId="4A1FB7D8" w14:textId="5DCFEEB6" w:rsidR="000F1D48" w:rsidRPr="00A1335C" w:rsidRDefault="000F1D48">
            <w:pPr>
              <w:rPr>
                <w:b/>
                <w:color w:val="FFFFFF" w:themeColor="background1"/>
                <w:sz w:val="21"/>
                <w:szCs w:val="21"/>
              </w:rPr>
            </w:pPr>
            <w:r w:rsidRPr="00A1335C">
              <w:rPr>
                <w:b/>
                <w:color w:val="FFFFFF" w:themeColor="background1"/>
                <w:sz w:val="21"/>
                <w:szCs w:val="21"/>
              </w:rPr>
              <w:t>Definition</w:t>
            </w:r>
          </w:p>
        </w:tc>
      </w:tr>
      <w:tr w:rsidR="000F1D48" w14:paraId="74D9A8AC" w14:textId="77777777" w:rsidTr="000F1D48">
        <w:tc>
          <w:tcPr>
            <w:tcW w:w="2259" w:type="dxa"/>
            <w:shd w:val="clear" w:color="auto" w:fill="BDD6EE" w:themeFill="accent1" w:themeFillTint="66"/>
          </w:tcPr>
          <w:p w14:paraId="36C0F8A2" w14:textId="5518D6A0" w:rsidR="000F1D48" w:rsidRPr="00A1335C" w:rsidRDefault="000F1D48" w:rsidP="000F1D48">
            <w:pPr>
              <w:rPr>
                <w:sz w:val="21"/>
                <w:szCs w:val="21"/>
              </w:rPr>
            </w:pPr>
            <w:bookmarkStart w:id="60" w:name="Asset"/>
            <w:r w:rsidRPr="00A1335C">
              <w:rPr>
                <w:rFonts w:cs="Arial"/>
                <w:b/>
                <w:sz w:val="21"/>
                <w:szCs w:val="21"/>
              </w:rPr>
              <w:t>Asset</w:t>
            </w:r>
            <w:bookmarkEnd w:id="60"/>
          </w:p>
        </w:tc>
        <w:tc>
          <w:tcPr>
            <w:tcW w:w="6940" w:type="dxa"/>
          </w:tcPr>
          <w:p w14:paraId="732F6B05" w14:textId="77777777" w:rsidR="000F1D48" w:rsidRPr="00A1335C" w:rsidRDefault="000F1D48" w:rsidP="000F1D48">
            <w:pPr>
              <w:spacing w:after="80"/>
              <w:rPr>
                <w:rFonts w:cs="Arial"/>
                <w:sz w:val="21"/>
                <w:szCs w:val="21"/>
                <w:lang w:val="en-AU"/>
              </w:rPr>
            </w:pPr>
            <w:r w:rsidRPr="00A1335C">
              <w:rPr>
                <w:rFonts w:cs="Arial"/>
                <w:sz w:val="21"/>
                <w:szCs w:val="21"/>
                <w:lang w:val="en-AU"/>
              </w:rPr>
              <w:t>Means a resource controlled by an entity as a result of past events and from which future economic benefits are expected to flow to the entity</w:t>
            </w:r>
            <w:bookmarkStart w:id="61" w:name="_Ref417379535"/>
            <w:r w:rsidRPr="00A1335C">
              <w:rPr>
                <w:rStyle w:val="EndnoteReference"/>
                <w:rFonts w:cs="Arial"/>
                <w:sz w:val="21"/>
                <w:szCs w:val="21"/>
                <w:lang w:val="en-AU"/>
              </w:rPr>
              <w:endnoteReference w:id="9"/>
            </w:r>
            <w:bookmarkEnd w:id="61"/>
            <w:r w:rsidRPr="00A1335C">
              <w:rPr>
                <w:rFonts w:cs="Arial"/>
                <w:sz w:val="21"/>
                <w:szCs w:val="21"/>
                <w:lang w:val="en-AU"/>
              </w:rPr>
              <w:t xml:space="preserve">. Assets are distinguished between non-financial and financial. </w:t>
            </w:r>
          </w:p>
          <w:p w14:paraId="240F2A62" w14:textId="7D299559" w:rsidR="000F1D48" w:rsidRPr="00A1335C" w:rsidRDefault="000F1D48" w:rsidP="000F1D48">
            <w:pPr>
              <w:rPr>
                <w:sz w:val="21"/>
                <w:szCs w:val="21"/>
              </w:rPr>
            </w:pPr>
            <w:r w:rsidRPr="00A1335C">
              <w:rPr>
                <w:rFonts w:cs="Arial"/>
                <w:sz w:val="21"/>
                <w:szCs w:val="21"/>
                <w:lang w:val="en-AU"/>
              </w:rPr>
              <w:t xml:space="preserve">An entity </w:t>
            </w:r>
            <w:r w:rsidRPr="00A1335C">
              <w:rPr>
                <w:rFonts w:cs="Arial"/>
                <w:b/>
                <w:i/>
                <w:sz w:val="21"/>
                <w:szCs w:val="21"/>
                <w:lang w:val="en-AU"/>
              </w:rPr>
              <w:t xml:space="preserve">controls </w:t>
            </w:r>
            <w:r w:rsidRPr="00A1335C">
              <w:rPr>
                <w:rFonts w:cs="Arial"/>
                <w:sz w:val="21"/>
                <w:szCs w:val="21"/>
                <w:lang w:val="en-AU"/>
              </w:rPr>
              <w:t>an asset if it has the power (normally stemming from legal rights, enforceable in a court of law) to obtain the future economic benefits flowing from it and to restrict the access of others to those benefits</w:t>
            </w:r>
            <w:bookmarkStart w:id="62" w:name="_Ref417379638"/>
            <w:r w:rsidRPr="00A1335C">
              <w:rPr>
                <w:rStyle w:val="EndnoteReference"/>
                <w:rFonts w:cs="Arial"/>
                <w:sz w:val="21"/>
                <w:szCs w:val="21"/>
                <w:lang w:val="en-AU"/>
              </w:rPr>
              <w:endnoteReference w:id="10"/>
            </w:r>
            <w:bookmarkEnd w:id="62"/>
            <w:r w:rsidRPr="00A1335C">
              <w:rPr>
                <w:rFonts w:cs="Arial"/>
                <w:sz w:val="21"/>
                <w:szCs w:val="21"/>
                <w:lang w:val="en-AU"/>
              </w:rPr>
              <w:t>.</w:t>
            </w:r>
          </w:p>
        </w:tc>
      </w:tr>
      <w:tr w:rsidR="000F1D48" w14:paraId="05ECE249" w14:textId="77777777" w:rsidTr="000F1D48">
        <w:tc>
          <w:tcPr>
            <w:tcW w:w="2259" w:type="dxa"/>
            <w:shd w:val="clear" w:color="auto" w:fill="BDD6EE" w:themeFill="accent1" w:themeFillTint="66"/>
          </w:tcPr>
          <w:p w14:paraId="7B2061D2" w14:textId="0DECFC21" w:rsidR="000F1D48" w:rsidRPr="00A1335C" w:rsidRDefault="000F1D48" w:rsidP="000F1D48">
            <w:pPr>
              <w:rPr>
                <w:sz w:val="21"/>
                <w:szCs w:val="21"/>
              </w:rPr>
            </w:pPr>
            <w:bookmarkStart w:id="63" w:name="AUD"/>
            <w:r w:rsidRPr="00A1335C">
              <w:rPr>
                <w:rFonts w:cs="Arial"/>
                <w:b/>
                <w:sz w:val="21"/>
                <w:szCs w:val="21"/>
              </w:rPr>
              <w:t>AUD</w:t>
            </w:r>
            <w:bookmarkEnd w:id="63"/>
          </w:p>
        </w:tc>
        <w:tc>
          <w:tcPr>
            <w:tcW w:w="6940" w:type="dxa"/>
          </w:tcPr>
          <w:p w14:paraId="2455AD7A" w14:textId="579139EE" w:rsidR="000F1D48" w:rsidRPr="00A1335C" w:rsidRDefault="000F1D48" w:rsidP="000F1D48">
            <w:pPr>
              <w:rPr>
                <w:sz w:val="21"/>
                <w:szCs w:val="21"/>
              </w:rPr>
            </w:pPr>
            <w:r w:rsidRPr="00A1335C">
              <w:rPr>
                <w:rFonts w:cs="Arial"/>
                <w:sz w:val="21"/>
                <w:szCs w:val="21"/>
                <w:lang w:val="en-AU"/>
              </w:rPr>
              <w:t>Means Australian dollar(s).</w:t>
            </w:r>
          </w:p>
        </w:tc>
      </w:tr>
      <w:tr w:rsidR="000F1D48" w14:paraId="23C7D3A8" w14:textId="77777777" w:rsidTr="000F1D48">
        <w:tc>
          <w:tcPr>
            <w:tcW w:w="2259" w:type="dxa"/>
            <w:shd w:val="clear" w:color="auto" w:fill="BDD6EE" w:themeFill="accent1" w:themeFillTint="66"/>
          </w:tcPr>
          <w:p w14:paraId="251BC9FE" w14:textId="527E6183" w:rsidR="000F1D48" w:rsidRPr="00A1335C" w:rsidRDefault="000F1D48" w:rsidP="000F1D48">
            <w:pPr>
              <w:rPr>
                <w:rFonts w:cs="Arial"/>
                <w:b/>
                <w:sz w:val="21"/>
                <w:szCs w:val="21"/>
              </w:rPr>
            </w:pPr>
            <w:bookmarkStart w:id="64" w:name="Capitalised"/>
            <w:r w:rsidRPr="00A1335C">
              <w:rPr>
                <w:rFonts w:cs="Arial"/>
                <w:b/>
                <w:sz w:val="21"/>
                <w:szCs w:val="21"/>
              </w:rPr>
              <w:t>Capitalised</w:t>
            </w:r>
            <w:bookmarkEnd w:id="64"/>
            <w:r w:rsidRPr="00A1335C">
              <w:rPr>
                <w:rFonts w:cs="Arial"/>
                <w:b/>
                <w:sz w:val="21"/>
                <w:szCs w:val="21"/>
              </w:rPr>
              <w:t>/ capitalisation</w:t>
            </w:r>
          </w:p>
        </w:tc>
        <w:tc>
          <w:tcPr>
            <w:tcW w:w="6940" w:type="dxa"/>
          </w:tcPr>
          <w:p w14:paraId="3620CF92" w14:textId="0879F36E" w:rsidR="000F1D48" w:rsidRPr="00A1335C" w:rsidRDefault="000F1D48" w:rsidP="000F1D48">
            <w:pPr>
              <w:rPr>
                <w:rFonts w:cs="Arial"/>
                <w:sz w:val="21"/>
                <w:szCs w:val="21"/>
                <w:lang w:val="en-AU"/>
              </w:rPr>
            </w:pPr>
            <w:r w:rsidRPr="00A1335C">
              <w:rPr>
                <w:rFonts w:cs="Arial"/>
                <w:sz w:val="21"/>
                <w:szCs w:val="21"/>
                <w:lang w:val="en-AU"/>
              </w:rPr>
              <w:t>Means recognising a cost as part of the cost of an asset</w:t>
            </w:r>
            <w:r w:rsidRPr="00A1335C">
              <w:rPr>
                <w:rFonts w:cs="Arial"/>
                <w:sz w:val="21"/>
                <w:szCs w:val="21"/>
                <w:lang w:val="en-AU"/>
              </w:rPr>
              <w:fldChar w:fldCharType="begin"/>
            </w:r>
            <w:r w:rsidRPr="00A1335C">
              <w:rPr>
                <w:rFonts w:cs="Arial"/>
                <w:sz w:val="21"/>
                <w:szCs w:val="21"/>
                <w:lang w:val="en-AU"/>
              </w:rPr>
              <w:instrText xml:space="preserve"> NOTEREF _Ref417379535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8</w:t>
            </w:r>
            <w:r w:rsidRPr="00A1335C">
              <w:rPr>
                <w:rFonts w:cs="Arial"/>
                <w:sz w:val="21"/>
                <w:szCs w:val="21"/>
                <w:lang w:val="en-AU"/>
              </w:rPr>
              <w:fldChar w:fldCharType="end"/>
            </w:r>
            <w:r w:rsidRPr="00A1335C">
              <w:rPr>
                <w:rFonts w:cs="Arial"/>
                <w:sz w:val="21"/>
                <w:szCs w:val="21"/>
                <w:lang w:val="en-AU"/>
              </w:rPr>
              <w:t>.</w:t>
            </w:r>
          </w:p>
        </w:tc>
      </w:tr>
      <w:tr w:rsidR="000F1D48" w14:paraId="385A1380" w14:textId="77777777" w:rsidTr="000F1D48">
        <w:tc>
          <w:tcPr>
            <w:tcW w:w="2259" w:type="dxa"/>
            <w:shd w:val="clear" w:color="auto" w:fill="BDD6EE" w:themeFill="accent1" w:themeFillTint="66"/>
          </w:tcPr>
          <w:p w14:paraId="4EDB4F48" w14:textId="3B59363E" w:rsidR="000F1D48" w:rsidRPr="00A1335C" w:rsidRDefault="000F1D48" w:rsidP="000F1D48">
            <w:pPr>
              <w:rPr>
                <w:rFonts w:cs="Arial"/>
                <w:b/>
                <w:sz w:val="21"/>
                <w:szCs w:val="21"/>
              </w:rPr>
            </w:pPr>
            <w:bookmarkStart w:id="65" w:name="CarryingAmount" w:colFirst="0" w:colLast="0"/>
            <w:r w:rsidRPr="00A1335C">
              <w:rPr>
                <w:rFonts w:cs="Arial"/>
                <w:b/>
                <w:sz w:val="21"/>
                <w:szCs w:val="21"/>
              </w:rPr>
              <w:t>Carrying amount</w:t>
            </w:r>
          </w:p>
        </w:tc>
        <w:tc>
          <w:tcPr>
            <w:tcW w:w="6940" w:type="dxa"/>
          </w:tcPr>
          <w:p w14:paraId="4E7D4F5A" w14:textId="11204E43" w:rsidR="000F1D48" w:rsidRPr="00A1335C" w:rsidRDefault="000F1D48" w:rsidP="000F1D48">
            <w:pPr>
              <w:rPr>
                <w:rFonts w:cs="Arial"/>
                <w:sz w:val="21"/>
                <w:szCs w:val="21"/>
                <w:lang w:val="en-AU"/>
              </w:rPr>
            </w:pPr>
            <w:r w:rsidRPr="00A1335C">
              <w:rPr>
                <w:rFonts w:cs="Arial"/>
                <w:sz w:val="21"/>
                <w:szCs w:val="21"/>
                <w:lang w:val="en-AU"/>
              </w:rPr>
              <w:t>Means the amount at which an asset is recognised in the statement of financial position</w:t>
            </w:r>
            <w:r w:rsidRPr="00A1335C">
              <w:rPr>
                <w:rFonts w:cs="Arial"/>
                <w:sz w:val="21"/>
                <w:szCs w:val="21"/>
                <w:lang w:val="en-AU"/>
              </w:rPr>
              <w:fldChar w:fldCharType="begin"/>
            </w:r>
            <w:r w:rsidRPr="00A1335C">
              <w:rPr>
                <w:rFonts w:cs="Arial"/>
                <w:sz w:val="21"/>
                <w:szCs w:val="21"/>
                <w:lang w:val="en-AU"/>
              </w:rPr>
              <w:instrText xml:space="preserve"> NOTEREF _Ref417379535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8</w:t>
            </w:r>
            <w:r w:rsidRPr="00A1335C">
              <w:rPr>
                <w:rFonts w:cs="Arial"/>
                <w:sz w:val="21"/>
                <w:szCs w:val="21"/>
                <w:lang w:val="en-AU"/>
              </w:rPr>
              <w:fldChar w:fldCharType="end"/>
            </w:r>
            <w:r w:rsidRPr="00A1335C">
              <w:rPr>
                <w:rFonts w:cs="Arial"/>
                <w:sz w:val="21"/>
                <w:szCs w:val="21"/>
                <w:lang w:val="en-AU"/>
              </w:rPr>
              <w:t xml:space="preserve"> after deducting any accumulated amortisation and impairment losses</w:t>
            </w:r>
            <w:r w:rsidRPr="00A1335C">
              <w:rPr>
                <w:rFonts w:cs="Arial"/>
                <w:sz w:val="21"/>
                <w:szCs w:val="21"/>
                <w:lang w:val="en-AU"/>
              </w:rPr>
              <w:fldChar w:fldCharType="begin"/>
            </w:r>
            <w:r w:rsidRPr="00A1335C">
              <w:rPr>
                <w:rFonts w:cs="Arial"/>
                <w:sz w:val="21"/>
                <w:szCs w:val="21"/>
                <w:lang w:val="en-AU"/>
              </w:rPr>
              <w:instrText xml:space="preserve"> NOTEREF _Ref417379638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9</w:t>
            </w:r>
            <w:r w:rsidRPr="00A1335C">
              <w:rPr>
                <w:rFonts w:cs="Arial"/>
                <w:sz w:val="21"/>
                <w:szCs w:val="21"/>
                <w:lang w:val="en-AU"/>
              </w:rPr>
              <w:fldChar w:fldCharType="end"/>
            </w:r>
            <w:r w:rsidRPr="00A1335C">
              <w:rPr>
                <w:rFonts w:cs="Arial"/>
                <w:sz w:val="21"/>
                <w:szCs w:val="21"/>
                <w:lang w:val="en-AU"/>
              </w:rPr>
              <w:t>.</w:t>
            </w:r>
          </w:p>
        </w:tc>
      </w:tr>
      <w:tr w:rsidR="000F1D48" w14:paraId="61314450" w14:textId="77777777" w:rsidTr="000F1D48">
        <w:tc>
          <w:tcPr>
            <w:tcW w:w="2259" w:type="dxa"/>
            <w:shd w:val="clear" w:color="auto" w:fill="BDD6EE" w:themeFill="accent1" w:themeFillTint="66"/>
          </w:tcPr>
          <w:p w14:paraId="5D0529E3" w14:textId="7C950DE0" w:rsidR="000F1D48" w:rsidRPr="00A1335C" w:rsidRDefault="000F1D48" w:rsidP="000F1D48">
            <w:pPr>
              <w:rPr>
                <w:rFonts w:cs="Arial"/>
                <w:b/>
                <w:sz w:val="21"/>
                <w:szCs w:val="21"/>
              </w:rPr>
            </w:pPr>
            <w:bookmarkStart w:id="66" w:name="Contractor"/>
            <w:bookmarkEnd w:id="65"/>
            <w:r w:rsidRPr="00A1335C">
              <w:rPr>
                <w:rFonts w:cs="Arial"/>
                <w:b/>
                <w:sz w:val="21"/>
                <w:szCs w:val="21"/>
              </w:rPr>
              <w:t>Contractor</w:t>
            </w:r>
            <w:r w:rsidRPr="00A1335C">
              <w:rPr>
                <w:rFonts w:cs="Arial"/>
                <w:sz w:val="21"/>
                <w:szCs w:val="21"/>
              </w:rPr>
              <w:t xml:space="preserve"> </w:t>
            </w:r>
            <w:bookmarkEnd w:id="66"/>
            <w:r w:rsidRPr="00A1335C">
              <w:rPr>
                <w:rFonts w:cs="Arial"/>
                <w:sz w:val="21"/>
                <w:szCs w:val="21"/>
              </w:rPr>
              <w:t>(or contracted service provider) for a Commonwealth contract</w:t>
            </w:r>
          </w:p>
        </w:tc>
        <w:tc>
          <w:tcPr>
            <w:tcW w:w="6940" w:type="dxa"/>
          </w:tcPr>
          <w:p w14:paraId="51582D60" w14:textId="77777777" w:rsidR="000F1D48" w:rsidRPr="00A1335C" w:rsidRDefault="000F1D48" w:rsidP="000F1D48">
            <w:pPr>
              <w:spacing w:after="80"/>
              <w:rPr>
                <w:rFonts w:cs="Arial"/>
                <w:sz w:val="21"/>
                <w:szCs w:val="21"/>
                <w:lang w:val="en-AU"/>
              </w:rPr>
            </w:pPr>
            <w:r w:rsidRPr="00A1335C">
              <w:rPr>
                <w:rFonts w:cs="Arial"/>
                <w:sz w:val="21"/>
                <w:szCs w:val="21"/>
                <w:lang w:val="en-AU"/>
              </w:rPr>
              <w:t>Means:</w:t>
            </w:r>
          </w:p>
          <w:p w14:paraId="062E7BE3" w14:textId="77777777" w:rsidR="000F1D48" w:rsidRPr="00A1335C" w:rsidRDefault="000F1D48" w:rsidP="000F1D48">
            <w:pPr>
              <w:pStyle w:val="ListParagraph"/>
              <w:numPr>
                <w:ilvl w:val="1"/>
                <w:numId w:val="24"/>
              </w:numPr>
              <w:spacing w:after="80"/>
              <w:ind w:left="382" w:hanging="382"/>
              <w:contextualSpacing w:val="0"/>
              <w:rPr>
                <w:rFonts w:cs="Arial"/>
                <w:sz w:val="21"/>
                <w:szCs w:val="21"/>
                <w:lang w:val="en-AU"/>
              </w:rPr>
            </w:pPr>
            <w:r w:rsidRPr="00A1335C">
              <w:rPr>
                <w:rFonts w:cs="Arial"/>
                <w:sz w:val="21"/>
                <w:szCs w:val="21"/>
                <w:lang w:val="en-AU"/>
              </w:rPr>
              <w:t>A person who is a party to the Commonwealth contract and who is responsible for the provision of services to a Commonwealth entity under the Commonwealth contract; or</w:t>
            </w:r>
          </w:p>
          <w:p w14:paraId="2A24CF4B" w14:textId="1270A31E" w:rsidR="000F1D48" w:rsidRPr="00A1335C" w:rsidRDefault="000F1D48" w:rsidP="000F1D48">
            <w:pPr>
              <w:pStyle w:val="ListParagraph"/>
              <w:numPr>
                <w:ilvl w:val="1"/>
                <w:numId w:val="24"/>
              </w:numPr>
              <w:spacing w:after="80"/>
              <w:ind w:left="382" w:hanging="382"/>
              <w:contextualSpacing w:val="0"/>
              <w:rPr>
                <w:rFonts w:cs="Arial"/>
                <w:sz w:val="21"/>
                <w:szCs w:val="21"/>
                <w:lang w:val="en-AU"/>
              </w:rPr>
            </w:pPr>
            <w:r w:rsidRPr="00A1335C">
              <w:rPr>
                <w:rFonts w:cs="Arial"/>
                <w:sz w:val="21"/>
                <w:szCs w:val="21"/>
                <w:lang w:val="en-AU"/>
              </w:rPr>
              <w:t>A subcontractor for the Commonwealth contract</w:t>
            </w:r>
            <w:r w:rsidRPr="00A1335C">
              <w:rPr>
                <w:rStyle w:val="EndnoteReference"/>
                <w:rFonts w:cs="Arial"/>
                <w:sz w:val="21"/>
                <w:szCs w:val="21"/>
                <w:lang w:val="en-AU"/>
              </w:rPr>
              <w:endnoteReference w:id="11"/>
            </w:r>
            <w:r w:rsidRPr="00A1335C">
              <w:rPr>
                <w:rFonts w:cs="Arial"/>
                <w:sz w:val="21"/>
                <w:szCs w:val="21"/>
                <w:lang w:val="en-AU"/>
              </w:rPr>
              <w:t>.</w:t>
            </w:r>
          </w:p>
        </w:tc>
      </w:tr>
      <w:tr w:rsidR="000F1D48" w14:paraId="16F6B0C1" w14:textId="77777777" w:rsidTr="000F1D48">
        <w:tc>
          <w:tcPr>
            <w:tcW w:w="2259" w:type="dxa"/>
            <w:shd w:val="clear" w:color="auto" w:fill="BDD6EE" w:themeFill="accent1" w:themeFillTint="66"/>
          </w:tcPr>
          <w:p w14:paraId="78201519" w14:textId="10D24EB7" w:rsidR="000F1D48" w:rsidRPr="00A1335C" w:rsidRDefault="000F1D48" w:rsidP="000F1D48">
            <w:pPr>
              <w:rPr>
                <w:rFonts w:cs="Arial"/>
                <w:b/>
                <w:sz w:val="21"/>
                <w:szCs w:val="21"/>
              </w:rPr>
            </w:pPr>
            <w:bookmarkStart w:id="67" w:name="DepreciationAmortisation"/>
            <w:r w:rsidRPr="00A1335C">
              <w:rPr>
                <w:rFonts w:cs="Arial"/>
                <w:b/>
                <w:sz w:val="21"/>
                <w:szCs w:val="21"/>
              </w:rPr>
              <w:t>Depreciation</w:t>
            </w:r>
            <w:r w:rsidRPr="00A1335C">
              <w:rPr>
                <w:rFonts w:cs="Arial"/>
                <w:sz w:val="21"/>
                <w:szCs w:val="21"/>
              </w:rPr>
              <w:t xml:space="preserve"> </w:t>
            </w:r>
            <w:bookmarkEnd w:id="67"/>
            <w:r w:rsidRPr="00A1335C">
              <w:rPr>
                <w:rFonts w:cs="Arial"/>
                <w:sz w:val="21"/>
                <w:szCs w:val="21"/>
              </w:rPr>
              <w:t>(or ‘</w:t>
            </w:r>
            <w:r w:rsidRPr="00A1335C">
              <w:rPr>
                <w:rFonts w:cs="Arial"/>
                <w:b/>
                <w:sz w:val="21"/>
                <w:szCs w:val="21"/>
              </w:rPr>
              <w:t>amortisation’</w:t>
            </w:r>
            <w:r w:rsidRPr="00A1335C">
              <w:rPr>
                <w:rFonts w:cs="Arial"/>
                <w:sz w:val="21"/>
                <w:szCs w:val="21"/>
              </w:rPr>
              <w:t xml:space="preserve"> in relation to an intangible asset)</w:t>
            </w:r>
          </w:p>
        </w:tc>
        <w:tc>
          <w:tcPr>
            <w:tcW w:w="6940" w:type="dxa"/>
          </w:tcPr>
          <w:p w14:paraId="01D657E6" w14:textId="0B9AEF5D" w:rsidR="000F1D48" w:rsidRPr="00A1335C" w:rsidRDefault="000F1D48" w:rsidP="000F1D48">
            <w:pPr>
              <w:rPr>
                <w:rFonts w:cs="Arial"/>
                <w:sz w:val="21"/>
                <w:szCs w:val="21"/>
                <w:lang w:val="en-AU"/>
              </w:rPr>
            </w:pPr>
            <w:r w:rsidRPr="00A1335C">
              <w:rPr>
                <w:rFonts w:cs="Arial"/>
                <w:sz w:val="21"/>
                <w:szCs w:val="21"/>
                <w:lang w:val="en-AU"/>
              </w:rPr>
              <w:t>Means the systematic allocation of the depreciable amount of an asset over its useful life</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_Ref417379535 \f \h </w:instrText>
            </w:r>
            <w:r w:rsidRP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8</w:t>
            </w:r>
            <w:r w:rsidRPr="00A1335C">
              <w:rPr>
                <w:rFonts w:cs="Arial"/>
                <w:sz w:val="21"/>
                <w:szCs w:val="21"/>
                <w:vertAlign w:val="superscript"/>
                <w:lang w:val="en-AU"/>
              </w:rPr>
              <w:fldChar w:fldCharType="end"/>
            </w:r>
            <w:r w:rsidRPr="00A1335C">
              <w:rPr>
                <w:rFonts w:cs="Arial"/>
                <w:sz w:val="21"/>
                <w:szCs w:val="21"/>
                <w:lang w:val="en-AU"/>
              </w:rPr>
              <w:t>. In simple terms, it is the accounting process of systematically allocating the cost less the estimated residual value of an asset over its expected useful life</w:t>
            </w:r>
            <w:r w:rsidRPr="00A1335C">
              <w:rPr>
                <w:rStyle w:val="EndnoteReference"/>
                <w:rFonts w:cs="Arial"/>
                <w:sz w:val="21"/>
                <w:szCs w:val="21"/>
                <w:lang w:val="en-AU"/>
              </w:rPr>
              <w:endnoteReference w:id="12"/>
            </w:r>
            <w:r w:rsidRPr="00A1335C">
              <w:rPr>
                <w:rFonts w:cs="Arial"/>
                <w:sz w:val="21"/>
                <w:szCs w:val="21"/>
                <w:lang w:val="en-AU"/>
              </w:rPr>
              <w:t>.</w:t>
            </w:r>
          </w:p>
        </w:tc>
      </w:tr>
      <w:tr w:rsidR="000F1D48" w14:paraId="39D526F0" w14:textId="77777777" w:rsidTr="000F1D48">
        <w:tc>
          <w:tcPr>
            <w:tcW w:w="2259" w:type="dxa"/>
            <w:shd w:val="clear" w:color="auto" w:fill="BDD6EE" w:themeFill="accent1" w:themeFillTint="66"/>
          </w:tcPr>
          <w:p w14:paraId="11D36A4D" w14:textId="0870EFC3" w:rsidR="000F1D48" w:rsidRPr="00A1335C" w:rsidRDefault="000F1D48" w:rsidP="000F1D48">
            <w:pPr>
              <w:rPr>
                <w:rFonts w:cs="Arial"/>
                <w:b/>
                <w:sz w:val="21"/>
                <w:szCs w:val="21"/>
              </w:rPr>
            </w:pPr>
            <w:bookmarkStart w:id="68" w:name="FairValue"/>
            <w:r w:rsidRPr="00A1335C">
              <w:rPr>
                <w:rFonts w:cs="Arial"/>
                <w:b/>
                <w:sz w:val="21"/>
                <w:szCs w:val="21"/>
              </w:rPr>
              <w:t>Fair value</w:t>
            </w:r>
            <w:bookmarkEnd w:id="68"/>
          </w:p>
        </w:tc>
        <w:tc>
          <w:tcPr>
            <w:tcW w:w="6940" w:type="dxa"/>
          </w:tcPr>
          <w:p w14:paraId="76A1D77F" w14:textId="16761380" w:rsidR="000F1D48" w:rsidRPr="00A1335C" w:rsidRDefault="000F1D48" w:rsidP="000F1D48">
            <w:pPr>
              <w:rPr>
                <w:rFonts w:cs="Arial"/>
                <w:sz w:val="21"/>
                <w:szCs w:val="21"/>
                <w:lang w:val="en-AU"/>
              </w:rPr>
            </w:pPr>
            <w:r w:rsidRPr="00A1335C">
              <w:rPr>
                <w:rFonts w:cs="Arial"/>
                <w:sz w:val="21"/>
                <w:szCs w:val="21"/>
                <w:lang w:val="en-AU"/>
              </w:rPr>
              <w:t xml:space="preserve">Means </w:t>
            </w:r>
            <w:r w:rsidRPr="00A1335C">
              <w:rPr>
                <w:rFonts w:cs="Arial"/>
                <w:sz w:val="21"/>
                <w:szCs w:val="21"/>
              </w:rPr>
              <w:t>the price that would be received to sell an asset or paid to transfer a liability, in an orderly transaction between market participants, at the measurement date</w:t>
            </w:r>
            <w:bookmarkStart w:id="69" w:name="_Ref417379738"/>
            <w:r w:rsidRPr="00A1335C">
              <w:rPr>
                <w:rStyle w:val="EndnoteReference"/>
                <w:rFonts w:cs="Arial"/>
                <w:sz w:val="21"/>
                <w:szCs w:val="21"/>
              </w:rPr>
              <w:endnoteReference w:id="13"/>
            </w:r>
            <w:bookmarkEnd w:id="69"/>
            <w:r w:rsidRPr="00A1335C">
              <w:rPr>
                <w:rFonts w:cs="Arial"/>
                <w:sz w:val="21"/>
                <w:szCs w:val="21"/>
              </w:rPr>
              <w:t>.</w:t>
            </w:r>
            <w:r w:rsidRPr="00A1335C">
              <w:rPr>
                <w:rFonts w:cs="Arial"/>
                <w:sz w:val="21"/>
                <w:szCs w:val="21"/>
                <w:lang w:val="en-AU"/>
              </w:rPr>
              <w:t xml:space="preserve"> </w:t>
            </w:r>
            <w:r w:rsidRPr="00A1335C">
              <w:rPr>
                <w:rFonts w:eastAsia="Times New Roman" w:cs="Arial"/>
                <w:sz w:val="21"/>
                <w:szCs w:val="21"/>
                <w:lang w:val="en-AU" w:eastAsia="en-AU"/>
              </w:rPr>
              <w:t xml:space="preserve">Fair value is further clarified to be the </w:t>
            </w:r>
            <w:r w:rsidRPr="00A1335C">
              <w:rPr>
                <w:rFonts w:cs="Arial"/>
                <w:sz w:val="21"/>
                <w:szCs w:val="21"/>
              </w:rPr>
              <w:t>current exit price (the price that would be received to sell an asset, or paid to transfer a liability</w:t>
            </w:r>
            <w:r w:rsidRPr="00A1335C">
              <w:rPr>
                <w:rFonts w:cs="Arial"/>
                <w:sz w:val="21"/>
                <w:szCs w:val="21"/>
              </w:rPr>
              <w:fldChar w:fldCharType="begin"/>
            </w:r>
            <w:r w:rsidRPr="00A1335C">
              <w:rPr>
                <w:rFonts w:cs="Arial"/>
                <w:sz w:val="21"/>
                <w:szCs w:val="21"/>
              </w:rPr>
              <w:instrText xml:space="preserve"> NOTEREF _Ref417379738 \f \h  \* MERGEFORMAT </w:instrText>
            </w:r>
            <w:r w:rsidRPr="00A1335C">
              <w:rPr>
                <w:rFonts w:cs="Arial"/>
                <w:sz w:val="21"/>
                <w:szCs w:val="21"/>
              </w:rPr>
            </w:r>
            <w:r w:rsidRPr="00A1335C">
              <w:rPr>
                <w:rFonts w:cs="Arial"/>
                <w:sz w:val="21"/>
                <w:szCs w:val="21"/>
              </w:rPr>
              <w:fldChar w:fldCharType="separate"/>
            </w:r>
            <w:r w:rsidR="00A1335C" w:rsidRPr="00A1335C">
              <w:rPr>
                <w:rStyle w:val="EndnoteReference"/>
                <w:rFonts w:cs="Arial"/>
                <w:sz w:val="21"/>
                <w:szCs w:val="21"/>
              </w:rPr>
              <w:t>12</w:t>
            </w:r>
            <w:r w:rsidRPr="00A1335C">
              <w:rPr>
                <w:rFonts w:cs="Arial"/>
                <w:sz w:val="21"/>
                <w:szCs w:val="21"/>
              </w:rPr>
              <w:fldChar w:fldCharType="end"/>
            </w:r>
            <w:r w:rsidRPr="00A1335C">
              <w:rPr>
                <w:rFonts w:cs="Arial"/>
                <w:sz w:val="21"/>
                <w:szCs w:val="21"/>
              </w:rPr>
              <w:t>), rather than an entry price (the price paid to acquire the asset, or received to assume a liability</w:t>
            </w:r>
            <w:r w:rsidRPr="00A1335C">
              <w:rPr>
                <w:rFonts w:cs="Arial"/>
                <w:sz w:val="21"/>
                <w:szCs w:val="21"/>
              </w:rPr>
              <w:fldChar w:fldCharType="begin"/>
            </w:r>
            <w:r w:rsidRPr="00A1335C">
              <w:rPr>
                <w:rFonts w:cs="Arial"/>
                <w:sz w:val="21"/>
                <w:szCs w:val="21"/>
              </w:rPr>
              <w:instrText xml:space="preserve"> NOTEREF _Ref417379738 \f \h  \* MERGEFORMAT </w:instrText>
            </w:r>
            <w:r w:rsidRPr="00A1335C">
              <w:rPr>
                <w:rFonts w:cs="Arial"/>
                <w:sz w:val="21"/>
                <w:szCs w:val="21"/>
              </w:rPr>
            </w:r>
            <w:r w:rsidRPr="00A1335C">
              <w:rPr>
                <w:rFonts w:cs="Arial"/>
                <w:sz w:val="21"/>
                <w:szCs w:val="21"/>
              </w:rPr>
              <w:fldChar w:fldCharType="separate"/>
            </w:r>
            <w:r w:rsidR="00A1335C" w:rsidRPr="00A1335C">
              <w:rPr>
                <w:rStyle w:val="EndnoteReference"/>
                <w:rFonts w:cs="Arial"/>
                <w:sz w:val="21"/>
                <w:szCs w:val="21"/>
              </w:rPr>
              <w:t>12</w:t>
            </w:r>
            <w:r w:rsidRPr="00A1335C">
              <w:rPr>
                <w:rFonts w:cs="Arial"/>
                <w:sz w:val="21"/>
                <w:szCs w:val="21"/>
              </w:rPr>
              <w:fldChar w:fldCharType="end"/>
            </w:r>
            <w:r w:rsidRPr="00A1335C">
              <w:rPr>
                <w:rFonts w:cs="Arial"/>
                <w:sz w:val="21"/>
                <w:szCs w:val="21"/>
              </w:rPr>
              <w:t>.</w:t>
            </w:r>
          </w:p>
        </w:tc>
      </w:tr>
      <w:tr w:rsidR="000F1D48" w14:paraId="6BDB13FA" w14:textId="77777777" w:rsidTr="000F1D48">
        <w:tc>
          <w:tcPr>
            <w:tcW w:w="2259" w:type="dxa"/>
            <w:shd w:val="clear" w:color="auto" w:fill="BDD6EE" w:themeFill="accent1" w:themeFillTint="66"/>
          </w:tcPr>
          <w:p w14:paraId="27EF8C29" w14:textId="78330AB7" w:rsidR="000F1D48" w:rsidRPr="00A1335C" w:rsidRDefault="000F1D48" w:rsidP="000F1D48">
            <w:pPr>
              <w:rPr>
                <w:rFonts w:cs="Arial"/>
                <w:b/>
                <w:sz w:val="21"/>
                <w:szCs w:val="21"/>
              </w:rPr>
            </w:pPr>
            <w:bookmarkStart w:id="70" w:name="FutureEconomicBenefit"/>
            <w:r w:rsidRPr="00A1335C">
              <w:rPr>
                <w:rFonts w:cs="Arial"/>
                <w:b/>
                <w:sz w:val="21"/>
                <w:szCs w:val="21"/>
              </w:rPr>
              <w:t>Future economic benefit</w:t>
            </w:r>
            <w:bookmarkEnd w:id="70"/>
          </w:p>
        </w:tc>
        <w:tc>
          <w:tcPr>
            <w:tcW w:w="6940" w:type="dxa"/>
          </w:tcPr>
          <w:p w14:paraId="592F1726" w14:textId="3069C825" w:rsidR="000F1D48" w:rsidRPr="00A1335C" w:rsidRDefault="000F1D48" w:rsidP="000F1D48">
            <w:pPr>
              <w:spacing w:after="80"/>
              <w:rPr>
                <w:rFonts w:cs="Arial"/>
                <w:sz w:val="21"/>
                <w:szCs w:val="21"/>
                <w:lang w:val="en-AU"/>
              </w:rPr>
            </w:pPr>
            <w:r w:rsidRPr="00A1335C">
              <w:rPr>
                <w:rFonts w:cs="Arial"/>
                <w:sz w:val="21"/>
                <w:szCs w:val="21"/>
                <w:lang w:val="en-AU"/>
              </w:rPr>
              <w:t>Means the potential to contribute, directly or indirectly, to the flow of cash and cash equivalents to the entity. The potential may be a productive one that is part of the operating activities of the entity. It may also take the form of convertibility into cash or cash equivalents or a capability to reduce cash outflows, such as when an alternative manufacturing process lowers the cost of production</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_Ref417379535 \f \h </w:instrText>
            </w:r>
            <w:r w:rsidRP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8</w:t>
            </w:r>
            <w:r w:rsidRPr="00A1335C">
              <w:rPr>
                <w:rFonts w:cs="Arial"/>
                <w:sz w:val="21"/>
                <w:szCs w:val="21"/>
                <w:vertAlign w:val="superscript"/>
                <w:lang w:val="en-AU"/>
              </w:rPr>
              <w:fldChar w:fldCharType="end"/>
            </w:r>
            <w:r w:rsidRPr="00A1335C">
              <w:rPr>
                <w:rFonts w:cs="Arial"/>
                <w:sz w:val="21"/>
                <w:szCs w:val="21"/>
                <w:lang w:val="en-AU"/>
              </w:rPr>
              <w:t xml:space="preserve">. </w:t>
            </w:r>
          </w:p>
          <w:p w14:paraId="2BE0D86A" w14:textId="7C7237BE" w:rsidR="000F1D48" w:rsidRPr="00A1335C" w:rsidRDefault="000F1D48" w:rsidP="000F1D48">
            <w:pPr>
              <w:rPr>
                <w:rFonts w:cs="Arial"/>
                <w:sz w:val="21"/>
                <w:szCs w:val="21"/>
                <w:lang w:val="en-AU"/>
              </w:rPr>
            </w:pPr>
            <w:r w:rsidRPr="00A1335C">
              <w:rPr>
                <w:rFonts w:cs="Arial"/>
                <w:sz w:val="21"/>
                <w:szCs w:val="21"/>
                <w:lang w:val="en-AU"/>
              </w:rPr>
              <w:t>Future economic benefit flowing from an asset may include revenue from the sale of products or services, cost savings or other benefits resulting from the use of the asset by the entity</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_Ref417379638 \f \h </w:instrText>
            </w:r>
            <w:r w:rsidRP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9</w:t>
            </w:r>
            <w:r w:rsidRPr="00A1335C">
              <w:rPr>
                <w:rFonts w:cs="Arial"/>
                <w:sz w:val="21"/>
                <w:szCs w:val="21"/>
                <w:vertAlign w:val="superscript"/>
                <w:lang w:val="en-AU"/>
              </w:rPr>
              <w:fldChar w:fldCharType="end"/>
            </w:r>
            <w:r w:rsidRPr="00A1335C">
              <w:rPr>
                <w:rFonts w:cs="Arial"/>
                <w:sz w:val="21"/>
                <w:szCs w:val="21"/>
                <w:lang w:val="en-AU"/>
              </w:rPr>
              <w:t>.</w:t>
            </w:r>
          </w:p>
        </w:tc>
      </w:tr>
      <w:tr w:rsidR="000F1D48" w14:paraId="02F79A62" w14:textId="77777777" w:rsidTr="000F1D48">
        <w:tc>
          <w:tcPr>
            <w:tcW w:w="2259" w:type="dxa"/>
            <w:shd w:val="clear" w:color="auto" w:fill="BDD6EE" w:themeFill="accent1" w:themeFillTint="66"/>
          </w:tcPr>
          <w:p w14:paraId="108F8F43" w14:textId="0770BD37" w:rsidR="000F1D48" w:rsidRPr="00A1335C" w:rsidRDefault="000F1D48" w:rsidP="000F1D48">
            <w:pPr>
              <w:rPr>
                <w:rFonts w:cs="Arial"/>
                <w:b/>
                <w:sz w:val="21"/>
                <w:szCs w:val="21"/>
              </w:rPr>
            </w:pPr>
            <w:bookmarkStart w:id="71" w:name="IntangibleAsset"/>
            <w:r w:rsidRPr="00A1335C">
              <w:rPr>
                <w:rFonts w:cs="Arial"/>
                <w:b/>
                <w:sz w:val="21"/>
                <w:szCs w:val="21"/>
              </w:rPr>
              <w:t>Intangible asset</w:t>
            </w:r>
            <w:bookmarkEnd w:id="71"/>
          </w:p>
        </w:tc>
        <w:tc>
          <w:tcPr>
            <w:tcW w:w="6940" w:type="dxa"/>
          </w:tcPr>
          <w:p w14:paraId="0B17A34D" w14:textId="35F4F9D0" w:rsidR="000F1D48" w:rsidRPr="00A1335C" w:rsidRDefault="000F1D48" w:rsidP="000F1D48">
            <w:pPr>
              <w:spacing w:after="80"/>
              <w:rPr>
                <w:rFonts w:cs="Arial"/>
                <w:sz w:val="21"/>
                <w:szCs w:val="21"/>
                <w:lang w:val="en-AU"/>
              </w:rPr>
            </w:pPr>
            <w:r w:rsidRPr="00A1335C">
              <w:rPr>
                <w:rFonts w:cs="Arial"/>
                <w:sz w:val="21"/>
                <w:szCs w:val="21"/>
                <w:lang w:val="en-AU"/>
              </w:rPr>
              <w:t>Means an identifiable non-monetary asset without physical substance (e.g., computer software, patents, copyrights, licences, intellectual property rights) from which future economic benefits are expected to flow to the entity, and the cost of which can be reliably measured</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_Ref417379535 \f \h </w:instrText>
            </w:r>
            <w:r w:rsidRP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8</w:t>
            </w:r>
            <w:r w:rsidRPr="00A1335C">
              <w:rPr>
                <w:rFonts w:cs="Arial"/>
                <w:sz w:val="21"/>
                <w:szCs w:val="21"/>
                <w:vertAlign w:val="superscript"/>
                <w:lang w:val="en-AU"/>
              </w:rPr>
              <w:fldChar w:fldCharType="end"/>
            </w:r>
            <w:r w:rsidRPr="00A1335C">
              <w:rPr>
                <w:rFonts w:cs="Arial"/>
                <w:sz w:val="21"/>
                <w:szCs w:val="21"/>
                <w:vertAlign w:val="superscript"/>
                <w:lang w:val="en-AU"/>
              </w:rPr>
              <w:t>,</w:t>
            </w:r>
            <w:r w:rsidRPr="00A1335C">
              <w:rPr>
                <w:rFonts w:cs="Arial"/>
                <w:sz w:val="21"/>
                <w:szCs w:val="21"/>
                <w:vertAlign w:val="superscript"/>
                <w:lang w:val="en-AU"/>
              </w:rPr>
              <w:fldChar w:fldCharType="begin"/>
            </w:r>
            <w:r w:rsidRPr="00A1335C">
              <w:rPr>
                <w:rFonts w:cs="Arial"/>
                <w:sz w:val="21"/>
                <w:szCs w:val="21"/>
                <w:vertAlign w:val="superscript"/>
                <w:lang w:val="en-AU"/>
              </w:rPr>
              <w:instrText xml:space="preserve"> NOTEREF _Ref417379638 \f \h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9</w:t>
            </w:r>
            <w:r w:rsidRPr="00A1335C">
              <w:rPr>
                <w:rFonts w:cs="Arial"/>
                <w:sz w:val="21"/>
                <w:szCs w:val="21"/>
                <w:vertAlign w:val="superscript"/>
                <w:lang w:val="en-AU"/>
              </w:rPr>
              <w:fldChar w:fldCharType="end"/>
            </w:r>
            <w:r w:rsidRPr="00A1335C">
              <w:rPr>
                <w:rFonts w:cs="Arial"/>
                <w:sz w:val="21"/>
                <w:szCs w:val="21"/>
                <w:lang w:val="en-AU"/>
              </w:rPr>
              <w:t>. An intangible asset is identifiable if it either:</w:t>
            </w:r>
          </w:p>
          <w:p w14:paraId="24E07CEB" w14:textId="77777777" w:rsidR="000F1D48" w:rsidRPr="00A1335C" w:rsidRDefault="000F1D48" w:rsidP="000F1D48">
            <w:pPr>
              <w:pStyle w:val="ListParagraph"/>
              <w:numPr>
                <w:ilvl w:val="1"/>
                <w:numId w:val="25"/>
              </w:numPr>
              <w:spacing w:after="80"/>
              <w:ind w:left="382" w:hanging="382"/>
              <w:contextualSpacing w:val="0"/>
              <w:rPr>
                <w:rFonts w:cs="Arial"/>
                <w:sz w:val="21"/>
                <w:szCs w:val="21"/>
                <w:lang w:val="en-AU"/>
              </w:rPr>
            </w:pPr>
            <w:r w:rsidRPr="00A1335C">
              <w:rPr>
                <w:rFonts w:cs="Arial"/>
                <w:sz w:val="21"/>
                <w:szCs w:val="21"/>
                <w:lang w:val="en-AU"/>
              </w:rPr>
              <w:t xml:space="preserve">is separable (i.e., capable of being separated or divided from the entity and sold, transferred, licensed, rented or exchanged, either </w:t>
            </w:r>
            <w:r w:rsidRPr="00A1335C">
              <w:rPr>
                <w:rFonts w:cs="Arial"/>
                <w:sz w:val="21"/>
                <w:szCs w:val="21"/>
                <w:lang w:val="en-AU"/>
              </w:rPr>
              <w:lastRenderedPageBreak/>
              <w:t xml:space="preserve">individually or together with a related contract, identifiable asset or liability, regardless of whether the entity intends to do so); or </w:t>
            </w:r>
          </w:p>
          <w:p w14:paraId="532502D6" w14:textId="0312F272" w:rsidR="000F1D48" w:rsidRPr="00A1335C" w:rsidRDefault="000F1D48" w:rsidP="000F1D48">
            <w:pPr>
              <w:pStyle w:val="ListParagraph"/>
              <w:numPr>
                <w:ilvl w:val="1"/>
                <w:numId w:val="25"/>
              </w:numPr>
              <w:spacing w:after="80"/>
              <w:ind w:left="382" w:hanging="382"/>
              <w:contextualSpacing w:val="0"/>
              <w:rPr>
                <w:rFonts w:cs="Arial"/>
                <w:sz w:val="21"/>
                <w:szCs w:val="21"/>
                <w:lang w:val="en-AU"/>
              </w:rPr>
            </w:pPr>
            <w:r w:rsidRPr="00A1335C">
              <w:rPr>
                <w:rFonts w:cs="Arial"/>
                <w:sz w:val="21"/>
                <w:szCs w:val="21"/>
                <w:lang w:val="en-AU"/>
              </w:rPr>
              <w:t>arises from contractual or other legal rights (regardless of whether those rights are transferable or separable from the entity or from other rights and obligations)</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_Ref417379638 \f \h </w:instrText>
            </w:r>
            <w:r w:rsidRP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9</w:t>
            </w:r>
            <w:r w:rsidRPr="00A1335C">
              <w:rPr>
                <w:rFonts w:cs="Arial"/>
                <w:sz w:val="21"/>
                <w:szCs w:val="21"/>
                <w:vertAlign w:val="superscript"/>
                <w:lang w:val="en-AU"/>
              </w:rPr>
              <w:fldChar w:fldCharType="end"/>
            </w:r>
            <w:r w:rsidRPr="00A1335C">
              <w:rPr>
                <w:rFonts w:cs="Arial"/>
                <w:sz w:val="21"/>
                <w:szCs w:val="21"/>
                <w:lang w:val="en-AU"/>
              </w:rPr>
              <w:t>.</w:t>
            </w:r>
          </w:p>
          <w:p w14:paraId="6E77BF6D" w14:textId="4DEA9FD0" w:rsidR="000F1D48" w:rsidRPr="00A1335C" w:rsidRDefault="000F1D48" w:rsidP="000F1D48">
            <w:pPr>
              <w:rPr>
                <w:rFonts w:cs="Arial"/>
                <w:sz w:val="21"/>
                <w:szCs w:val="21"/>
                <w:lang w:val="en-AU"/>
              </w:rPr>
            </w:pPr>
            <w:r w:rsidRPr="00A1335C">
              <w:rPr>
                <w:rFonts w:cs="Arial"/>
                <w:sz w:val="21"/>
                <w:szCs w:val="21"/>
              </w:rPr>
              <w:t>While intangible assets may have a physical component to them, their future economic benefit generally is derived from the intellectual property they contain (e.g., software), or the rights they confer (e.g., patents, copyright).</w:t>
            </w:r>
          </w:p>
        </w:tc>
      </w:tr>
      <w:tr w:rsidR="000F1D48" w14:paraId="1BEEEF8C" w14:textId="77777777" w:rsidTr="000F1D48">
        <w:tc>
          <w:tcPr>
            <w:tcW w:w="2259" w:type="dxa"/>
            <w:shd w:val="clear" w:color="auto" w:fill="BDD6EE" w:themeFill="accent1" w:themeFillTint="66"/>
          </w:tcPr>
          <w:p w14:paraId="4CAE92A7" w14:textId="3D01C0C2" w:rsidR="000F1D48" w:rsidRPr="00A1335C" w:rsidRDefault="000F1D48" w:rsidP="000F1D48">
            <w:pPr>
              <w:rPr>
                <w:rFonts w:cs="Arial"/>
                <w:b/>
                <w:sz w:val="21"/>
                <w:szCs w:val="21"/>
              </w:rPr>
            </w:pPr>
            <w:bookmarkStart w:id="72" w:name="InternallyDevelopedSoftware"/>
            <w:r w:rsidRPr="00A1335C">
              <w:rPr>
                <w:rFonts w:cs="Arial"/>
                <w:b/>
                <w:sz w:val="21"/>
                <w:szCs w:val="21"/>
              </w:rPr>
              <w:lastRenderedPageBreak/>
              <w:t>Internally developed software</w:t>
            </w:r>
            <w:bookmarkEnd w:id="72"/>
          </w:p>
        </w:tc>
        <w:tc>
          <w:tcPr>
            <w:tcW w:w="6940" w:type="dxa"/>
          </w:tcPr>
          <w:p w14:paraId="074CB649" w14:textId="57D2A8A0" w:rsidR="000F1D48" w:rsidRPr="00A1335C" w:rsidRDefault="000F1D48" w:rsidP="000F1D48">
            <w:pPr>
              <w:spacing w:after="80"/>
              <w:rPr>
                <w:rFonts w:cs="Arial"/>
                <w:sz w:val="21"/>
                <w:szCs w:val="21"/>
                <w:lang w:val="en-AU"/>
              </w:rPr>
            </w:pPr>
            <w:r w:rsidRPr="00A1335C">
              <w:rPr>
                <w:rFonts w:cs="Arial"/>
                <w:sz w:val="21"/>
                <w:szCs w:val="21"/>
                <w:lang w:val="en-AU"/>
              </w:rPr>
              <w:t>Means software developed by the agency, or that is purchased by the agency but is significantly modified for internal use</w:t>
            </w:r>
            <w:r w:rsidRPr="00A1335C">
              <w:rPr>
                <w:rFonts w:cs="Arial"/>
                <w:sz w:val="21"/>
                <w:szCs w:val="21"/>
                <w:lang w:val="en-AU"/>
              </w:rPr>
              <w:fldChar w:fldCharType="begin"/>
            </w:r>
            <w:r w:rsidRPr="00A1335C">
              <w:rPr>
                <w:rFonts w:cs="Arial"/>
                <w:sz w:val="21"/>
                <w:szCs w:val="21"/>
                <w:lang w:val="en-AU"/>
              </w:rPr>
              <w:instrText xml:space="preserve"> NOTEREF _Ref415237992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5</w:t>
            </w:r>
            <w:r w:rsidRPr="00A1335C">
              <w:rPr>
                <w:rFonts w:cs="Arial"/>
                <w:sz w:val="21"/>
                <w:szCs w:val="21"/>
                <w:lang w:val="en-AU"/>
              </w:rPr>
              <w:fldChar w:fldCharType="end"/>
            </w:r>
            <w:r w:rsidRPr="00A1335C">
              <w:rPr>
                <w:rFonts w:cs="Arial"/>
                <w:sz w:val="21"/>
                <w:szCs w:val="21"/>
                <w:lang w:val="en-AU"/>
              </w:rPr>
              <w:t>.</w:t>
            </w:r>
          </w:p>
          <w:p w14:paraId="603CEA21" w14:textId="45C4552D" w:rsidR="000F1D48" w:rsidRPr="00A1335C" w:rsidRDefault="000F1D48" w:rsidP="000F1D48">
            <w:pPr>
              <w:rPr>
                <w:rFonts w:cs="Arial"/>
                <w:sz w:val="21"/>
                <w:szCs w:val="21"/>
                <w:lang w:val="en-AU"/>
              </w:rPr>
            </w:pPr>
            <w:r w:rsidRPr="00A1335C">
              <w:rPr>
                <w:rFonts w:cs="Arial"/>
                <w:i/>
                <w:sz w:val="21"/>
                <w:szCs w:val="21"/>
                <w:lang w:val="en-AU"/>
              </w:rPr>
              <w:t>Internal use</w:t>
            </w:r>
            <w:r w:rsidRPr="00A1335C">
              <w:rPr>
                <w:rFonts w:cs="Arial"/>
                <w:sz w:val="21"/>
                <w:szCs w:val="21"/>
                <w:lang w:val="en-AU"/>
              </w:rPr>
              <w:t xml:space="preserve"> means use where there is no substantive plan in existence, or being developed, to market the software externally during the software’s development</w:t>
            </w:r>
            <w:r w:rsidRPr="00A1335C">
              <w:rPr>
                <w:rFonts w:cs="Arial"/>
                <w:sz w:val="21"/>
                <w:szCs w:val="21"/>
                <w:lang w:val="en-AU"/>
              </w:rPr>
              <w:fldChar w:fldCharType="begin"/>
            </w:r>
            <w:r w:rsidRPr="00A1335C">
              <w:rPr>
                <w:rFonts w:cs="Arial"/>
                <w:sz w:val="21"/>
                <w:szCs w:val="21"/>
                <w:lang w:val="en-AU"/>
              </w:rPr>
              <w:instrText xml:space="preserve"> NOTEREF _Ref415472390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sz w:val="21"/>
                <w:szCs w:val="21"/>
              </w:rPr>
              <w:t>5</w:t>
            </w:r>
            <w:r w:rsidRPr="00A1335C">
              <w:rPr>
                <w:rFonts w:cs="Arial"/>
                <w:sz w:val="21"/>
                <w:szCs w:val="21"/>
                <w:lang w:val="en-AU"/>
              </w:rPr>
              <w:fldChar w:fldCharType="end"/>
            </w:r>
            <w:r w:rsidRPr="00A1335C">
              <w:rPr>
                <w:rFonts w:cs="Arial"/>
                <w:sz w:val="21"/>
                <w:szCs w:val="21"/>
                <w:lang w:val="en-AU"/>
              </w:rPr>
              <w:t>.</w:t>
            </w:r>
          </w:p>
        </w:tc>
      </w:tr>
      <w:tr w:rsidR="000F1D48" w14:paraId="5E175FEF" w14:textId="77777777" w:rsidTr="000F1D48">
        <w:tc>
          <w:tcPr>
            <w:tcW w:w="2259" w:type="dxa"/>
            <w:shd w:val="clear" w:color="auto" w:fill="BDD6EE" w:themeFill="accent1" w:themeFillTint="66"/>
          </w:tcPr>
          <w:p w14:paraId="28497FC4" w14:textId="54979790" w:rsidR="000F1D48" w:rsidRPr="00A1335C" w:rsidRDefault="000F1D48" w:rsidP="000F1D48">
            <w:pPr>
              <w:rPr>
                <w:rFonts w:cs="Arial"/>
                <w:b/>
                <w:sz w:val="21"/>
                <w:szCs w:val="21"/>
              </w:rPr>
            </w:pPr>
            <w:bookmarkStart w:id="73" w:name="Inventories"/>
            <w:r w:rsidRPr="00A1335C">
              <w:rPr>
                <w:rFonts w:cs="Arial"/>
                <w:b/>
                <w:sz w:val="21"/>
                <w:szCs w:val="21"/>
              </w:rPr>
              <w:t>Inventories / inventory</w:t>
            </w:r>
            <w:bookmarkEnd w:id="73"/>
          </w:p>
        </w:tc>
        <w:tc>
          <w:tcPr>
            <w:tcW w:w="6940" w:type="dxa"/>
          </w:tcPr>
          <w:p w14:paraId="06D28060" w14:textId="77777777" w:rsidR="000F1D48" w:rsidRPr="00A1335C" w:rsidRDefault="000F1D48" w:rsidP="000F1D48">
            <w:pPr>
              <w:spacing w:after="80"/>
              <w:rPr>
                <w:rFonts w:cs="Arial"/>
                <w:sz w:val="21"/>
                <w:szCs w:val="21"/>
                <w:lang w:val="en-AU"/>
              </w:rPr>
            </w:pPr>
            <w:r w:rsidRPr="00A1335C">
              <w:rPr>
                <w:rFonts w:cs="Arial"/>
                <w:sz w:val="21"/>
                <w:szCs w:val="21"/>
                <w:lang w:val="en-AU"/>
              </w:rPr>
              <w:t>Means assets held for sale in the ordinary course of business, or in the production for such sale, or in the form of materials or supplies to be consumed in the production process or in the rendering of services. ‘Inventories’ encompass:</w:t>
            </w:r>
          </w:p>
          <w:p w14:paraId="54938EEF" w14:textId="77777777" w:rsidR="000F1D48" w:rsidRPr="00A1335C" w:rsidRDefault="000F1D48" w:rsidP="000F1D48">
            <w:pPr>
              <w:pStyle w:val="ListParagraph"/>
              <w:numPr>
                <w:ilvl w:val="1"/>
                <w:numId w:val="26"/>
              </w:numPr>
              <w:spacing w:after="80"/>
              <w:ind w:left="382" w:hanging="382"/>
              <w:contextualSpacing w:val="0"/>
              <w:rPr>
                <w:rFonts w:cs="Arial"/>
                <w:sz w:val="21"/>
                <w:szCs w:val="21"/>
                <w:lang w:val="en-AU"/>
              </w:rPr>
            </w:pPr>
            <w:r w:rsidRPr="00A1335C">
              <w:rPr>
                <w:rFonts w:cs="Arial"/>
                <w:sz w:val="21"/>
                <w:szCs w:val="21"/>
                <w:lang w:val="en-AU"/>
              </w:rPr>
              <w:t>goods, merchandise, land and other property purchased and held for resale</w:t>
            </w:r>
          </w:p>
          <w:p w14:paraId="3BDF392C" w14:textId="77777777" w:rsidR="000F1D48" w:rsidRPr="00A1335C" w:rsidRDefault="000F1D48" w:rsidP="000F1D48">
            <w:pPr>
              <w:pStyle w:val="ListParagraph"/>
              <w:numPr>
                <w:ilvl w:val="1"/>
                <w:numId w:val="26"/>
              </w:numPr>
              <w:spacing w:after="80"/>
              <w:ind w:left="382" w:hanging="382"/>
              <w:contextualSpacing w:val="0"/>
              <w:rPr>
                <w:rFonts w:cs="Arial"/>
                <w:sz w:val="21"/>
                <w:szCs w:val="21"/>
                <w:lang w:val="en-AU"/>
              </w:rPr>
            </w:pPr>
            <w:r w:rsidRPr="00A1335C">
              <w:rPr>
                <w:rFonts w:cs="Arial"/>
                <w:sz w:val="21"/>
                <w:szCs w:val="21"/>
                <w:lang w:val="en-AU"/>
              </w:rPr>
              <w:t>finished goods produced or works in progress being produced by an entity</w:t>
            </w:r>
          </w:p>
          <w:p w14:paraId="7DA1185C" w14:textId="77777777" w:rsidR="000F1D48" w:rsidRPr="00A1335C" w:rsidRDefault="000F1D48" w:rsidP="000F1D48">
            <w:pPr>
              <w:pStyle w:val="ListParagraph"/>
              <w:numPr>
                <w:ilvl w:val="1"/>
                <w:numId w:val="26"/>
              </w:numPr>
              <w:spacing w:after="80"/>
              <w:ind w:left="382" w:hanging="382"/>
              <w:contextualSpacing w:val="0"/>
              <w:rPr>
                <w:rFonts w:cs="Arial"/>
                <w:sz w:val="21"/>
                <w:szCs w:val="21"/>
                <w:lang w:val="en-AU"/>
              </w:rPr>
            </w:pPr>
            <w:r w:rsidRPr="00A1335C">
              <w:rPr>
                <w:rFonts w:cs="Arial"/>
                <w:sz w:val="21"/>
                <w:szCs w:val="21"/>
                <w:lang w:val="en-AU"/>
              </w:rPr>
              <w:t>materials and supplies awaiting use in the production process</w:t>
            </w:r>
          </w:p>
          <w:p w14:paraId="28307749" w14:textId="00EE9DFD" w:rsidR="000F1D48" w:rsidRPr="00A1335C" w:rsidRDefault="000F1D48" w:rsidP="000F1D48">
            <w:pPr>
              <w:pStyle w:val="ListParagraph"/>
              <w:numPr>
                <w:ilvl w:val="1"/>
                <w:numId w:val="26"/>
              </w:numPr>
              <w:spacing w:after="80"/>
              <w:ind w:left="382" w:hanging="382"/>
              <w:contextualSpacing w:val="0"/>
              <w:rPr>
                <w:rFonts w:cs="Arial"/>
                <w:sz w:val="21"/>
                <w:szCs w:val="21"/>
                <w:lang w:val="en-AU"/>
              </w:rPr>
            </w:pPr>
            <w:r w:rsidRPr="00A1335C">
              <w:rPr>
                <w:rFonts w:cs="Arial"/>
                <w:sz w:val="21"/>
                <w:szCs w:val="21"/>
                <w:lang w:val="en-AU"/>
              </w:rPr>
              <w:t>costs of service provision (labour/ personnel and attributable overheads) for which an entity has not yet recognised the related revenue</w:t>
            </w:r>
            <w:bookmarkStart w:id="74" w:name="_Ref417392093"/>
            <w:r w:rsidRPr="00A1335C">
              <w:rPr>
                <w:rFonts w:cs="Arial"/>
                <w:sz w:val="21"/>
                <w:szCs w:val="21"/>
                <w:vertAlign w:val="superscript"/>
              </w:rPr>
              <w:endnoteReference w:id="14"/>
            </w:r>
            <w:bookmarkEnd w:id="74"/>
            <w:r w:rsidRPr="00A1335C">
              <w:rPr>
                <w:rFonts w:cs="Arial"/>
                <w:sz w:val="21"/>
                <w:szCs w:val="21"/>
                <w:vertAlign w:val="superscript"/>
                <w:lang w:val="en-AU"/>
              </w:rPr>
              <w:t>,</w:t>
            </w:r>
            <w:r w:rsidRPr="00A1335C">
              <w:rPr>
                <w:rFonts w:cs="Arial"/>
                <w:sz w:val="21"/>
                <w:szCs w:val="21"/>
                <w:vertAlign w:val="superscript"/>
                <w:lang w:val="en-AU"/>
              </w:rPr>
              <w:fldChar w:fldCharType="begin"/>
            </w:r>
            <w:r w:rsidRPr="00A1335C">
              <w:rPr>
                <w:rFonts w:cs="Arial"/>
                <w:sz w:val="21"/>
                <w:szCs w:val="21"/>
                <w:vertAlign w:val="superscript"/>
                <w:lang w:val="en-AU"/>
              </w:rPr>
              <w:instrText xml:space="preserve"> NOTEREF _Ref408987583 \f \h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rFonts w:cs="Arial"/>
                <w:sz w:val="21"/>
                <w:szCs w:val="21"/>
              </w:rPr>
              <w:t>14</w:t>
            </w:r>
            <w:r w:rsidRPr="00A1335C">
              <w:rPr>
                <w:rFonts w:cs="Arial"/>
                <w:sz w:val="21"/>
                <w:szCs w:val="21"/>
                <w:vertAlign w:val="superscript"/>
                <w:lang w:val="en-AU"/>
              </w:rPr>
              <w:fldChar w:fldCharType="end"/>
            </w:r>
            <w:r w:rsidRPr="00A1335C">
              <w:rPr>
                <w:rFonts w:cs="Arial"/>
                <w:sz w:val="21"/>
                <w:szCs w:val="21"/>
                <w:lang w:val="en-AU"/>
              </w:rPr>
              <w:t xml:space="preserve">. </w:t>
            </w:r>
          </w:p>
          <w:p w14:paraId="26B73921" w14:textId="665CFAB7" w:rsidR="000F1D48" w:rsidRPr="00A1335C" w:rsidRDefault="000F1D48" w:rsidP="000F1D48">
            <w:pPr>
              <w:rPr>
                <w:rFonts w:cs="Arial"/>
                <w:sz w:val="21"/>
                <w:szCs w:val="21"/>
                <w:lang w:val="en-AU"/>
              </w:rPr>
            </w:pPr>
            <w:r w:rsidRPr="00A1335C">
              <w:rPr>
                <w:rFonts w:cs="Arial"/>
                <w:sz w:val="21"/>
                <w:szCs w:val="21"/>
                <w:lang w:val="en-AU"/>
              </w:rPr>
              <w:t>Inventories usually have a high turnover rate and low individual value compared to other asset categories</w:t>
            </w:r>
            <w:bookmarkStart w:id="75" w:name="_Ref408987583"/>
            <w:r w:rsidRPr="00A1335C">
              <w:rPr>
                <w:rStyle w:val="EndnoteReference"/>
                <w:rFonts w:cs="Arial"/>
                <w:sz w:val="21"/>
                <w:szCs w:val="21"/>
                <w:lang w:val="en-AU"/>
              </w:rPr>
              <w:endnoteReference w:id="15"/>
            </w:r>
            <w:bookmarkEnd w:id="75"/>
            <w:r w:rsidRPr="00A1335C">
              <w:rPr>
                <w:rFonts w:cs="Arial"/>
                <w:sz w:val="21"/>
                <w:szCs w:val="21"/>
                <w:lang w:val="en-AU"/>
              </w:rPr>
              <w:t>.</w:t>
            </w:r>
          </w:p>
        </w:tc>
      </w:tr>
      <w:tr w:rsidR="000F1D48" w14:paraId="3B84D35C" w14:textId="77777777" w:rsidTr="000F1D48">
        <w:tc>
          <w:tcPr>
            <w:tcW w:w="2259" w:type="dxa"/>
            <w:shd w:val="clear" w:color="auto" w:fill="BDD6EE" w:themeFill="accent1" w:themeFillTint="66"/>
          </w:tcPr>
          <w:p w14:paraId="231CD7CE" w14:textId="68ADB99A" w:rsidR="000F1D48" w:rsidRPr="00A1335C" w:rsidRDefault="000F1D48" w:rsidP="000F1D48">
            <w:pPr>
              <w:rPr>
                <w:rFonts w:cs="Arial"/>
                <w:b/>
                <w:sz w:val="21"/>
                <w:szCs w:val="21"/>
              </w:rPr>
            </w:pPr>
            <w:bookmarkStart w:id="76" w:name="Liability"/>
            <w:r w:rsidRPr="00A1335C">
              <w:rPr>
                <w:rFonts w:cs="Arial"/>
                <w:b/>
                <w:sz w:val="21"/>
                <w:szCs w:val="21"/>
              </w:rPr>
              <w:t>Liability/ liabilities</w:t>
            </w:r>
            <w:bookmarkEnd w:id="76"/>
          </w:p>
        </w:tc>
        <w:tc>
          <w:tcPr>
            <w:tcW w:w="6940" w:type="dxa"/>
          </w:tcPr>
          <w:p w14:paraId="248FCBA9" w14:textId="6BB63C69" w:rsidR="000F1D48" w:rsidRPr="00A1335C" w:rsidRDefault="000F1D48" w:rsidP="000F1D48">
            <w:pPr>
              <w:rPr>
                <w:rFonts w:cs="Arial"/>
                <w:sz w:val="21"/>
                <w:szCs w:val="21"/>
                <w:lang w:val="en-AU"/>
              </w:rPr>
            </w:pPr>
            <w:r w:rsidRPr="00A1335C">
              <w:rPr>
                <w:rFonts w:cs="Arial"/>
                <w:sz w:val="21"/>
                <w:szCs w:val="21"/>
                <w:lang w:val="en-AU"/>
              </w:rPr>
              <w:t>Means a present obligation of the agency arising from past events, the settlement of which is expected to result in an outflow from the agency of resources embodying economic benefits</w:t>
            </w:r>
            <w:bookmarkStart w:id="77" w:name="_Ref417375223"/>
            <w:r w:rsidRPr="00A1335C">
              <w:rPr>
                <w:rStyle w:val="EndnoteReference"/>
                <w:rFonts w:cs="Arial"/>
                <w:sz w:val="21"/>
                <w:szCs w:val="21"/>
                <w:lang w:val="en-AU"/>
              </w:rPr>
              <w:endnoteReference w:id="16"/>
            </w:r>
            <w:bookmarkEnd w:id="77"/>
            <w:r w:rsidRPr="00A1335C">
              <w:rPr>
                <w:rFonts w:cs="Arial"/>
                <w:sz w:val="21"/>
                <w:szCs w:val="21"/>
                <w:lang w:val="en-AU"/>
              </w:rPr>
              <w:t>.</w:t>
            </w:r>
          </w:p>
        </w:tc>
      </w:tr>
      <w:tr w:rsidR="000F1D48" w14:paraId="6CEA2E3E" w14:textId="77777777" w:rsidTr="000F1D48">
        <w:tc>
          <w:tcPr>
            <w:tcW w:w="2259" w:type="dxa"/>
            <w:shd w:val="clear" w:color="auto" w:fill="BDD6EE" w:themeFill="accent1" w:themeFillTint="66"/>
          </w:tcPr>
          <w:p w14:paraId="4285F307" w14:textId="15FF30AC" w:rsidR="000F1D48" w:rsidRPr="00A1335C" w:rsidRDefault="000F1D48" w:rsidP="000F1D48">
            <w:pPr>
              <w:rPr>
                <w:rFonts w:cs="Arial"/>
                <w:b/>
                <w:sz w:val="21"/>
                <w:szCs w:val="21"/>
              </w:rPr>
            </w:pPr>
            <w:bookmarkStart w:id="78" w:name="NonfinancialAsset"/>
            <w:r w:rsidRPr="00A1335C">
              <w:rPr>
                <w:rFonts w:cs="Arial"/>
                <w:b/>
                <w:sz w:val="21"/>
                <w:szCs w:val="21"/>
              </w:rPr>
              <w:t>Non-financial asset</w:t>
            </w:r>
            <w:bookmarkEnd w:id="78"/>
          </w:p>
        </w:tc>
        <w:tc>
          <w:tcPr>
            <w:tcW w:w="6940" w:type="dxa"/>
          </w:tcPr>
          <w:p w14:paraId="27C9345A" w14:textId="79FAF32C" w:rsidR="000F1D48" w:rsidRPr="00A1335C" w:rsidRDefault="000F1D48" w:rsidP="000F1D48">
            <w:pPr>
              <w:rPr>
                <w:rFonts w:cs="Arial"/>
                <w:sz w:val="21"/>
                <w:szCs w:val="21"/>
                <w:lang w:val="en-AU"/>
              </w:rPr>
            </w:pPr>
            <w:r w:rsidRPr="00A1335C">
              <w:rPr>
                <w:rFonts w:cs="Arial"/>
                <w:sz w:val="21"/>
                <w:szCs w:val="21"/>
                <w:lang w:val="en-AU"/>
              </w:rPr>
              <w:t>Means tangible and intangible assets.</w:t>
            </w:r>
          </w:p>
        </w:tc>
      </w:tr>
      <w:tr w:rsidR="000F1D48" w14:paraId="52646950" w14:textId="77777777" w:rsidTr="000F1D48">
        <w:tc>
          <w:tcPr>
            <w:tcW w:w="2259" w:type="dxa"/>
            <w:shd w:val="clear" w:color="auto" w:fill="BDD6EE" w:themeFill="accent1" w:themeFillTint="66"/>
          </w:tcPr>
          <w:p w14:paraId="2023950E" w14:textId="09B7062D" w:rsidR="000F1D48" w:rsidRPr="00A1335C" w:rsidRDefault="000F1D48" w:rsidP="000F1D48">
            <w:pPr>
              <w:rPr>
                <w:rFonts w:cs="Arial"/>
                <w:b/>
                <w:sz w:val="21"/>
                <w:szCs w:val="21"/>
              </w:rPr>
            </w:pPr>
            <w:bookmarkStart w:id="79" w:name="ObligationConstructive"/>
            <w:r w:rsidRPr="00A1335C">
              <w:rPr>
                <w:rFonts w:cs="Arial"/>
                <w:b/>
                <w:sz w:val="21"/>
                <w:szCs w:val="21"/>
              </w:rPr>
              <w:t>Obligation, constructive</w:t>
            </w:r>
            <w:bookmarkEnd w:id="79"/>
          </w:p>
        </w:tc>
        <w:tc>
          <w:tcPr>
            <w:tcW w:w="6940" w:type="dxa"/>
          </w:tcPr>
          <w:p w14:paraId="4D7492EF" w14:textId="77777777" w:rsidR="000F1D48" w:rsidRPr="00A1335C" w:rsidRDefault="000F1D48" w:rsidP="000F1D48">
            <w:pPr>
              <w:spacing w:after="80"/>
              <w:rPr>
                <w:rFonts w:cs="Arial"/>
                <w:sz w:val="21"/>
                <w:szCs w:val="21"/>
                <w:lang w:val="en-AU"/>
              </w:rPr>
            </w:pPr>
            <w:r w:rsidRPr="00A1335C">
              <w:rPr>
                <w:rFonts w:cs="Arial"/>
                <w:sz w:val="21"/>
                <w:szCs w:val="21"/>
                <w:lang w:val="en-AU"/>
              </w:rPr>
              <w:t xml:space="preserve">Means an obligation that derives from the agency’s actions where, </w:t>
            </w:r>
          </w:p>
          <w:p w14:paraId="25240B2E" w14:textId="77777777" w:rsidR="000F1D48" w:rsidRPr="00A1335C" w:rsidRDefault="000F1D48" w:rsidP="000F1D48">
            <w:pPr>
              <w:pStyle w:val="ListParagraph"/>
              <w:numPr>
                <w:ilvl w:val="1"/>
                <w:numId w:val="27"/>
              </w:numPr>
              <w:spacing w:after="80"/>
              <w:ind w:left="382" w:hanging="382"/>
              <w:contextualSpacing w:val="0"/>
              <w:rPr>
                <w:rFonts w:cs="Arial"/>
                <w:sz w:val="21"/>
                <w:szCs w:val="21"/>
                <w:lang w:val="en-AU"/>
              </w:rPr>
            </w:pPr>
            <w:r w:rsidRPr="00A1335C">
              <w:rPr>
                <w:rFonts w:cs="Arial"/>
                <w:sz w:val="21"/>
                <w:szCs w:val="21"/>
                <w:lang w:val="en-AU"/>
              </w:rPr>
              <w:t xml:space="preserve">by an established pattern of past practice, published policies or a sufficiently specific current statement, the agency has indicated to other parties that it will accept certain responsibilities; and </w:t>
            </w:r>
          </w:p>
          <w:p w14:paraId="101A0CA9" w14:textId="09B86280" w:rsidR="000F1D48" w:rsidRPr="00A1335C" w:rsidRDefault="000F1D48" w:rsidP="000F1D48">
            <w:pPr>
              <w:pStyle w:val="ListParagraph"/>
              <w:numPr>
                <w:ilvl w:val="1"/>
                <w:numId w:val="27"/>
              </w:numPr>
              <w:spacing w:after="80"/>
              <w:ind w:left="382" w:hanging="382"/>
              <w:contextualSpacing w:val="0"/>
              <w:rPr>
                <w:rFonts w:cs="Arial"/>
                <w:sz w:val="21"/>
                <w:szCs w:val="21"/>
                <w:lang w:val="en-AU"/>
              </w:rPr>
            </w:pPr>
            <w:r w:rsidRPr="00A1335C">
              <w:rPr>
                <w:rFonts w:cs="Arial"/>
                <w:sz w:val="21"/>
                <w:szCs w:val="21"/>
                <w:lang w:val="en-AU"/>
              </w:rPr>
              <w:t>as a result, the agency has created a valid expectation on the part of those other parties that it will discharge those responsibilities</w:t>
            </w:r>
            <w:r w:rsidRPr="00A1335C">
              <w:rPr>
                <w:rFonts w:cs="Arial"/>
                <w:sz w:val="21"/>
                <w:szCs w:val="21"/>
                <w:lang w:val="en-AU"/>
              </w:rPr>
              <w:fldChar w:fldCharType="begin"/>
            </w:r>
            <w:r w:rsidRPr="00A1335C">
              <w:rPr>
                <w:rFonts w:cs="Arial"/>
                <w:sz w:val="21"/>
                <w:szCs w:val="21"/>
                <w:lang w:val="en-AU"/>
              </w:rPr>
              <w:instrText xml:space="preserve"> NOTEREF _Ref417375223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15</w:t>
            </w:r>
            <w:r w:rsidRPr="00A1335C">
              <w:rPr>
                <w:rFonts w:cs="Arial"/>
                <w:sz w:val="21"/>
                <w:szCs w:val="21"/>
                <w:lang w:val="en-AU"/>
              </w:rPr>
              <w:fldChar w:fldCharType="end"/>
            </w:r>
            <w:r w:rsidRPr="00A1335C">
              <w:rPr>
                <w:rFonts w:cs="Arial"/>
                <w:sz w:val="21"/>
                <w:szCs w:val="21"/>
                <w:lang w:val="en-AU"/>
              </w:rPr>
              <w:t>.</w:t>
            </w:r>
          </w:p>
        </w:tc>
      </w:tr>
      <w:tr w:rsidR="000F1D48" w14:paraId="51D52C66" w14:textId="77777777" w:rsidTr="000F1D48">
        <w:tc>
          <w:tcPr>
            <w:tcW w:w="2259" w:type="dxa"/>
            <w:shd w:val="clear" w:color="auto" w:fill="BDD6EE" w:themeFill="accent1" w:themeFillTint="66"/>
          </w:tcPr>
          <w:p w14:paraId="6B770864" w14:textId="5DF44FD8" w:rsidR="000F1D48" w:rsidRPr="00A1335C" w:rsidRDefault="000F1D48" w:rsidP="000F1D48">
            <w:pPr>
              <w:rPr>
                <w:rFonts w:cs="Arial"/>
                <w:b/>
                <w:sz w:val="21"/>
                <w:szCs w:val="21"/>
              </w:rPr>
            </w:pPr>
            <w:bookmarkStart w:id="80" w:name="ObligationLegal"/>
            <w:r w:rsidRPr="00A1335C">
              <w:rPr>
                <w:rFonts w:cs="Arial"/>
                <w:b/>
                <w:sz w:val="21"/>
                <w:szCs w:val="21"/>
              </w:rPr>
              <w:t>Obligation, legal/legislative</w:t>
            </w:r>
            <w:bookmarkEnd w:id="80"/>
          </w:p>
        </w:tc>
        <w:tc>
          <w:tcPr>
            <w:tcW w:w="6940" w:type="dxa"/>
          </w:tcPr>
          <w:p w14:paraId="5089CEF3" w14:textId="1387FDC2" w:rsidR="000F1D48" w:rsidRPr="00A1335C" w:rsidRDefault="000F1D48" w:rsidP="000F1D48">
            <w:pPr>
              <w:rPr>
                <w:rFonts w:cs="Arial"/>
                <w:sz w:val="21"/>
                <w:szCs w:val="21"/>
                <w:lang w:val="en-AU"/>
              </w:rPr>
            </w:pPr>
            <w:r w:rsidRPr="00A1335C">
              <w:rPr>
                <w:rFonts w:cs="Arial"/>
                <w:sz w:val="21"/>
                <w:szCs w:val="21"/>
                <w:lang w:val="en-AU"/>
              </w:rPr>
              <w:t>Means an obligation that derives from a contract (through its explicit or implicit terms), legislation, or other operation of law</w:t>
            </w:r>
            <w:r w:rsidRPr="00A1335C">
              <w:rPr>
                <w:rFonts w:cs="Arial"/>
                <w:sz w:val="21"/>
                <w:szCs w:val="21"/>
                <w:lang w:val="en-AU"/>
              </w:rPr>
              <w:fldChar w:fldCharType="begin"/>
            </w:r>
            <w:r w:rsidRPr="00A1335C">
              <w:rPr>
                <w:rFonts w:cs="Arial"/>
                <w:sz w:val="21"/>
                <w:szCs w:val="21"/>
                <w:lang w:val="en-AU"/>
              </w:rPr>
              <w:instrText xml:space="preserve"> NOTEREF _Ref417375223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15</w:t>
            </w:r>
            <w:r w:rsidRPr="00A1335C">
              <w:rPr>
                <w:rFonts w:cs="Arial"/>
                <w:sz w:val="21"/>
                <w:szCs w:val="21"/>
                <w:lang w:val="en-AU"/>
              </w:rPr>
              <w:fldChar w:fldCharType="end"/>
            </w:r>
            <w:r w:rsidRPr="00A1335C">
              <w:rPr>
                <w:rFonts w:cs="Arial"/>
                <w:sz w:val="21"/>
                <w:szCs w:val="21"/>
                <w:lang w:val="en-AU"/>
              </w:rPr>
              <w:t>.</w:t>
            </w:r>
          </w:p>
        </w:tc>
      </w:tr>
      <w:tr w:rsidR="000F1D48" w14:paraId="27E4DD5F" w14:textId="77777777" w:rsidTr="000F1D48">
        <w:tc>
          <w:tcPr>
            <w:tcW w:w="2259" w:type="dxa"/>
            <w:shd w:val="clear" w:color="auto" w:fill="BDD6EE" w:themeFill="accent1" w:themeFillTint="66"/>
          </w:tcPr>
          <w:p w14:paraId="0E6DD700" w14:textId="4767EB70" w:rsidR="000F1D48" w:rsidRPr="00A1335C" w:rsidRDefault="000F1D48" w:rsidP="000F1D48">
            <w:pPr>
              <w:rPr>
                <w:rFonts w:cs="Arial"/>
                <w:b/>
                <w:sz w:val="21"/>
                <w:szCs w:val="21"/>
              </w:rPr>
            </w:pPr>
            <w:bookmarkStart w:id="81" w:name="Official"/>
            <w:r w:rsidRPr="00A1335C">
              <w:rPr>
                <w:rFonts w:cs="Arial"/>
                <w:b/>
                <w:sz w:val="21"/>
                <w:szCs w:val="21"/>
              </w:rPr>
              <w:t>Official</w:t>
            </w:r>
            <w:bookmarkEnd w:id="81"/>
          </w:p>
        </w:tc>
        <w:tc>
          <w:tcPr>
            <w:tcW w:w="6940" w:type="dxa"/>
          </w:tcPr>
          <w:p w14:paraId="26DDD944" w14:textId="78BFF948" w:rsidR="000F1D48" w:rsidRPr="00A1335C" w:rsidRDefault="000F1D48" w:rsidP="000F1D48">
            <w:pPr>
              <w:rPr>
                <w:rFonts w:cs="Arial"/>
                <w:sz w:val="21"/>
                <w:szCs w:val="21"/>
                <w:lang w:val="en-AU"/>
              </w:rPr>
            </w:pPr>
            <w:r w:rsidRPr="00A1335C">
              <w:rPr>
                <w:rFonts w:cs="Arial"/>
                <w:sz w:val="21"/>
                <w:szCs w:val="21"/>
                <w:lang w:val="en-AU"/>
              </w:rPr>
              <w:t xml:space="preserve">Has the same meaning as provided for in section 13 of the </w:t>
            </w:r>
            <w:r w:rsidRPr="00A1335C">
              <w:rPr>
                <w:rFonts w:cs="Arial"/>
                <w:i/>
                <w:sz w:val="21"/>
                <w:szCs w:val="21"/>
                <w:lang w:val="en-AU"/>
              </w:rPr>
              <w:t>Public Governance, Performance and Accountability Act 2013</w:t>
            </w:r>
            <w:r w:rsidRPr="00A1335C">
              <w:rPr>
                <w:rFonts w:cs="Arial"/>
                <w:sz w:val="21"/>
                <w:szCs w:val="21"/>
                <w:lang w:val="en-AU"/>
              </w:rPr>
              <w:t>.</w:t>
            </w:r>
          </w:p>
        </w:tc>
      </w:tr>
      <w:tr w:rsidR="000F1D48" w14:paraId="0ADBA012" w14:textId="77777777" w:rsidTr="000F1D48">
        <w:tc>
          <w:tcPr>
            <w:tcW w:w="2259" w:type="dxa"/>
            <w:shd w:val="clear" w:color="auto" w:fill="BDD6EE" w:themeFill="accent1" w:themeFillTint="66"/>
          </w:tcPr>
          <w:p w14:paraId="29105B6F" w14:textId="412530D5" w:rsidR="000F1D48" w:rsidRPr="00A1335C" w:rsidRDefault="000F1D48" w:rsidP="000F1D48">
            <w:pPr>
              <w:rPr>
                <w:rFonts w:cs="Arial"/>
                <w:b/>
                <w:sz w:val="21"/>
                <w:szCs w:val="21"/>
              </w:rPr>
            </w:pPr>
            <w:bookmarkStart w:id="82" w:name="PortableandAttractive"/>
            <w:r w:rsidRPr="00A1335C">
              <w:rPr>
                <w:rFonts w:cs="Arial"/>
                <w:b/>
                <w:sz w:val="21"/>
                <w:szCs w:val="21"/>
              </w:rPr>
              <w:t>Portable and attractive item</w:t>
            </w:r>
            <w:bookmarkEnd w:id="82"/>
          </w:p>
        </w:tc>
        <w:tc>
          <w:tcPr>
            <w:tcW w:w="6940" w:type="dxa"/>
          </w:tcPr>
          <w:p w14:paraId="739088C3" w14:textId="4ACF2D46" w:rsidR="000F1D48" w:rsidRPr="00A1335C" w:rsidRDefault="000F1D48" w:rsidP="000F1D48">
            <w:pPr>
              <w:rPr>
                <w:rFonts w:cs="Arial"/>
                <w:sz w:val="21"/>
                <w:szCs w:val="21"/>
                <w:lang w:val="en-AU"/>
              </w:rPr>
            </w:pPr>
            <w:r w:rsidRPr="00A1335C">
              <w:rPr>
                <w:rFonts w:cs="Arial"/>
                <w:sz w:val="21"/>
                <w:szCs w:val="21"/>
                <w:lang w:val="en-AU"/>
              </w:rPr>
              <w:t xml:space="preserve">Means non-consumable, non-depreciable tangible asset items valued below AUD $5,000 which are susceptible to theft or loss due to their portable nature and attractiveness for personal use or resale. Examples </w:t>
            </w:r>
            <w:r w:rsidRPr="00A1335C">
              <w:rPr>
                <w:rFonts w:cs="Arial"/>
                <w:sz w:val="21"/>
                <w:szCs w:val="21"/>
                <w:lang w:val="en-AU"/>
              </w:rPr>
              <w:lastRenderedPageBreak/>
              <w:t>of portable and attractive items include cameras (digital/film/video), mobile phones, scanners, GPS devices etc.</w:t>
            </w:r>
          </w:p>
        </w:tc>
      </w:tr>
      <w:tr w:rsidR="000F1D48" w14:paraId="1D0B76EA" w14:textId="77777777" w:rsidTr="000F1D48">
        <w:tc>
          <w:tcPr>
            <w:tcW w:w="2259" w:type="dxa"/>
            <w:shd w:val="clear" w:color="auto" w:fill="BDD6EE" w:themeFill="accent1" w:themeFillTint="66"/>
          </w:tcPr>
          <w:p w14:paraId="15019CBC" w14:textId="0908C4BA" w:rsidR="000F1D48" w:rsidRPr="00A1335C" w:rsidRDefault="000F1D48" w:rsidP="000F1D48">
            <w:pPr>
              <w:rPr>
                <w:rFonts w:cs="Arial"/>
                <w:b/>
                <w:sz w:val="21"/>
                <w:szCs w:val="21"/>
              </w:rPr>
            </w:pPr>
            <w:bookmarkStart w:id="83" w:name="ReliableMeasurement"/>
            <w:r w:rsidRPr="00A1335C">
              <w:rPr>
                <w:rFonts w:cs="Arial"/>
                <w:b/>
                <w:sz w:val="21"/>
                <w:szCs w:val="21"/>
              </w:rPr>
              <w:lastRenderedPageBreak/>
              <w:t xml:space="preserve">Reliable </w:t>
            </w:r>
            <w:bookmarkEnd w:id="83"/>
            <w:r w:rsidRPr="00A1335C">
              <w:rPr>
                <w:rFonts w:cs="Arial"/>
                <w:b/>
                <w:sz w:val="21"/>
                <w:szCs w:val="21"/>
              </w:rPr>
              <w:t xml:space="preserve">measurement </w:t>
            </w:r>
            <w:r w:rsidRPr="00A1335C">
              <w:rPr>
                <w:rFonts w:cs="Arial"/>
                <w:sz w:val="21"/>
                <w:szCs w:val="21"/>
              </w:rPr>
              <w:t>or</w:t>
            </w:r>
            <w:r w:rsidRPr="00A1335C">
              <w:rPr>
                <w:rFonts w:cs="Arial"/>
                <w:b/>
                <w:sz w:val="21"/>
                <w:szCs w:val="21"/>
              </w:rPr>
              <w:t xml:space="preserve"> measured reliably</w:t>
            </w:r>
          </w:p>
        </w:tc>
        <w:tc>
          <w:tcPr>
            <w:tcW w:w="6940" w:type="dxa"/>
          </w:tcPr>
          <w:p w14:paraId="79E68F11" w14:textId="2EAE5B56" w:rsidR="000F1D48" w:rsidRPr="00A1335C" w:rsidRDefault="000F1D48" w:rsidP="000F1D48">
            <w:pPr>
              <w:rPr>
                <w:rFonts w:cs="Arial"/>
                <w:sz w:val="21"/>
                <w:szCs w:val="21"/>
                <w:lang w:val="en-AU"/>
              </w:rPr>
            </w:pPr>
            <w:r w:rsidRPr="00A1335C">
              <w:rPr>
                <w:rFonts w:cs="Arial"/>
                <w:sz w:val="21"/>
                <w:szCs w:val="21"/>
                <w:lang w:val="en-AU"/>
              </w:rPr>
              <w:t>Typically means the purchase price, market valuation value, or value derived from valuation experts. Assets acquired at no cost are recognised initially at fair value at the date of control. Where reliable measurement cannot be established, the asset should not be recognised</w:t>
            </w:r>
            <w:r w:rsidRPr="00A1335C">
              <w:rPr>
                <w:rFonts w:cs="Arial"/>
                <w:sz w:val="21"/>
                <w:szCs w:val="21"/>
                <w:lang w:val="en-AU"/>
              </w:rPr>
              <w:fldChar w:fldCharType="begin"/>
            </w:r>
            <w:r w:rsidRPr="00A1335C">
              <w:rPr>
                <w:rFonts w:cs="Arial"/>
                <w:sz w:val="21"/>
                <w:szCs w:val="21"/>
                <w:lang w:val="en-AU"/>
              </w:rPr>
              <w:instrText xml:space="preserve"> NOTEREF _Ref408987583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14</w:t>
            </w:r>
            <w:r w:rsidRPr="00A1335C">
              <w:rPr>
                <w:rFonts w:cs="Arial"/>
                <w:sz w:val="21"/>
                <w:szCs w:val="21"/>
                <w:lang w:val="en-AU"/>
              </w:rPr>
              <w:fldChar w:fldCharType="end"/>
            </w:r>
            <w:r w:rsidRPr="00A1335C">
              <w:rPr>
                <w:rFonts w:cs="Arial"/>
                <w:sz w:val="21"/>
                <w:szCs w:val="21"/>
                <w:lang w:val="en-AU"/>
              </w:rPr>
              <w:t>.</w:t>
            </w:r>
          </w:p>
        </w:tc>
      </w:tr>
      <w:tr w:rsidR="000F1D48" w14:paraId="4C540C79" w14:textId="77777777" w:rsidTr="000F1D48">
        <w:tc>
          <w:tcPr>
            <w:tcW w:w="2259" w:type="dxa"/>
            <w:shd w:val="clear" w:color="auto" w:fill="BDD6EE" w:themeFill="accent1" w:themeFillTint="66"/>
          </w:tcPr>
          <w:p w14:paraId="60184AEF" w14:textId="4D5BD033" w:rsidR="000F1D48" w:rsidRPr="00A1335C" w:rsidRDefault="000F1D48" w:rsidP="000F1D48">
            <w:pPr>
              <w:rPr>
                <w:rFonts w:cs="Arial"/>
                <w:b/>
                <w:sz w:val="21"/>
                <w:szCs w:val="21"/>
              </w:rPr>
            </w:pPr>
            <w:bookmarkStart w:id="84" w:name="TangibleAsset"/>
            <w:r w:rsidRPr="00A1335C">
              <w:rPr>
                <w:rFonts w:cs="Arial"/>
                <w:b/>
                <w:sz w:val="21"/>
                <w:szCs w:val="21"/>
              </w:rPr>
              <w:t>Tangible asset</w:t>
            </w:r>
            <w:bookmarkEnd w:id="84"/>
          </w:p>
        </w:tc>
        <w:tc>
          <w:tcPr>
            <w:tcW w:w="6940" w:type="dxa"/>
          </w:tcPr>
          <w:p w14:paraId="1EFF89BE" w14:textId="5958066E" w:rsidR="000F1D48" w:rsidRPr="00A1335C" w:rsidRDefault="000F1D48" w:rsidP="000F1D48">
            <w:pPr>
              <w:rPr>
                <w:rFonts w:cs="Arial"/>
                <w:sz w:val="21"/>
                <w:szCs w:val="21"/>
                <w:lang w:val="en-AU"/>
              </w:rPr>
            </w:pPr>
            <w:r w:rsidRPr="00A1335C">
              <w:rPr>
                <w:rFonts w:cs="Arial"/>
                <w:sz w:val="21"/>
                <w:szCs w:val="21"/>
                <w:lang w:val="en-AU"/>
              </w:rPr>
              <w:t>Means an item of property, plant or equipment held for use in the production or supply of goods or services, for rental to others, or for administrative purposes, from which future economic benefits are expected to flow to the entity, and the cost of which can be reliably measured</w:t>
            </w:r>
            <w:bookmarkStart w:id="85" w:name="_Ref408907514"/>
            <w:r w:rsidRPr="00A1335C">
              <w:rPr>
                <w:rStyle w:val="EndnoteReference"/>
                <w:rFonts w:cs="Arial"/>
                <w:sz w:val="21"/>
                <w:szCs w:val="21"/>
                <w:lang w:val="en-AU"/>
              </w:rPr>
              <w:endnoteReference w:id="17"/>
            </w:r>
            <w:bookmarkEnd w:id="85"/>
            <w:r w:rsidRPr="00A1335C">
              <w:rPr>
                <w:rFonts w:cs="Arial"/>
                <w:sz w:val="21"/>
                <w:szCs w:val="21"/>
                <w:lang w:val="en-AU"/>
              </w:rPr>
              <w:t>.</w:t>
            </w:r>
          </w:p>
        </w:tc>
      </w:tr>
      <w:tr w:rsidR="000F1D48" w14:paraId="4A959FEA" w14:textId="77777777" w:rsidTr="000F1D48">
        <w:tc>
          <w:tcPr>
            <w:tcW w:w="2259" w:type="dxa"/>
            <w:shd w:val="clear" w:color="auto" w:fill="BDD6EE" w:themeFill="accent1" w:themeFillTint="66"/>
          </w:tcPr>
          <w:p w14:paraId="1F8BD187" w14:textId="6CEAB668" w:rsidR="000F1D48" w:rsidRPr="00A1335C" w:rsidRDefault="000F1D48" w:rsidP="000F1D48">
            <w:pPr>
              <w:rPr>
                <w:rFonts w:cs="Arial"/>
                <w:b/>
                <w:sz w:val="21"/>
                <w:szCs w:val="21"/>
              </w:rPr>
            </w:pPr>
            <w:bookmarkStart w:id="86" w:name="UsefulLife"/>
            <w:r w:rsidRPr="00A1335C">
              <w:rPr>
                <w:rFonts w:cs="Arial"/>
                <w:b/>
                <w:sz w:val="21"/>
                <w:szCs w:val="21"/>
              </w:rPr>
              <w:t>Useful life</w:t>
            </w:r>
            <w:bookmarkEnd w:id="86"/>
          </w:p>
        </w:tc>
        <w:tc>
          <w:tcPr>
            <w:tcW w:w="6940" w:type="dxa"/>
          </w:tcPr>
          <w:p w14:paraId="51F1F6CB" w14:textId="473915B9" w:rsidR="000F1D48" w:rsidRPr="00A1335C" w:rsidRDefault="000F1D48" w:rsidP="000F1D48">
            <w:pPr>
              <w:rPr>
                <w:rFonts w:cs="Arial"/>
                <w:sz w:val="21"/>
                <w:szCs w:val="21"/>
                <w:lang w:val="en-AU"/>
              </w:rPr>
            </w:pPr>
            <w:r w:rsidRPr="00A1335C">
              <w:rPr>
                <w:rFonts w:cs="Arial"/>
                <w:sz w:val="21"/>
                <w:szCs w:val="21"/>
                <w:lang w:val="en-AU"/>
              </w:rPr>
              <w:t>Means either the period over which an asset is expected to be available for use by an entity; or the number of production or similar units expected to be obtained from the asset by the entity</w:t>
            </w:r>
            <w:r w:rsidRPr="00A1335C">
              <w:rPr>
                <w:rFonts w:cs="Arial"/>
                <w:sz w:val="21"/>
                <w:szCs w:val="21"/>
                <w:vertAlign w:val="superscript"/>
                <w:lang w:val="en-AU"/>
              </w:rPr>
              <w:fldChar w:fldCharType="begin"/>
            </w:r>
            <w:r w:rsidRPr="00A1335C">
              <w:rPr>
                <w:rFonts w:cs="Arial"/>
                <w:sz w:val="21"/>
                <w:szCs w:val="21"/>
                <w:lang w:val="en-AU"/>
              </w:rPr>
              <w:instrText xml:space="preserve"> NOTEREF _Ref417379535 \f \h </w:instrText>
            </w:r>
            <w:r w:rsidR="00A1335C">
              <w:rPr>
                <w:rFonts w:cs="Arial"/>
                <w:sz w:val="21"/>
                <w:szCs w:val="21"/>
                <w:vertAlign w:val="superscript"/>
                <w:lang w:val="en-AU"/>
              </w:rPr>
              <w:instrText xml:space="preserve"> \* MERGEFORMAT </w:instrText>
            </w:r>
            <w:r w:rsidRPr="00A1335C">
              <w:rPr>
                <w:rFonts w:cs="Arial"/>
                <w:sz w:val="21"/>
                <w:szCs w:val="21"/>
                <w:vertAlign w:val="superscript"/>
                <w:lang w:val="en-AU"/>
              </w:rPr>
            </w:r>
            <w:r w:rsidRPr="00A1335C">
              <w:rPr>
                <w:rFonts w:cs="Arial"/>
                <w:sz w:val="21"/>
                <w:szCs w:val="21"/>
                <w:vertAlign w:val="superscript"/>
                <w:lang w:val="en-AU"/>
              </w:rPr>
              <w:fldChar w:fldCharType="separate"/>
            </w:r>
            <w:r w:rsidR="00A1335C" w:rsidRPr="00A1335C">
              <w:rPr>
                <w:rStyle w:val="EndnoteReference"/>
                <w:sz w:val="21"/>
                <w:szCs w:val="21"/>
              </w:rPr>
              <w:t>8</w:t>
            </w:r>
            <w:r w:rsidRPr="00A1335C">
              <w:rPr>
                <w:rFonts w:cs="Arial"/>
                <w:sz w:val="21"/>
                <w:szCs w:val="21"/>
                <w:vertAlign w:val="superscript"/>
                <w:lang w:val="en-AU"/>
              </w:rPr>
              <w:fldChar w:fldCharType="end"/>
            </w:r>
            <w:r w:rsidRPr="00A1335C">
              <w:rPr>
                <w:rFonts w:cs="Arial"/>
                <w:sz w:val="21"/>
                <w:szCs w:val="21"/>
                <w:lang w:val="en-AU"/>
              </w:rPr>
              <w:t>. The useful life of an asset may be different to the period of its physical life</w:t>
            </w:r>
            <w:r w:rsidRPr="00A1335C">
              <w:rPr>
                <w:rFonts w:cs="Arial"/>
                <w:sz w:val="21"/>
                <w:szCs w:val="21"/>
                <w:lang w:val="en-AU"/>
              </w:rPr>
              <w:fldChar w:fldCharType="begin"/>
            </w:r>
            <w:r w:rsidRPr="00A1335C">
              <w:rPr>
                <w:rFonts w:cs="Arial"/>
                <w:sz w:val="21"/>
                <w:szCs w:val="21"/>
                <w:lang w:val="en-AU"/>
              </w:rPr>
              <w:instrText xml:space="preserve"> NOTEREF _Ref408987583 \f \h  \* MERGEFORMAT </w:instrText>
            </w:r>
            <w:r w:rsidRPr="00A1335C">
              <w:rPr>
                <w:rFonts w:cs="Arial"/>
                <w:sz w:val="21"/>
                <w:szCs w:val="21"/>
                <w:lang w:val="en-AU"/>
              </w:rPr>
            </w:r>
            <w:r w:rsidRPr="00A1335C">
              <w:rPr>
                <w:rFonts w:cs="Arial"/>
                <w:sz w:val="21"/>
                <w:szCs w:val="21"/>
                <w:lang w:val="en-AU"/>
              </w:rPr>
              <w:fldChar w:fldCharType="separate"/>
            </w:r>
            <w:r w:rsidR="00A1335C" w:rsidRPr="00A1335C">
              <w:rPr>
                <w:rStyle w:val="EndnoteReference"/>
                <w:rFonts w:cs="Arial"/>
                <w:sz w:val="21"/>
                <w:szCs w:val="21"/>
              </w:rPr>
              <w:t>14</w:t>
            </w:r>
            <w:r w:rsidRPr="00A1335C">
              <w:rPr>
                <w:rFonts w:cs="Arial"/>
                <w:sz w:val="21"/>
                <w:szCs w:val="21"/>
                <w:lang w:val="en-AU"/>
              </w:rPr>
              <w:fldChar w:fldCharType="end"/>
            </w:r>
            <w:r w:rsidRPr="00A1335C">
              <w:rPr>
                <w:rFonts w:cs="Arial"/>
                <w:sz w:val="21"/>
                <w:szCs w:val="21"/>
                <w:lang w:val="en-AU"/>
              </w:rPr>
              <w:t>.</w:t>
            </w:r>
          </w:p>
        </w:tc>
      </w:tr>
    </w:tbl>
    <w:p w14:paraId="6B74F6F7" w14:textId="77777777" w:rsidR="00ED0990" w:rsidRPr="00AC3A52" w:rsidRDefault="00ED0990" w:rsidP="00ED0990">
      <w:pPr>
        <w:pStyle w:val="Heading2"/>
        <w:rPr>
          <w:rFonts w:cs="Arial"/>
        </w:rPr>
      </w:pPr>
      <w:bookmarkStart w:id="87" w:name="_Toc417380714"/>
      <w:r w:rsidRPr="00AC3A52">
        <w:rPr>
          <w:rFonts w:cs="Arial"/>
        </w:rPr>
        <w:t>Related legislation / standards/ policy</w:t>
      </w:r>
      <w:bookmarkEnd w:id="87"/>
    </w:p>
    <w:p w14:paraId="6B74F6F8"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i/>
          <w:sz w:val="21"/>
          <w:szCs w:val="21"/>
          <w:lang w:val="en-AU" w:eastAsia="en-AU"/>
        </w:rPr>
        <w:t>Public Governance, Performance and Accountability Act 2013</w:t>
      </w:r>
    </w:p>
    <w:p w14:paraId="6B74F6F9"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i/>
          <w:sz w:val="21"/>
          <w:szCs w:val="21"/>
          <w:lang w:val="en-AU" w:eastAsia="en-AU"/>
        </w:rPr>
        <w:t>Public Governance, Performance and Accountability Rule 2014</w:t>
      </w:r>
    </w:p>
    <w:p w14:paraId="6B74F6FA" w14:textId="77777777" w:rsidR="00ED0990" w:rsidRPr="00A1335C" w:rsidRDefault="00545744" w:rsidP="00AE526E">
      <w:pPr>
        <w:pStyle w:val="ListParagraph"/>
        <w:numPr>
          <w:ilvl w:val="0"/>
          <w:numId w:val="28"/>
        </w:numPr>
        <w:spacing w:after="80"/>
        <w:contextualSpacing w:val="0"/>
        <w:rPr>
          <w:rFonts w:cs="Arial"/>
          <w:sz w:val="21"/>
          <w:szCs w:val="21"/>
          <w:lang w:val="en-AU"/>
        </w:rPr>
      </w:pPr>
      <w:r w:rsidRPr="00A1335C">
        <w:rPr>
          <w:i/>
          <w:sz w:val="21"/>
          <w:szCs w:val="21"/>
        </w:rPr>
        <w:t>Public Governance, Performance and Accountability (Financial Reporting) Rule 2015</w:t>
      </w:r>
    </w:p>
    <w:p w14:paraId="6B74F6FB"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 xml:space="preserve">Commonwealth Procurement Rules </w:t>
      </w:r>
    </w:p>
    <w:p w14:paraId="6B74F6FC"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cs="Arial"/>
          <w:color w:val="000000"/>
          <w:sz w:val="21"/>
          <w:szCs w:val="21"/>
          <w:lang w:val="en-AU"/>
        </w:rPr>
        <w:t>Department of Finance, Accounting Guidance Note No. 2010/1</w:t>
      </w:r>
    </w:p>
    <w:p w14:paraId="6B74F6FD"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AASB 13: Fair Value Measurement</w:t>
      </w:r>
    </w:p>
    <w:p w14:paraId="6B74F6FE"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AASB 102: Inventories</w:t>
      </w:r>
    </w:p>
    <w:p w14:paraId="6B74F6FF"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 xml:space="preserve">AASB 116: Property, Plant &amp; Equipment </w:t>
      </w:r>
    </w:p>
    <w:p w14:paraId="6B74F700"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 xml:space="preserve">AASB 117: Leases </w:t>
      </w:r>
    </w:p>
    <w:p w14:paraId="6B74F701"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 xml:space="preserve">AASB 136: Impairment of Assets </w:t>
      </w:r>
    </w:p>
    <w:p w14:paraId="6B74F702" w14:textId="77777777" w:rsidR="00ED0990" w:rsidRPr="00A1335C" w:rsidRDefault="00ED0990" w:rsidP="00AE526E">
      <w:pPr>
        <w:pStyle w:val="ListParagraph"/>
        <w:numPr>
          <w:ilvl w:val="0"/>
          <w:numId w:val="28"/>
        </w:numPr>
        <w:spacing w:after="80"/>
        <w:contextualSpacing w:val="0"/>
        <w:rPr>
          <w:rFonts w:cs="Arial"/>
          <w:sz w:val="21"/>
          <w:szCs w:val="21"/>
        </w:rPr>
      </w:pPr>
      <w:r w:rsidRPr="00A1335C">
        <w:rPr>
          <w:rFonts w:eastAsia="Times New Roman" w:cs="Arial"/>
          <w:sz w:val="21"/>
          <w:szCs w:val="21"/>
          <w:lang w:val="en-AU" w:eastAsia="en-AU"/>
        </w:rPr>
        <w:t>AASB 138: Intangible Assets</w:t>
      </w:r>
    </w:p>
    <w:p w14:paraId="6B74F703" w14:textId="77777777" w:rsidR="00545744" w:rsidRPr="00A1335C" w:rsidRDefault="00545744" w:rsidP="00AE526E">
      <w:pPr>
        <w:pStyle w:val="ListParagraph"/>
        <w:numPr>
          <w:ilvl w:val="0"/>
          <w:numId w:val="28"/>
        </w:numPr>
        <w:spacing w:after="80"/>
        <w:contextualSpacing w:val="0"/>
        <w:rPr>
          <w:rFonts w:cs="Arial"/>
          <w:sz w:val="21"/>
          <w:szCs w:val="21"/>
        </w:rPr>
      </w:pPr>
      <w:r w:rsidRPr="00A1335C">
        <w:rPr>
          <w:rFonts w:eastAsia="Times New Roman" w:cs="Arial"/>
          <w:sz w:val="21"/>
          <w:szCs w:val="21"/>
          <w:lang w:val="en-AU" w:eastAsia="en-AU"/>
        </w:rPr>
        <w:t>AASB 1049: Whole of Government and General Government Sector Financial Reporting</w:t>
      </w:r>
    </w:p>
    <w:p w14:paraId="6B74F704"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cs="Arial"/>
          <w:sz w:val="21"/>
          <w:szCs w:val="21"/>
          <w:lang w:val="en-AU"/>
        </w:rPr>
        <w:t>Internal policy, ‘Communications and Information Devices - Acceptable Use’</w:t>
      </w:r>
    </w:p>
    <w:p w14:paraId="6B74F705" w14:textId="77777777" w:rsidR="00ED0990" w:rsidRPr="00A1335C" w:rsidRDefault="00ED0990" w:rsidP="00AE526E">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Internal policy, ‘Vehicle Usage - Fleet’</w:t>
      </w:r>
    </w:p>
    <w:p w14:paraId="4AE51C8D" w14:textId="48A2A8A0" w:rsidR="0074603A" w:rsidRPr="00A1335C" w:rsidRDefault="00ED0990" w:rsidP="000F1D48">
      <w:pPr>
        <w:pStyle w:val="ListParagraph"/>
        <w:numPr>
          <w:ilvl w:val="0"/>
          <w:numId w:val="28"/>
        </w:numPr>
        <w:spacing w:after="80"/>
        <w:contextualSpacing w:val="0"/>
        <w:rPr>
          <w:rFonts w:cs="Arial"/>
          <w:sz w:val="21"/>
          <w:szCs w:val="21"/>
          <w:lang w:val="en-AU"/>
        </w:rPr>
      </w:pPr>
      <w:r w:rsidRPr="00A1335C">
        <w:rPr>
          <w:rFonts w:eastAsia="Times New Roman" w:cs="Arial"/>
          <w:sz w:val="21"/>
          <w:szCs w:val="21"/>
          <w:lang w:val="en-AU" w:eastAsia="en-AU"/>
        </w:rPr>
        <w:t>Internal procedure, ‘Vehicle Usage - Fleet’</w:t>
      </w:r>
    </w:p>
    <w:p w14:paraId="238BE86B" w14:textId="77777777" w:rsidR="00394475" w:rsidRDefault="00394475" w:rsidP="00394475">
      <w:pPr>
        <w:rPr>
          <w:rFonts w:eastAsia="Times New Roman"/>
          <w:b/>
        </w:rPr>
      </w:pPr>
      <w:bookmarkStart w:id="88" w:name="_Toc417380715"/>
      <w:r>
        <w:br w:type="page"/>
      </w:r>
    </w:p>
    <w:p w14:paraId="6B74F708" w14:textId="79652C93" w:rsidR="007154B3" w:rsidRPr="00AC3A52" w:rsidRDefault="00171345" w:rsidP="00171345">
      <w:pPr>
        <w:pStyle w:val="Heading1"/>
        <w:rPr>
          <w:rFonts w:cs="Arial"/>
        </w:rPr>
        <w:sectPr w:rsidR="007154B3" w:rsidRPr="00AC3A52" w:rsidSect="00F91193">
          <w:headerReference w:type="default" r:id="rId27"/>
          <w:endnotePr>
            <w:numFmt w:val="decimal"/>
          </w:endnotePr>
          <w:type w:val="continuous"/>
          <w:pgSz w:w="11906" w:h="16838"/>
          <w:pgMar w:top="1337" w:right="1440" w:bottom="1440" w:left="1440" w:header="426" w:footer="307" w:gutter="0"/>
          <w:cols w:space="708"/>
          <w:docGrid w:linePitch="360"/>
        </w:sectPr>
      </w:pPr>
      <w:r w:rsidRPr="00234956">
        <w:rPr>
          <w:rFonts w:cs="Arial"/>
        </w:rPr>
        <w:lastRenderedPageBreak/>
        <w:t>References /related materia</w:t>
      </w:r>
      <w:bookmarkEnd w:id="88"/>
      <w:r w:rsidR="00411F87">
        <w:rPr>
          <w:rFonts w:cs="Arial"/>
        </w:rPr>
        <w:t>l</w:t>
      </w:r>
    </w:p>
    <w:p w14:paraId="6B74F720" w14:textId="77777777" w:rsidR="002D558E" w:rsidRPr="00AC3A52" w:rsidRDefault="002D558E" w:rsidP="00D437B5">
      <w:pPr>
        <w:rPr>
          <w:rFonts w:cs="Arial"/>
        </w:rPr>
      </w:pPr>
    </w:p>
    <w:sectPr w:rsidR="002D558E" w:rsidRPr="00AC3A52" w:rsidSect="00F91193">
      <w:endnotePr>
        <w:numFmt w:val="decimal"/>
      </w:endnotePr>
      <w:type w:val="continuous"/>
      <w:pgSz w:w="11906" w:h="16838"/>
      <w:pgMar w:top="1337" w:right="1440" w:bottom="1440" w:left="1440" w:header="426"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7A1F" w14:textId="77777777" w:rsidR="000F1D48" w:rsidRPr="007154B3" w:rsidRDefault="000F1D48" w:rsidP="007154B3">
      <w:pPr>
        <w:pStyle w:val="Footer"/>
        <w:rPr>
          <w:sz w:val="4"/>
          <w:szCs w:val="4"/>
        </w:rPr>
      </w:pPr>
    </w:p>
  </w:endnote>
  <w:endnote w:type="continuationSeparator" w:id="0">
    <w:p w14:paraId="0C364093" w14:textId="77777777" w:rsidR="000F1D48" w:rsidRPr="007154B3" w:rsidRDefault="000F1D48" w:rsidP="007154B3">
      <w:pPr>
        <w:pStyle w:val="Footer"/>
      </w:pPr>
    </w:p>
  </w:endnote>
  <w:endnote w:type="continuationNotice" w:id="1">
    <w:p w14:paraId="0012B481" w14:textId="77777777" w:rsidR="000F1D48" w:rsidRDefault="000F1D48">
      <w:pPr>
        <w:spacing w:after="0"/>
      </w:pPr>
    </w:p>
  </w:endnote>
  <w:endnote w:id="2">
    <w:p w14:paraId="30593EE8" w14:textId="72B3CDAA" w:rsidR="000F1D48" w:rsidRPr="00A1335C" w:rsidRDefault="000F1D48" w:rsidP="00FD2482">
      <w:pPr>
        <w:pStyle w:val="EndnoteText"/>
        <w:spacing w:after="120"/>
        <w:ind w:left="567" w:hanging="567"/>
        <w:rPr>
          <w:sz w:val="21"/>
          <w:szCs w:val="21"/>
          <w:lang w:val="en-AU"/>
        </w:rPr>
      </w:pPr>
      <w:r w:rsidRPr="00A1335C">
        <w:rPr>
          <w:rStyle w:val="EndnoteReference"/>
          <w:sz w:val="21"/>
          <w:szCs w:val="21"/>
          <w:vertAlign w:val="baseline"/>
        </w:rPr>
        <w:endnoteRef/>
      </w:r>
      <w:r w:rsidRPr="00A1335C">
        <w:rPr>
          <w:sz w:val="21"/>
          <w:szCs w:val="21"/>
        </w:rPr>
        <w:t xml:space="preserve"> </w:t>
      </w:r>
      <w:r w:rsidRPr="00A1335C">
        <w:rPr>
          <w:sz w:val="21"/>
          <w:szCs w:val="21"/>
        </w:rPr>
        <w:tab/>
      </w:r>
      <w:r w:rsidRPr="00A1335C">
        <w:rPr>
          <w:sz w:val="21"/>
          <w:szCs w:val="21"/>
          <w:lang w:val="en-AU"/>
        </w:rPr>
        <w:t xml:space="preserve">Department of Finance, 2013, </w:t>
      </w:r>
      <w:r w:rsidRPr="00A1335C">
        <w:rPr>
          <w:i/>
          <w:sz w:val="21"/>
          <w:szCs w:val="21"/>
          <w:lang w:val="en-AU"/>
        </w:rPr>
        <w:t>Resource Management Guide No. 113, Accounting for subsequent expenditure on property, plant and equipment</w:t>
      </w:r>
      <w:r w:rsidRPr="00A1335C">
        <w:rPr>
          <w:sz w:val="21"/>
          <w:szCs w:val="21"/>
          <w:lang w:val="en-AU"/>
        </w:rPr>
        <w:t>, Commonwealth of Australia, Canberra.</w:t>
      </w:r>
    </w:p>
  </w:endnote>
  <w:endnote w:id="3">
    <w:p w14:paraId="6B74F78D" w14:textId="77777777" w:rsidR="000F1D48" w:rsidRPr="00A1335C" w:rsidRDefault="000F1D48" w:rsidP="00A213D6">
      <w:pPr>
        <w:pStyle w:val="EndnoteText"/>
        <w:spacing w:after="120"/>
        <w:ind w:left="567" w:hanging="567"/>
        <w:rPr>
          <w:rStyle w:val="EndnoteReference"/>
          <w:rFonts w:cs="Arial"/>
          <w:sz w:val="21"/>
          <w:szCs w:val="21"/>
          <w:vertAlign w:val="baseline"/>
        </w:rPr>
      </w:pPr>
      <w:r w:rsidRPr="00A1335C">
        <w:rPr>
          <w:rStyle w:val="EndnoteReference"/>
          <w:rFonts w:cs="Arial"/>
          <w:sz w:val="21"/>
          <w:szCs w:val="21"/>
          <w:vertAlign w:val="baseline"/>
        </w:rPr>
        <w:endnoteRef/>
      </w:r>
      <w:r w:rsidRPr="00A1335C">
        <w:rPr>
          <w:rStyle w:val="EndnoteReference"/>
          <w:rFonts w:cs="Arial"/>
          <w:sz w:val="21"/>
          <w:szCs w:val="21"/>
          <w:vertAlign w:val="baseline"/>
        </w:rPr>
        <w:t xml:space="preserve"> </w:t>
      </w:r>
      <w:r w:rsidRPr="00A1335C">
        <w:rPr>
          <w:rFonts w:cs="Arial"/>
          <w:sz w:val="21"/>
          <w:szCs w:val="21"/>
        </w:rPr>
        <w:tab/>
        <w:t xml:space="preserve">Australian Accounting Standards Board. 2013, </w:t>
      </w:r>
      <w:r w:rsidRPr="00A1335C">
        <w:rPr>
          <w:rFonts w:cs="Arial"/>
          <w:i/>
          <w:sz w:val="21"/>
          <w:szCs w:val="21"/>
        </w:rPr>
        <w:t>AASB 117 Leases</w:t>
      </w:r>
      <w:r w:rsidRPr="00A1335C">
        <w:rPr>
          <w:rFonts w:cs="Arial"/>
          <w:sz w:val="21"/>
          <w:szCs w:val="21"/>
        </w:rPr>
        <w:t xml:space="preserve">. </w:t>
      </w:r>
      <w:r w:rsidRPr="00A1335C">
        <w:rPr>
          <w:sz w:val="21"/>
          <w:szCs w:val="21"/>
        </w:rPr>
        <w:t>Commonwealth of Australia</w:t>
      </w:r>
      <w:r w:rsidRPr="00A1335C">
        <w:rPr>
          <w:rFonts w:cs="Arial"/>
          <w:sz w:val="21"/>
          <w:szCs w:val="21"/>
        </w:rPr>
        <w:t>, Melbourne.</w:t>
      </w:r>
    </w:p>
  </w:endnote>
  <w:endnote w:id="4">
    <w:p w14:paraId="01D03E45" w14:textId="77777777" w:rsidR="000F1D48" w:rsidRPr="00A1335C" w:rsidRDefault="000F1D48" w:rsidP="00A25672">
      <w:pPr>
        <w:pStyle w:val="EndnoteText"/>
        <w:spacing w:after="120"/>
        <w:ind w:left="567" w:hanging="567"/>
        <w:rPr>
          <w:sz w:val="21"/>
          <w:szCs w:val="21"/>
          <w:lang w:val="en-AU"/>
        </w:rPr>
      </w:pPr>
      <w:r w:rsidRPr="00A1335C">
        <w:rPr>
          <w:rStyle w:val="EndnoteReference"/>
          <w:sz w:val="21"/>
          <w:szCs w:val="21"/>
          <w:vertAlign w:val="baseline"/>
        </w:rPr>
        <w:endnoteRef/>
      </w:r>
      <w:r w:rsidRPr="00A1335C">
        <w:rPr>
          <w:sz w:val="21"/>
          <w:szCs w:val="21"/>
        </w:rPr>
        <w:t xml:space="preserve"> </w:t>
      </w:r>
      <w:r w:rsidRPr="00A1335C">
        <w:rPr>
          <w:sz w:val="21"/>
          <w:szCs w:val="21"/>
          <w:lang w:val="en-AU"/>
        </w:rPr>
        <w:tab/>
      </w:r>
      <w:r w:rsidRPr="00A1335C">
        <w:rPr>
          <w:i/>
          <w:sz w:val="21"/>
          <w:szCs w:val="21"/>
        </w:rPr>
        <w:t>Public Governance, Performance and Accountability (Financial Reporting) Rule 2015</w:t>
      </w:r>
    </w:p>
  </w:endnote>
  <w:endnote w:id="5">
    <w:p w14:paraId="6B74F78F" w14:textId="77777777" w:rsidR="000F1D48" w:rsidRPr="00A1335C" w:rsidRDefault="000F1D48" w:rsidP="00A25A7E">
      <w:pPr>
        <w:pStyle w:val="EndnoteText"/>
        <w:spacing w:after="120"/>
        <w:ind w:left="567" w:hanging="567"/>
        <w:rPr>
          <w:sz w:val="21"/>
          <w:szCs w:val="21"/>
          <w:lang w:val="en-AU"/>
        </w:rPr>
      </w:pPr>
      <w:r w:rsidRPr="00A1335C">
        <w:rPr>
          <w:rStyle w:val="EndnoteReference"/>
          <w:sz w:val="21"/>
          <w:szCs w:val="21"/>
          <w:vertAlign w:val="baseline"/>
        </w:rPr>
        <w:endnoteRef/>
      </w:r>
      <w:r w:rsidRPr="00A1335C">
        <w:rPr>
          <w:sz w:val="21"/>
          <w:szCs w:val="21"/>
        </w:rPr>
        <w:t xml:space="preserve"> </w:t>
      </w:r>
      <w:r w:rsidRPr="00A1335C">
        <w:rPr>
          <w:sz w:val="21"/>
          <w:szCs w:val="21"/>
        </w:rPr>
        <w:tab/>
      </w:r>
      <w:r w:rsidRPr="00A1335C">
        <w:rPr>
          <w:sz w:val="21"/>
          <w:szCs w:val="21"/>
          <w:lang w:val="en-AU"/>
        </w:rPr>
        <w:t xml:space="preserve">Australian Accounting Standards Board. 2014, </w:t>
      </w:r>
      <w:r w:rsidRPr="00A1335C">
        <w:rPr>
          <w:i/>
          <w:sz w:val="21"/>
          <w:szCs w:val="21"/>
          <w:lang w:val="en-AU"/>
        </w:rPr>
        <w:t>AASB 136, Impairment of assets</w:t>
      </w:r>
      <w:r w:rsidRPr="00A1335C">
        <w:rPr>
          <w:sz w:val="21"/>
          <w:szCs w:val="21"/>
          <w:lang w:val="en-AU"/>
        </w:rPr>
        <w:t xml:space="preserve">, </w:t>
      </w:r>
      <w:r w:rsidRPr="00A1335C">
        <w:rPr>
          <w:sz w:val="21"/>
          <w:szCs w:val="21"/>
        </w:rPr>
        <w:t>Commonwealth of Australia</w:t>
      </w:r>
      <w:r w:rsidRPr="00A1335C">
        <w:rPr>
          <w:sz w:val="21"/>
          <w:szCs w:val="21"/>
          <w:lang w:val="en-AU"/>
        </w:rPr>
        <w:t>, Melbourne.</w:t>
      </w:r>
    </w:p>
  </w:endnote>
  <w:endnote w:id="6">
    <w:p w14:paraId="6B74F790" w14:textId="30AC6FF9" w:rsidR="000F1D48" w:rsidRPr="00A1335C" w:rsidRDefault="000F1D48" w:rsidP="00184322">
      <w:pPr>
        <w:pStyle w:val="EndnoteText"/>
        <w:spacing w:after="120"/>
        <w:ind w:left="567" w:hanging="567"/>
        <w:rPr>
          <w:sz w:val="21"/>
          <w:szCs w:val="21"/>
          <w:lang w:val="en-AU"/>
        </w:rPr>
      </w:pPr>
      <w:r w:rsidRPr="00A1335C">
        <w:rPr>
          <w:rStyle w:val="EndnoteReference"/>
          <w:sz w:val="21"/>
          <w:szCs w:val="21"/>
          <w:vertAlign w:val="baseline"/>
        </w:rPr>
        <w:endnoteRef/>
      </w:r>
      <w:r w:rsidRPr="00A1335C">
        <w:rPr>
          <w:sz w:val="21"/>
          <w:szCs w:val="21"/>
        </w:rPr>
        <w:t xml:space="preserve"> </w:t>
      </w:r>
      <w:r w:rsidRPr="00A1335C">
        <w:rPr>
          <w:sz w:val="21"/>
          <w:szCs w:val="21"/>
        </w:rPr>
        <w:tab/>
      </w:r>
      <w:r w:rsidRPr="00A1335C">
        <w:rPr>
          <w:sz w:val="21"/>
          <w:szCs w:val="21"/>
          <w:lang w:val="en-AU"/>
        </w:rPr>
        <w:t xml:space="preserve">Department of Finance. 2014, </w:t>
      </w:r>
      <w:r w:rsidRPr="00A1335C">
        <w:rPr>
          <w:i/>
          <w:sz w:val="21"/>
          <w:szCs w:val="21"/>
          <w:lang w:val="en-AU"/>
        </w:rPr>
        <w:t>Resource Management Guide No. 109, Accounting for internally developed software</w:t>
      </w:r>
      <w:r w:rsidRPr="00A1335C">
        <w:rPr>
          <w:sz w:val="21"/>
          <w:szCs w:val="21"/>
          <w:lang w:val="en-AU"/>
        </w:rPr>
        <w:t>, Commonwealth of Australia, Canberra.</w:t>
      </w:r>
    </w:p>
  </w:endnote>
  <w:endnote w:id="7">
    <w:p w14:paraId="6B74F791" w14:textId="77777777" w:rsidR="000F1D48" w:rsidRPr="00A1335C" w:rsidRDefault="000F1D48" w:rsidP="0055665E">
      <w:pPr>
        <w:pStyle w:val="EndnoteText"/>
        <w:spacing w:after="120"/>
        <w:ind w:left="567" w:hanging="567"/>
        <w:rPr>
          <w:rStyle w:val="EndnoteReference"/>
          <w:sz w:val="21"/>
          <w:szCs w:val="21"/>
          <w:vertAlign w:val="baseline"/>
        </w:rPr>
      </w:pPr>
      <w:r w:rsidRPr="00A1335C">
        <w:rPr>
          <w:rStyle w:val="EndnoteReference"/>
          <w:sz w:val="21"/>
          <w:szCs w:val="21"/>
          <w:vertAlign w:val="baseline"/>
        </w:rPr>
        <w:endnoteRef/>
      </w:r>
      <w:r w:rsidRPr="00A1335C">
        <w:rPr>
          <w:rStyle w:val="EndnoteReference"/>
          <w:sz w:val="21"/>
          <w:szCs w:val="21"/>
          <w:vertAlign w:val="baseline"/>
        </w:rPr>
        <w:t xml:space="preserve"> </w:t>
      </w:r>
      <w:r w:rsidRPr="00A1335C">
        <w:rPr>
          <w:sz w:val="21"/>
          <w:szCs w:val="21"/>
        </w:rPr>
        <w:tab/>
        <w:t xml:space="preserve">Department of Finance. 2014, </w:t>
      </w:r>
      <w:r w:rsidRPr="00A1335C">
        <w:rPr>
          <w:i/>
          <w:sz w:val="21"/>
          <w:szCs w:val="21"/>
        </w:rPr>
        <w:t>Resource Management Guide No. 114, Accounting for decommissioning, restoration and similar provisions (‘make good’)</w:t>
      </w:r>
      <w:r w:rsidRPr="00A1335C">
        <w:rPr>
          <w:sz w:val="21"/>
          <w:szCs w:val="21"/>
        </w:rPr>
        <w:t>, Commonwealth of Australia, Canberra.</w:t>
      </w:r>
    </w:p>
  </w:endnote>
  <w:endnote w:id="8">
    <w:p w14:paraId="6B74F792" w14:textId="77777777" w:rsidR="000F1D48" w:rsidRPr="00A1335C" w:rsidRDefault="000F1D48" w:rsidP="0055665E">
      <w:pPr>
        <w:pStyle w:val="EndnoteText"/>
        <w:spacing w:after="120"/>
        <w:ind w:left="567" w:hanging="567"/>
        <w:rPr>
          <w:rStyle w:val="EndnoteReference"/>
          <w:sz w:val="21"/>
          <w:szCs w:val="21"/>
          <w:vertAlign w:val="baseline"/>
        </w:rPr>
      </w:pPr>
      <w:r w:rsidRPr="00A1335C">
        <w:rPr>
          <w:rStyle w:val="EndnoteReference"/>
          <w:sz w:val="21"/>
          <w:szCs w:val="21"/>
          <w:vertAlign w:val="baseline"/>
        </w:rPr>
        <w:endnoteRef/>
      </w:r>
      <w:r w:rsidRPr="00A1335C">
        <w:rPr>
          <w:rStyle w:val="EndnoteReference"/>
          <w:sz w:val="21"/>
          <w:szCs w:val="21"/>
          <w:vertAlign w:val="baseline"/>
        </w:rPr>
        <w:t xml:space="preserve"> </w:t>
      </w:r>
      <w:r w:rsidRPr="00A1335C">
        <w:rPr>
          <w:sz w:val="21"/>
          <w:szCs w:val="21"/>
        </w:rPr>
        <w:tab/>
        <w:t>Australian Accounting Standards Board. 2014,</w:t>
      </w:r>
      <w:r w:rsidRPr="00A1335C">
        <w:rPr>
          <w:i/>
          <w:sz w:val="21"/>
          <w:szCs w:val="21"/>
        </w:rPr>
        <w:t xml:space="preserve"> Interpretation 1, Changes in existing decommissioning, restoration and similar liabilities</w:t>
      </w:r>
      <w:r w:rsidRPr="00A1335C">
        <w:rPr>
          <w:sz w:val="21"/>
          <w:szCs w:val="21"/>
        </w:rPr>
        <w:t>. Commonwealth of Australia, Canberra.</w:t>
      </w:r>
    </w:p>
  </w:endnote>
  <w:endnote w:id="9">
    <w:p w14:paraId="3F538552" w14:textId="77777777" w:rsidR="000F1D48" w:rsidRPr="00A1335C" w:rsidRDefault="000F1D48" w:rsidP="00ED0990">
      <w:pPr>
        <w:pStyle w:val="EndnoteText"/>
        <w:spacing w:after="120"/>
        <w:ind w:left="567" w:hanging="567"/>
        <w:rPr>
          <w:rFonts w:cs="Arial"/>
          <w:sz w:val="21"/>
          <w:szCs w:val="21"/>
          <w:lang w:val="en-AU"/>
        </w:rPr>
      </w:pPr>
      <w:r w:rsidRPr="00A1335C">
        <w:rPr>
          <w:rStyle w:val="EndnoteReference"/>
          <w:sz w:val="21"/>
          <w:szCs w:val="21"/>
          <w:vertAlign w:val="baseline"/>
        </w:rPr>
        <w:endnoteRef/>
      </w:r>
      <w:r w:rsidRPr="00A1335C">
        <w:rPr>
          <w:sz w:val="21"/>
          <w:szCs w:val="21"/>
        </w:rPr>
        <w:t xml:space="preserve"> </w:t>
      </w:r>
      <w:r w:rsidRPr="00A1335C">
        <w:rPr>
          <w:sz w:val="21"/>
          <w:szCs w:val="21"/>
        </w:rPr>
        <w:tab/>
      </w:r>
      <w:r w:rsidRPr="00A1335C">
        <w:rPr>
          <w:rFonts w:cs="Arial"/>
          <w:sz w:val="21"/>
          <w:szCs w:val="21"/>
          <w:lang w:val="en-AU"/>
        </w:rPr>
        <w:t xml:space="preserve">Australian Accounting Standards Board. 2012, </w:t>
      </w:r>
      <w:r w:rsidRPr="00A1335C">
        <w:rPr>
          <w:rFonts w:cs="Arial"/>
          <w:i/>
          <w:sz w:val="21"/>
          <w:szCs w:val="21"/>
          <w:lang w:val="en-AU"/>
        </w:rPr>
        <w:t>Glossary of defined terms</w:t>
      </w:r>
      <w:r w:rsidRPr="00A1335C">
        <w:rPr>
          <w:rFonts w:cs="Arial"/>
          <w:sz w:val="21"/>
          <w:szCs w:val="21"/>
          <w:lang w:val="en-AU"/>
        </w:rPr>
        <w:t xml:space="preserve">, </w:t>
      </w:r>
      <w:r w:rsidRPr="00A1335C">
        <w:rPr>
          <w:sz w:val="21"/>
          <w:szCs w:val="21"/>
        </w:rPr>
        <w:t>Commonwealth of Australia</w:t>
      </w:r>
      <w:r w:rsidRPr="00A1335C">
        <w:rPr>
          <w:rFonts w:cs="Arial"/>
          <w:sz w:val="21"/>
          <w:szCs w:val="21"/>
          <w:lang w:val="en-AU"/>
        </w:rPr>
        <w:t>, Melbourne.</w:t>
      </w:r>
    </w:p>
  </w:endnote>
  <w:endnote w:id="10">
    <w:p w14:paraId="022E7CB9" w14:textId="77777777" w:rsidR="000F1D48" w:rsidRPr="00A1335C" w:rsidRDefault="000F1D48" w:rsidP="00ED0990">
      <w:pPr>
        <w:pStyle w:val="EndnoteText"/>
        <w:spacing w:after="120"/>
        <w:ind w:left="567" w:hanging="567"/>
        <w:rPr>
          <w:rFonts w:cs="Arial"/>
          <w:sz w:val="21"/>
          <w:szCs w:val="21"/>
          <w:lang w:val="en-AU"/>
        </w:rPr>
      </w:pPr>
      <w:r w:rsidRPr="00A1335C">
        <w:rPr>
          <w:rStyle w:val="EndnoteReference"/>
          <w:rFonts w:cs="Arial"/>
          <w:sz w:val="21"/>
          <w:szCs w:val="21"/>
          <w:vertAlign w:val="baseline"/>
        </w:rPr>
        <w:endnoteRef/>
      </w:r>
      <w:r w:rsidRPr="00A1335C">
        <w:rPr>
          <w:rFonts w:cs="Arial"/>
          <w:sz w:val="21"/>
          <w:szCs w:val="21"/>
        </w:rPr>
        <w:t xml:space="preserve"> </w:t>
      </w:r>
      <w:r w:rsidRPr="00A1335C">
        <w:rPr>
          <w:rFonts w:cs="Arial"/>
          <w:sz w:val="21"/>
          <w:szCs w:val="21"/>
        </w:rPr>
        <w:tab/>
      </w:r>
      <w:r w:rsidRPr="00A1335C">
        <w:rPr>
          <w:rFonts w:cs="Arial"/>
          <w:sz w:val="21"/>
          <w:szCs w:val="21"/>
          <w:lang w:val="en-AU"/>
        </w:rPr>
        <w:t xml:space="preserve">Australian Accounting Standards Board. 2014, </w:t>
      </w:r>
      <w:r w:rsidRPr="00A1335C">
        <w:rPr>
          <w:rFonts w:cs="Arial"/>
          <w:i/>
          <w:sz w:val="21"/>
          <w:szCs w:val="21"/>
          <w:lang w:val="en-AU"/>
        </w:rPr>
        <w:t>AASB 138 Intangible assets</w:t>
      </w:r>
      <w:r w:rsidRPr="00A1335C">
        <w:rPr>
          <w:rFonts w:cs="Arial"/>
          <w:sz w:val="21"/>
          <w:szCs w:val="21"/>
          <w:lang w:val="en-AU"/>
        </w:rPr>
        <w:t xml:space="preserve">, </w:t>
      </w:r>
      <w:r w:rsidRPr="00A1335C">
        <w:rPr>
          <w:sz w:val="21"/>
          <w:szCs w:val="21"/>
        </w:rPr>
        <w:t>Commonwealth of Australia</w:t>
      </w:r>
      <w:r w:rsidRPr="00A1335C">
        <w:rPr>
          <w:rFonts w:cs="Arial"/>
          <w:sz w:val="21"/>
          <w:szCs w:val="21"/>
          <w:lang w:val="en-AU"/>
        </w:rPr>
        <w:t>, Melbourne.</w:t>
      </w:r>
    </w:p>
  </w:endnote>
  <w:endnote w:id="11">
    <w:p w14:paraId="4220B113" w14:textId="77777777" w:rsidR="000F1D48" w:rsidRPr="00A1335C" w:rsidRDefault="000F1D48" w:rsidP="00ED0990">
      <w:pPr>
        <w:pStyle w:val="EndnoteText"/>
        <w:spacing w:after="120"/>
        <w:ind w:left="567" w:hanging="567"/>
        <w:rPr>
          <w:rFonts w:cs="Arial"/>
          <w:sz w:val="21"/>
          <w:szCs w:val="21"/>
        </w:rPr>
      </w:pPr>
      <w:r w:rsidRPr="00A1335C">
        <w:rPr>
          <w:rStyle w:val="EndnoteReference"/>
          <w:rFonts w:cs="Arial"/>
          <w:sz w:val="21"/>
          <w:szCs w:val="21"/>
          <w:vertAlign w:val="baseline"/>
        </w:rPr>
        <w:endnoteRef/>
      </w:r>
      <w:r w:rsidRPr="00A1335C">
        <w:rPr>
          <w:rFonts w:cs="Arial"/>
          <w:sz w:val="21"/>
          <w:szCs w:val="21"/>
        </w:rPr>
        <w:t xml:space="preserve"> </w:t>
      </w:r>
      <w:r w:rsidRPr="00A1335C">
        <w:rPr>
          <w:rFonts w:cs="Arial"/>
          <w:sz w:val="21"/>
          <w:szCs w:val="21"/>
        </w:rPr>
        <w:tab/>
      </w:r>
      <w:r w:rsidRPr="00A1335C">
        <w:rPr>
          <w:rFonts w:cs="Arial"/>
          <w:i/>
          <w:sz w:val="21"/>
          <w:szCs w:val="21"/>
        </w:rPr>
        <w:t>Criminal Code Act 1995</w:t>
      </w:r>
      <w:r w:rsidRPr="00A1335C">
        <w:rPr>
          <w:rFonts w:cs="Arial"/>
          <w:sz w:val="21"/>
          <w:szCs w:val="21"/>
        </w:rPr>
        <w:t xml:space="preserve"> (Schedule Dictionary; s133.1 Definitions)</w:t>
      </w:r>
    </w:p>
  </w:endnote>
  <w:endnote w:id="12">
    <w:p w14:paraId="53D75F54" w14:textId="77777777" w:rsidR="000F1D48" w:rsidRPr="00A1335C" w:rsidRDefault="000F1D48" w:rsidP="00575808">
      <w:pPr>
        <w:pStyle w:val="EndnoteText"/>
        <w:spacing w:after="120"/>
        <w:ind w:left="567" w:hanging="567"/>
        <w:rPr>
          <w:rStyle w:val="EndnoteReference"/>
          <w:rFonts w:cs="Arial"/>
          <w:sz w:val="21"/>
          <w:szCs w:val="21"/>
          <w:vertAlign w:val="baseline"/>
        </w:rPr>
      </w:pPr>
      <w:r w:rsidRPr="00A1335C">
        <w:rPr>
          <w:rStyle w:val="EndnoteReference"/>
          <w:rFonts w:cs="Arial"/>
          <w:sz w:val="21"/>
          <w:szCs w:val="21"/>
          <w:vertAlign w:val="baseline"/>
        </w:rPr>
        <w:endnoteRef/>
      </w:r>
      <w:r w:rsidRPr="00A1335C">
        <w:rPr>
          <w:rStyle w:val="EndnoteReference"/>
          <w:rFonts w:cs="Arial"/>
          <w:sz w:val="21"/>
          <w:szCs w:val="21"/>
          <w:vertAlign w:val="baseline"/>
        </w:rPr>
        <w:tab/>
      </w:r>
      <w:r w:rsidRPr="00A1335C">
        <w:rPr>
          <w:rFonts w:cs="Arial"/>
          <w:sz w:val="21"/>
          <w:szCs w:val="21"/>
        </w:rPr>
        <w:t>Australian Bureau of Statistics. 2014,</w:t>
      </w:r>
      <w:r w:rsidRPr="00A1335C">
        <w:rPr>
          <w:rFonts w:cs="Arial"/>
          <w:i/>
          <w:sz w:val="21"/>
          <w:szCs w:val="21"/>
        </w:rPr>
        <w:t xml:space="preserve"> Government Finance Statistics, Australia (Glossary)</w:t>
      </w:r>
      <w:r w:rsidRPr="00A1335C">
        <w:rPr>
          <w:rFonts w:cs="Arial"/>
          <w:sz w:val="21"/>
          <w:szCs w:val="21"/>
        </w:rPr>
        <w:t>. Commonwealth of Australia, Canberra, viewed 21/04/2015 &lt;http://www.abs.gov.au/AUSSTATS/abs@.nsf/Latestproducts/5512.0Glossary12012-13?opendocument&amp;tabname=Notes&amp;prodno=5512.0&amp;issue=2012-13&amp;num=&amp;view=&gt;</w:t>
      </w:r>
    </w:p>
  </w:endnote>
  <w:endnote w:id="13">
    <w:p w14:paraId="04DEF393" w14:textId="77777777" w:rsidR="000F1D48" w:rsidRPr="00A1335C" w:rsidRDefault="000F1D48" w:rsidP="00ED0990">
      <w:pPr>
        <w:pStyle w:val="EndnoteText"/>
        <w:spacing w:after="120"/>
        <w:ind w:left="567" w:hanging="567"/>
        <w:rPr>
          <w:sz w:val="21"/>
          <w:szCs w:val="21"/>
          <w:lang w:val="en-AU"/>
        </w:rPr>
      </w:pPr>
      <w:r w:rsidRPr="00A1335C">
        <w:rPr>
          <w:rStyle w:val="EndnoteReference"/>
          <w:rFonts w:cs="Arial"/>
          <w:sz w:val="21"/>
          <w:szCs w:val="21"/>
          <w:vertAlign w:val="baseline"/>
        </w:rPr>
        <w:endnoteRef/>
      </w:r>
      <w:r w:rsidRPr="00A1335C">
        <w:rPr>
          <w:rStyle w:val="EndnoteReference"/>
          <w:rFonts w:cs="Arial"/>
          <w:sz w:val="21"/>
          <w:szCs w:val="21"/>
          <w:vertAlign w:val="baseline"/>
        </w:rPr>
        <w:t xml:space="preserve"> </w:t>
      </w:r>
      <w:r w:rsidRPr="00A1335C">
        <w:rPr>
          <w:rFonts w:cs="Arial"/>
          <w:sz w:val="21"/>
          <w:szCs w:val="21"/>
        </w:rPr>
        <w:tab/>
      </w:r>
      <w:r w:rsidRPr="00A1335C">
        <w:rPr>
          <w:rStyle w:val="EndnoteReference"/>
          <w:sz w:val="21"/>
          <w:szCs w:val="21"/>
          <w:vertAlign w:val="baseline"/>
        </w:rPr>
        <w:t xml:space="preserve">Australian Accounting Standards Board. 2014, </w:t>
      </w:r>
      <w:r w:rsidRPr="00A1335C">
        <w:rPr>
          <w:rStyle w:val="EndnoteReference"/>
          <w:i/>
          <w:sz w:val="21"/>
          <w:szCs w:val="21"/>
          <w:vertAlign w:val="baseline"/>
        </w:rPr>
        <w:t>AASB 13, Fair value measurement</w:t>
      </w:r>
      <w:r w:rsidRPr="00A1335C">
        <w:rPr>
          <w:rStyle w:val="EndnoteReference"/>
          <w:sz w:val="21"/>
          <w:szCs w:val="21"/>
          <w:vertAlign w:val="baseline"/>
        </w:rPr>
        <w:t xml:space="preserve">, </w:t>
      </w:r>
      <w:r w:rsidRPr="00A1335C">
        <w:rPr>
          <w:sz w:val="21"/>
          <w:szCs w:val="21"/>
        </w:rPr>
        <w:t>Commonwealth of Australia</w:t>
      </w:r>
      <w:r w:rsidRPr="00A1335C">
        <w:rPr>
          <w:rStyle w:val="EndnoteReference"/>
          <w:sz w:val="21"/>
          <w:szCs w:val="21"/>
          <w:vertAlign w:val="baseline"/>
        </w:rPr>
        <w:t>, Melbourne.</w:t>
      </w:r>
    </w:p>
  </w:endnote>
  <w:endnote w:id="14">
    <w:p w14:paraId="180B3E76" w14:textId="77777777" w:rsidR="000F1D48" w:rsidRPr="00A1335C" w:rsidRDefault="000F1D48" w:rsidP="00ED0990">
      <w:pPr>
        <w:pStyle w:val="EndnoteText"/>
        <w:spacing w:after="120"/>
        <w:ind w:left="567" w:hanging="567"/>
        <w:rPr>
          <w:rFonts w:cs="Arial"/>
          <w:sz w:val="21"/>
          <w:szCs w:val="21"/>
          <w:lang w:val="en-AU"/>
        </w:rPr>
      </w:pPr>
      <w:r w:rsidRPr="00A1335C">
        <w:rPr>
          <w:rStyle w:val="EndnoteReference"/>
          <w:rFonts w:cs="Arial"/>
          <w:sz w:val="21"/>
          <w:szCs w:val="21"/>
          <w:vertAlign w:val="baseline"/>
        </w:rPr>
        <w:endnoteRef/>
      </w:r>
      <w:r w:rsidRPr="00A1335C">
        <w:rPr>
          <w:rFonts w:cs="Arial"/>
          <w:sz w:val="21"/>
          <w:szCs w:val="21"/>
        </w:rPr>
        <w:t xml:space="preserve"> </w:t>
      </w:r>
      <w:r w:rsidRPr="00A1335C">
        <w:rPr>
          <w:rFonts w:cs="Arial"/>
          <w:sz w:val="21"/>
          <w:szCs w:val="21"/>
        </w:rPr>
        <w:tab/>
      </w:r>
      <w:r w:rsidRPr="00A1335C">
        <w:rPr>
          <w:rFonts w:cs="Arial"/>
          <w:sz w:val="21"/>
          <w:szCs w:val="21"/>
          <w:lang w:val="en-AU"/>
        </w:rPr>
        <w:t xml:space="preserve">Australian Accounting Standards Board. 2014, </w:t>
      </w:r>
      <w:r w:rsidRPr="00A1335C">
        <w:rPr>
          <w:rFonts w:cs="Arial"/>
          <w:i/>
          <w:sz w:val="21"/>
          <w:szCs w:val="21"/>
          <w:lang w:val="en-AU"/>
        </w:rPr>
        <w:t>AASB 102, Inventories</w:t>
      </w:r>
      <w:r w:rsidRPr="00A1335C">
        <w:rPr>
          <w:rFonts w:cs="Arial"/>
          <w:sz w:val="21"/>
          <w:szCs w:val="21"/>
          <w:lang w:val="en-AU"/>
        </w:rPr>
        <w:t xml:space="preserve">, </w:t>
      </w:r>
      <w:r w:rsidRPr="00A1335C">
        <w:rPr>
          <w:sz w:val="21"/>
          <w:szCs w:val="21"/>
        </w:rPr>
        <w:t>Commonwealth of Australia</w:t>
      </w:r>
      <w:r w:rsidRPr="00A1335C">
        <w:rPr>
          <w:rFonts w:cs="Arial"/>
          <w:sz w:val="21"/>
          <w:szCs w:val="21"/>
          <w:lang w:val="en-AU"/>
        </w:rPr>
        <w:t>, Melbourne.</w:t>
      </w:r>
    </w:p>
  </w:endnote>
  <w:endnote w:id="15">
    <w:p w14:paraId="0267F1A3" w14:textId="77777777" w:rsidR="000F1D48" w:rsidRPr="00A1335C" w:rsidRDefault="000F1D48" w:rsidP="00ED0990">
      <w:pPr>
        <w:pStyle w:val="EndnoteText"/>
        <w:spacing w:after="120"/>
        <w:ind w:left="567" w:hanging="567"/>
        <w:rPr>
          <w:rFonts w:cs="Arial"/>
          <w:sz w:val="21"/>
          <w:szCs w:val="21"/>
          <w:lang w:val="en-AU"/>
        </w:rPr>
      </w:pPr>
      <w:r w:rsidRPr="00A1335C">
        <w:rPr>
          <w:rStyle w:val="EndnoteReference"/>
          <w:rFonts w:cs="Arial"/>
          <w:sz w:val="21"/>
          <w:szCs w:val="21"/>
          <w:vertAlign w:val="baseline"/>
        </w:rPr>
        <w:endnoteRef/>
      </w:r>
      <w:r w:rsidRPr="00A1335C">
        <w:rPr>
          <w:rFonts w:cs="Arial"/>
          <w:sz w:val="21"/>
          <w:szCs w:val="21"/>
        </w:rPr>
        <w:tab/>
      </w:r>
      <w:r w:rsidRPr="00A1335C">
        <w:rPr>
          <w:rFonts w:cs="Arial"/>
          <w:sz w:val="21"/>
          <w:szCs w:val="21"/>
          <w:lang w:val="en-AU"/>
        </w:rPr>
        <w:t xml:space="preserve">Australian National Audit Office. 2010, </w:t>
      </w:r>
      <w:r w:rsidRPr="00A1335C">
        <w:rPr>
          <w:rFonts w:cs="Arial"/>
          <w:i/>
          <w:sz w:val="21"/>
          <w:szCs w:val="21"/>
          <w:lang w:val="en-AU"/>
        </w:rPr>
        <w:t>Better practice guide on the strategic and operational management of assets by public sector entities. Delivering agreed outcomes through an efficient and optimal asset base</w:t>
      </w:r>
      <w:r w:rsidRPr="00A1335C">
        <w:rPr>
          <w:rFonts w:cs="Arial"/>
          <w:sz w:val="21"/>
          <w:szCs w:val="21"/>
          <w:lang w:val="en-AU"/>
        </w:rPr>
        <w:t>, Commonwealth of Australia, Canberra.</w:t>
      </w:r>
    </w:p>
  </w:endnote>
  <w:endnote w:id="16">
    <w:p w14:paraId="49387577" w14:textId="77777777" w:rsidR="000F1D48" w:rsidRPr="00A1335C" w:rsidRDefault="000F1D48" w:rsidP="00ED0990">
      <w:pPr>
        <w:pStyle w:val="EndnoteText"/>
        <w:spacing w:after="120"/>
        <w:ind w:left="567" w:hanging="567"/>
        <w:rPr>
          <w:rStyle w:val="EndnoteReference"/>
          <w:rFonts w:cs="Arial"/>
          <w:sz w:val="21"/>
          <w:szCs w:val="21"/>
          <w:vertAlign w:val="baseline"/>
        </w:rPr>
      </w:pPr>
      <w:r w:rsidRPr="00A1335C">
        <w:rPr>
          <w:rStyle w:val="EndnoteReference"/>
          <w:rFonts w:cs="Arial"/>
          <w:sz w:val="21"/>
          <w:szCs w:val="21"/>
          <w:vertAlign w:val="baseline"/>
        </w:rPr>
        <w:endnoteRef/>
      </w:r>
      <w:r w:rsidRPr="00A1335C">
        <w:rPr>
          <w:rStyle w:val="EndnoteReference"/>
          <w:rFonts w:cs="Arial"/>
          <w:sz w:val="21"/>
          <w:szCs w:val="21"/>
          <w:vertAlign w:val="baseline"/>
        </w:rPr>
        <w:t xml:space="preserve"> </w:t>
      </w:r>
      <w:r w:rsidRPr="00A1335C">
        <w:rPr>
          <w:rFonts w:cs="Arial"/>
          <w:sz w:val="21"/>
          <w:szCs w:val="21"/>
        </w:rPr>
        <w:tab/>
        <w:t xml:space="preserve">Australian Accounting Standards Board. 2014, </w:t>
      </w:r>
      <w:r w:rsidRPr="00A1335C">
        <w:rPr>
          <w:rFonts w:cs="Arial"/>
          <w:i/>
          <w:sz w:val="21"/>
          <w:szCs w:val="21"/>
        </w:rPr>
        <w:t>AASB 137, Provisions, contingent liabilities and contingent assets</w:t>
      </w:r>
      <w:r w:rsidRPr="00A1335C">
        <w:rPr>
          <w:rFonts w:cs="Arial"/>
          <w:sz w:val="21"/>
          <w:szCs w:val="21"/>
        </w:rPr>
        <w:t xml:space="preserve">. </w:t>
      </w:r>
      <w:r w:rsidRPr="00A1335C">
        <w:rPr>
          <w:sz w:val="21"/>
          <w:szCs w:val="21"/>
        </w:rPr>
        <w:t>Commonwealth of Australia</w:t>
      </w:r>
      <w:r w:rsidRPr="00A1335C">
        <w:rPr>
          <w:rFonts w:cs="Arial"/>
          <w:sz w:val="21"/>
          <w:szCs w:val="21"/>
        </w:rPr>
        <w:t>, Melbourne.</w:t>
      </w:r>
    </w:p>
  </w:endnote>
  <w:endnote w:id="17">
    <w:p w14:paraId="20FB8A05" w14:textId="77777777" w:rsidR="000F1D48" w:rsidRPr="00A1335C" w:rsidRDefault="000F1D48" w:rsidP="00ED0990">
      <w:pPr>
        <w:pStyle w:val="EndnoteText"/>
        <w:spacing w:after="120"/>
        <w:ind w:left="567" w:hanging="567"/>
        <w:rPr>
          <w:rFonts w:cs="Arial"/>
          <w:sz w:val="21"/>
          <w:szCs w:val="21"/>
          <w:lang w:val="en-AU"/>
        </w:rPr>
      </w:pPr>
      <w:r w:rsidRPr="00A1335C">
        <w:rPr>
          <w:rStyle w:val="EndnoteReference"/>
          <w:rFonts w:cs="Arial"/>
          <w:sz w:val="21"/>
          <w:szCs w:val="21"/>
          <w:vertAlign w:val="baseline"/>
        </w:rPr>
        <w:endnoteRef/>
      </w:r>
      <w:r w:rsidRPr="00A1335C">
        <w:rPr>
          <w:rFonts w:cs="Arial"/>
          <w:sz w:val="21"/>
          <w:szCs w:val="21"/>
        </w:rPr>
        <w:t xml:space="preserve"> </w:t>
      </w:r>
      <w:r w:rsidRPr="00A1335C">
        <w:rPr>
          <w:rFonts w:cs="Arial"/>
          <w:sz w:val="21"/>
          <w:szCs w:val="21"/>
        </w:rPr>
        <w:tab/>
      </w:r>
      <w:r w:rsidRPr="00A1335C">
        <w:rPr>
          <w:rFonts w:cs="Arial"/>
          <w:sz w:val="21"/>
          <w:szCs w:val="21"/>
          <w:lang w:val="en-AU"/>
        </w:rPr>
        <w:t xml:space="preserve">Australian Accounting Standards Board. 2014, </w:t>
      </w:r>
      <w:r w:rsidRPr="00A1335C">
        <w:rPr>
          <w:rFonts w:cs="Arial"/>
          <w:i/>
          <w:sz w:val="21"/>
          <w:szCs w:val="21"/>
          <w:lang w:val="en-AU"/>
        </w:rPr>
        <w:t>AASB 116, Property, plant and equipment</w:t>
      </w:r>
      <w:r w:rsidRPr="00A1335C">
        <w:rPr>
          <w:rFonts w:cs="Arial"/>
          <w:sz w:val="21"/>
          <w:szCs w:val="21"/>
          <w:lang w:val="en-AU"/>
        </w:rPr>
        <w:t xml:space="preserve">, </w:t>
      </w:r>
      <w:r w:rsidRPr="00A1335C">
        <w:rPr>
          <w:sz w:val="21"/>
          <w:szCs w:val="21"/>
        </w:rPr>
        <w:t>Commonwealth of Australia</w:t>
      </w:r>
      <w:r w:rsidRPr="00A1335C">
        <w:rPr>
          <w:rFonts w:cs="Arial"/>
          <w:sz w:val="21"/>
          <w:szCs w:val="21"/>
          <w:lang w:val="en-AU"/>
        </w:rPr>
        <w:t>, Melbourne.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OGCKG+TimesNewRomanPSMT">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1251" w14:textId="77777777" w:rsidR="00A1335C" w:rsidRDefault="00A13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5B5" w14:textId="77777777" w:rsidR="00D437B5" w:rsidRDefault="00D437B5" w:rsidP="00D437B5">
    <w:pPr>
      <w:pStyle w:val="Footer"/>
      <w:pBdr>
        <w:top w:val="single" w:sz="4" w:space="1" w:color="D5DCE4" w:themeColor="text2" w:themeTint="33"/>
      </w:pBdr>
      <w:jc w:val="center"/>
      <w:rPr>
        <w:color w:val="7F7F7F" w:themeColor="text1" w:themeTint="80"/>
        <w:sz w:val="16"/>
        <w:szCs w:val="16"/>
      </w:rPr>
    </w:pPr>
    <w:r w:rsidRPr="00724A80">
      <w:rPr>
        <w:b/>
        <w:color w:val="7F7F7F" w:themeColor="text1" w:themeTint="80"/>
        <w:sz w:val="16"/>
        <w:szCs w:val="16"/>
      </w:rPr>
      <w:t>CAUTION</w:t>
    </w:r>
    <w:r>
      <w:rPr>
        <w:color w:val="7F7F7F" w:themeColor="text1" w:themeTint="80"/>
        <w:sz w:val="16"/>
        <w:szCs w:val="16"/>
      </w:rPr>
      <w:t>: Only the electronic copy of a document housed within the internal ‘</w:t>
    </w:r>
    <w:hyperlink r:id="rId1" w:history="1">
      <w:r w:rsidRPr="0081363E">
        <w:rPr>
          <w:rStyle w:val="Hyperlink"/>
          <w:sz w:val="16"/>
          <w:szCs w:val="16"/>
        </w:rPr>
        <w:t>Master Document List</w:t>
      </w:r>
    </w:hyperlink>
    <w:r>
      <w:rPr>
        <w:color w:val="7F7F7F" w:themeColor="text1" w:themeTint="80"/>
        <w:sz w:val="16"/>
        <w:szCs w:val="16"/>
      </w:rPr>
      <w:t>’ and external ‘</w:t>
    </w:r>
    <w:hyperlink r:id="rId2" w:tooltip="GBRMPA electronic library" w:history="1">
      <w:r w:rsidRPr="00DA304F">
        <w:rPr>
          <w:rStyle w:val="Hyperlink"/>
          <w:sz w:val="16"/>
          <w:szCs w:val="16"/>
        </w:rPr>
        <w:t>eLibrary</w:t>
      </w:r>
    </w:hyperlink>
    <w:r>
      <w:rPr>
        <w:color w:val="7F7F7F" w:themeColor="text1" w:themeTint="80"/>
        <w:sz w:val="16"/>
        <w:szCs w:val="16"/>
      </w:rPr>
      <w:t>’ is controlled.  Check the revision number of printed copies against these lists to verify currency.</w:t>
    </w:r>
  </w:p>
  <w:p w14:paraId="666B17A2" w14:textId="11A5805F" w:rsidR="00D437B5" w:rsidRPr="009063BB" w:rsidRDefault="00D437B5" w:rsidP="00D437B5">
    <w:pPr>
      <w:pStyle w:val="Footer"/>
      <w:tabs>
        <w:tab w:val="clear" w:pos="4513"/>
        <w:tab w:val="clear" w:pos="9026"/>
        <w:tab w:val="right" w:pos="9639"/>
      </w:tabs>
      <w:rPr>
        <w:i/>
        <w:color w:val="7F7F7F" w:themeColor="text1" w:themeTint="80"/>
        <w:sz w:val="14"/>
        <w:szCs w:val="14"/>
      </w:rPr>
    </w:pPr>
    <w:r>
      <w:rPr>
        <w:b/>
        <w:color w:val="7F7F7F" w:themeColor="text1" w:themeTint="80"/>
        <w:sz w:val="14"/>
        <w:szCs w:val="14"/>
      </w:rPr>
      <w:t>POLICY</w:t>
    </w:r>
    <w:r w:rsidRPr="009063BB">
      <w:rPr>
        <w:b/>
        <w:color w:val="7F7F7F" w:themeColor="text1" w:themeTint="80"/>
        <w:sz w:val="14"/>
        <w:szCs w:val="14"/>
      </w:rPr>
      <w:tab/>
    </w:r>
    <w:r w:rsidRPr="009063BB">
      <w:rPr>
        <w:color w:val="7F7F7F" w:themeColor="text1" w:themeTint="80"/>
        <w:sz w:val="14"/>
        <w:szCs w:val="14"/>
      </w:rPr>
      <w:t xml:space="preserve">Document </w:t>
    </w:r>
    <w:r>
      <w:rPr>
        <w:color w:val="7F7F7F" w:themeColor="text1" w:themeTint="80"/>
        <w:sz w:val="14"/>
        <w:szCs w:val="14"/>
      </w:rPr>
      <w:t>originator</w:t>
    </w:r>
    <w:r w:rsidRPr="009063BB">
      <w:rPr>
        <w:color w:val="7F7F7F" w:themeColor="text1" w:themeTint="80"/>
        <w:sz w:val="14"/>
        <w:szCs w:val="14"/>
      </w:rPr>
      <w:t xml:space="preserve">: </w:t>
    </w:r>
    <w:r>
      <w:rPr>
        <w:i/>
        <w:color w:val="7F7F7F" w:themeColor="text1" w:themeTint="80"/>
        <w:sz w:val="14"/>
        <w:szCs w:val="14"/>
      </w:rPr>
      <w:t>Finance Manager, Finance section</w:t>
    </w:r>
  </w:p>
  <w:p w14:paraId="35769B9C" w14:textId="508D8345" w:rsidR="00D437B5" w:rsidRPr="009063BB" w:rsidRDefault="00D437B5" w:rsidP="00D437B5">
    <w:pPr>
      <w:pStyle w:val="Footer"/>
      <w:tabs>
        <w:tab w:val="clear" w:pos="4513"/>
        <w:tab w:val="clear" w:pos="9026"/>
        <w:tab w:val="right" w:pos="9639"/>
      </w:tabs>
      <w:rPr>
        <w:rFonts w:cs="Arial"/>
        <w:iCs/>
        <w:color w:val="7F7F7F" w:themeColor="text1" w:themeTint="80"/>
        <w:spacing w:val="4"/>
        <w:sz w:val="14"/>
        <w:szCs w:val="14"/>
      </w:rPr>
    </w:pPr>
    <w:r w:rsidRPr="009063BB">
      <w:rPr>
        <w:rFonts w:cs="Arial"/>
        <w:iCs/>
        <w:color w:val="7F7F7F" w:themeColor="text1" w:themeTint="80"/>
        <w:spacing w:val="4"/>
        <w:sz w:val="14"/>
        <w:szCs w:val="14"/>
      </w:rPr>
      <w:t xml:space="preserve">Document No: </w:t>
    </w:r>
    <w:r>
      <w:rPr>
        <w:rFonts w:cs="Arial"/>
        <w:i/>
        <w:iCs/>
        <w:color w:val="7F7F7F" w:themeColor="text1" w:themeTint="80"/>
        <w:spacing w:val="4"/>
        <w:sz w:val="14"/>
        <w:szCs w:val="14"/>
      </w:rPr>
      <w:t>100411,</w:t>
    </w:r>
    <w:r w:rsidRPr="009063BB">
      <w:rPr>
        <w:rFonts w:cs="Arial"/>
        <w:iCs/>
        <w:color w:val="7F7F7F" w:themeColor="text1" w:themeTint="80"/>
        <w:spacing w:val="4"/>
        <w:sz w:val="14"/>
        <w:szCs w:val="14"/>
      </w:rPr>
      <w:t xml:space="preserve"> </w:t>
    </w:r>
    <w:r>
      <w:rPr>
        <w:rFonts w:cs="Arial"/>
        <w:iCs/>
        <w:color w:val="7F7F7F" w:themeColor="text1" w:themeTint="80"/>
        <w:spacing w:val="4"/>
        <w:sz w:val="14"/>
        <w:szCs w:val="14"/>
      </w:rPr>
      <w:t>r</w:t>
    </w:r>
    <w:r w:rsidRPr="009063BB">
      <w:rPr>
        <w:rFonts w:cs="Arial"/>
        <w:iCs/>
        <w:color w:val="7F7F7F" w:themeColor="text1" w:themeTint="80"/>
        <w:spacing w:val="4"/>
        <w:sz w:val="14"/>
        <w:szCs w:val="14"/>
      </w:rPr>
      <w:t xml:space="preserve">evision </w:t>
    </w:r>
    <w:r>
      <w:rPr>
        <w:rFonts w:cs="Arial"/>
        <w:i/>
        <w:iCs/>
        <w:color w:val="7F7F7F" w:themeColor="text1" w:themeTint="80"/>
        <w:spacing w:val="4"/>
        <w:sz w:val="14"/>
        <w:szCs w:val="14"/>
      </w:rPr>
      <w:t>1</w:t>
    </w:r>
    <w:r>
      <w:rPr>
        <w:rFonts w:cs="Arial"/>
        <w:i/>
        <w:iCs/>
        <w:color w:val="7F7F7F" w:themeColor="text1" w:themeTint="80"/>
        <w:spacing w:val="4"/>
        <w:sz w:val="14"/>
        <w:szCs w:val="14"/>
      </w:rPr>
      <w:tab/>
    </w:r>
    <w:r w:rsidRPr="009063BB">
      <w:rPr>
        <w:rFonts w:cs="Arial"/>
        <w:iCs/>
        <w:color w:val="7F7F7F" w:themeColor="text1" w:themeTint="80"/>
        <w:spacing w:val="4"/>
        <w:sz w:val="14"/>
        <w:szCs w:val="14"/>
      </w:rPr>
      <w:t>Approved by:</w:t>
    </w:r>
    <w:r>
      <w:rPr>
        <w:rFonts w:cs="Arial"/>
        <w:i/>
        <w:iCs/>
        <w:color w:val="7F7F7F" w:themeColor="text1" w:themeTint="80"/>
        <w:spacing w:val="4"/>
        <w:sz w:val="14"/>
        <w:szCs w:val="14"/>
      </w:rPr>
      <w:t xml:space="preserve"> </w:t>
    </w:r>
    <w:r>
      <w:rPr>
        <w:i/>
        <w:color w:val="7F7F7F" w:themeColor="text1" w:themeTint="80"/>
        <w:sz w:val="14"/>
        <w:szCs w:val="14"/>
      </w:rPr>
      <w:t>Chief Finance Officer</w:t>
    </w:r>
    <w:r>
      <w:rPr>
        <w:color w:val="7F7F7F" w:themeColor="text1" w:themeTint="80"/>
        <w:sz w:val="14"/>
        <w:szCs w:val="14"/>
      </w:rPr>
      <w:t>,</w:t>
    </w:r>
    <w:r>
      <w:rPr>
        <w:i/>
        <w:color w:val="7F7F7F" w:themeColor="text1" w:themeTint="80"/>
        <w:sz w:val="14"/>
        <w:szCs w:val="14"/>
      </w:rPr>
      <w:t xml:space="preserve"> </w:t>
    </w:r>
    <w:r w:rsidRPr="009063BB">
      <w:rPr>
        <w:color w:val="7F7F7F" w:themeColor="text1" w:themeTint="80"/>
        <w:sz w:val="14"/>
        <w:szCs w:val="14"/>
      </w:rPr>
      <w:t>on</w:t>
    </w:r>
    <w:r>
      <w:rPr>
        <w:i/>
        <w:color w:val="7F7F7F" w:themeColor="text1" w:themeTint="80"/>
        <w:sz w:val="14"/>
        <w:szCs w:val="14"/>
      </w:rPr>
      <w:t xml:space="preserve"> </w:t>
    </w:r>
    <w:sdt>
      <w:sdtPr>
        <w:rPr>
          <w:rFonts w:cs="Arial"/>
          <w:i/>
          <w:iCs/>
          <w:color w:val="7F7F7F" w:themeColor="text1" w:themeTint="80"/>
          <w:spacing w:val="4"/>
          <w:sz w:val="14"/>
          <w:szCs w:val="14"/>
        </w:rPr>
        <w:id w:val="1674835053"/>
        <w:placeholder>
          <w:docPart w:val="58FE7CD842D842A5B715D1D993CCF100"/>
        </w:placeholder>
        <w:date w:fullDate="2021-02-25T00:00:00Z">
          <w:dateFormat w:val="dd-MMM-yyyy"/>
          <w:lid w:val="en-AU"/>
          <w:storeMappedDataAs w:val="dateTime"/>
          <w:calendar w:val="gregorian"/>
        </w:date>
      </w:sdtPr>
      <w:sdtEndPr>
        <w:rPr>
          <w:spacing w:val="8"/>
        </w:rPr>
      </w:sdtEndPr>
      <w:sdtContent>
        <w:r>
          <w:rPr>
            <w:rFonts w:cs="Arial"/>
            <w:i/>
            <w:iCs/>
            <w:color w:val="7F7F7F" w:themeColor="text1" w:themeTint="80"/>
            <w:spacing w:val="4"/>
            <w:sz w:val="14"/>
            <w:szCs w:val="14"/>
            <w:lang w:val="en-AU"/>
          </w:rPr>
          <w:t>25-Feb-2021</w:t>
        </w:r>
      </w:sdtContent>
    </w:sdt>
  </w:p>
  <w:p w14:paraId="223C8FE2" w14:textId="3500F83C" w:rsidR="00D437B5" w:rsidRPr="009063BB" w:rsidRDefault="00D437B5" w:rsidP="00D437B5">
    <w:pPr>
      <w:pStyle w:val="Footer"/>
      <w:tabs>
        <w:tab w:val="clear" w:pos="4513"/>
        <w:tab w:val="clear" w:pos="9026"/>
        <w:tab w:val="right" w:pos="9638"/>
      </w:tabs>
      <w:rPr>
        <w:rFonts w:cs="Arial"/>
        <w:i/>
        <w:color w:val="7F7F7F" w:themeColor="text1" w:themeTint="80"/>
        <w:spacing w:val="4"/>
        <w:sz w:val="14"/>
        <w:szCs w:val="14"/>
      </w:rPr>
    </w:pPr>
    <w:r w:rsidRPr="009063BB">
      <w:rPr>
        <w:rFonts w:cs="Arial"/>
        <w:color w:val="7F7F7F" w:themeColor="text1" w:themeTint="80"/>
        <w:spacing w:val="4"/>
        <w:sz w:val="14"/>
        <w:szCs w:val="14"/>
      </w:rPr>
      <w:t>Replaces:</w:t>
    </w:r>
    <w:r>
      <w:rPr>
        <w:rFonts w:cs="Arial"/>
        <w:i/>
        <w:color w:val="7F7F7F" w:themeColor="text1" w:themeTint="80"/>
        <w:spacing w:val="4"/>
        <w:sz w:val="14"/>
        <w:szCs w:val="14"/>
      </w:rPr>
      <w:t xml:space="preserve"> Asset Management Policy and Plan v0 (then approved 21-Jan-2016)</w:t>
    </w:r>
    <w:r>
      <w:rPr>
        <w:rFonts w:cs="Arial"/>
        <w:i/>
        <w:color w:val="7F7F7F" w:themeColor="text1" w:themeTint="80"/>
        <w:spacing w:val="4"/>
        <w:sz w:val="14"/>
        <w:szCs w:val="14"/>
      </w:rPr>
      <w:tab/>
    </w:r>
    <w:r>
      <w:rPr>
        <w:rFonts w:cs="Arial"/>
        <w:color w:val="7F7F7F" w:themeColor="text1" w:themeTint="80"/>
        <w:spacing w:val="4"/>
        <w:sz w:val="14"/>
        <w:szCs w:val="14"/>
      </w:rPr>
      <w:t>Next review d</w:t>
    </w:r>
    <w:r w:rsidRPr="009063BB">
      <w:rPr>
        <w:rFonts w:cs="Arial"/>
        <w:iCs/>
        <w:color w:val="7F7F7F" w:themeColor="text1" w:themeTint="80"/>
        <w:spacing w:val="4"/>
        <w:sz w:val="14"/>
        <w:szCs w:val="14"/>
      </w:rPr>
      <w:t xml:space="preserve">ate: </w:t>
    </w:r>
    <w:sdt>
      <w:sdtPr>
        <w:rPr>
          <w:rFonts w:cs="Arial"/>
          <w:i/>
          <w:iCs/>
          <w:color w:val="7F7F7F" w:themeColor="text1" w:themeTint="80"/>
          <w:spacing w:val="4"/>
          <w:sz w:val="14"/>
          <w:szCs w:val="14"/>
        </w:rPr>
        <w:id w:val="1460530872"/>
        <w:placeholder>
          <w:docPart w:val="0DAA67CADD064538B19759DC28E1338E"/>
        </w:placeholder>
        <w:date w:fullDate="2026-02-25T00:00:00Z">
          <w:dateFormat w:val="dd-MMM-yyyy"/>
          <w:lid w:val="en-AU"/>
          <w:storeMappedDataAs w:val="dateTime"/>
          <w:calendar w:val="gregorian"/>
        </w:date>
      </w:sdtPr>
      <w:sdtEndPr>
        <w:rPr>
          <w:spacing w:val="8"/>
        </w:rPr>
      </w:sdtEndPr>
      <w:sdtContent>
        <w:r>
          <w:rPr>
            <w:rFonts w:cs="Arial"/>
            <w:i/>
            <w:iCs/>
            <w:color w:val="7F7F7F" w:themeColor="text1" w:themeTint="80"/>
            <w:spacing w:val="4"/>
            <w:sz w:val="14"/>
            <w:szCs w:val="14"/>
            <w:lang w:val="en-AU"/>
          </w:rPr>
          <w:t>25-Feb-2026</w:t>
        </w:r>
      </w:sdtContent>
    </w:sdt>
  </w:p>
  <w:p w14:paraId="08688D46" w14:textId="54541767" w:rsidR="00D437B5" w:rsidRPr="009063BB" w:rsidRDefault="00D437B5" w:rsidP="00D437B5">
    <w:pPr>
      <w:pStyle w:val="Footer"/>
      <w:tabs>
        <w:tab w:val="clear" w:pos="4513"/>
        <w:tab w:val="clear" w:pos="9026"/>
        <w:tab w:val="right" w:pos="9639"/>
      </w:tabs>
      <w:rPr>
        <w:rFonts w:cs="Arial"/>
        <w:i/>
        <w:iCs/>
        <w:color w:val="7F7F7F" w:themeColor="text1" w:themeTint="80"/>
        <w:spacing w:val="8"/>
        <w:sz w:val="14"/>
        <w:szCs w:val="14"/>
      </w:rPr>
    </w:pPr>
    <w:r w:rsidRPr="00CB16CA">
      <w:rPr>
        <w:rFonts w:cs="Arial"/>
        <w:spacing w:val="4"/>
        <w:sz w:val="18"/>
        <w:szCs w:val="14"/>
      </w:rPr>
      <w:t xml:space="preserve">Page </w:t>
    </w:r>
    <w:r w:rsidRPr="00CB16CA">
      <w:rPr>
        <w:rFonts w:cs="Arial"/>
        <w:b/>
        <w:spacing w:val="4"/>
        <w:sz w:val="18"/>
        <w:szCs w:val="14"/>
      </w:rPr>
      <w:fldChar w:fldCharType="begin"/>
    </w:r>
    <w:r w:rsidRPr="00CB16CA">
      <w:rPr>
        <w:rFonts w:cs="Arial"/>
        <w:b/>
        <w:spacing w:val="4"/>
        <w:sz w:val="18"/>
        <w:szCs w:val="14"/>
      </w:rPr>
      <w:instrText xml:space="preserve"> PAGE </w:instrText>
    </w:r>
    <w:r w:rsidRPr="00CB16CA">
      <w:rPr>
        <w:rFonts w:cs="Arial"/>
        <w:b/>
        <w:spacing w:val="4"/>
        <w:sz w:val="18"/>
        <w:szCs w:val="14"/>
      </w:rPr>
      <w:fldChar w:fldCharType="separate"/>
    </w:r>
    <w:r w:rsidR="003B4A8E">
      <w:rPr>
        <w:rFonts w:cs="Arial"/>
        <w:b/>
        <w:noProof/>
        <w:spacing w:val="4"/>
        <w:sz w:val="18"/>
        <w:szCs w:val="14"/>
      </w:rPr>
      <w:t>1</w:t>
    </w:r>
    <w:r w:rsidRPr="00CB16CA">
      <w:rPr>
        <w:rFonts w:cs="Arial"/>
        <w:b/>
        <w:spacing w:val="4"/>
        <w:sz w:val="18"/>
        <w:szCs w:val="14"/>
      </w:rPr>
      <w:fldChar w:fldCharType="end"/>
    </w:r>
    <w:r w:rsidRPr="00CB16CA">
      <w:rPr>
        <w:rFonts w:cs="Arial"/>
        <w:spacing w:val="4"/>
        <w:sz w:val="18"/>
        <w:szCs w:val="14"/>
      </w:rPr>
      <w:t xml:space="preserve"> of </w:t>
    </w:r>
    <w:r w:rsidRPr="00CB16CA">
      <w:rPr>
        <w:rFonts w:cs="Arial"/>
        <w:b/>
        <w:spacing w:val="4"/>
        <w:sz w:val="18"/>
        <w:szCs w:val="14"/>
      </w:rPr>
      <w:fldChar w:fldCharType="begin"/>
    </w:r>
    <w:r w:rsidRPr="00CB16CA">
      <w:rPr>
        <w:rFonts w:cs="Arial"/>
        <w:b/>
        <w:spacing w:val="4"/>
        <w:sz w:val="18"/>
        <w:szCs w:val="14"/>
      </w:rPr>
      <w:instrText xml:space="preserve"> NUMPAGES </w:instrText>
    </w:r>
    <w:r w:rsidRPr="00CB16CA">
      <w:rPr>
        <w:rFonts w:cs="Arial"/>
        <w:b/>
        <w:spacing w:val="4"/>
        <w:sz w:val="18"/>
        <w:szCs w:val="14"/>
      </w:rPr>
      <w:fldChar w:fldCharType="separate"/>
    </w:r>
    <w:r w:rsidR="003B4A8E">
      <w:rPr>
        <w:rFonts w:cs="Arial"/>
        <w:b/>
        <w:noProof/>
        <w:spacing w:val="4"/>
        <w:sz w:val="18"/>
        <w:szCs w:val="14"/>
      </w:rPr>
      <w:t>28</w:t>
    </w:r>
    <w:r w:rsidRPr="00CB16CA">
      <w:rPr>
        <w:rFonts w:cs="Arial"/>
        <w:b/>
        <w:spacing w:val="4"/>
        <w:sz w:val="18"/>
        <w:szCs w:val="14"/>
      </w:rPr>
      <w:fldChar w:fldCharType="end"/>
    </w:r>
    <w:r w:rsidRPr="009063BB">
      <w:rPr>
        <w:rFonts w:cs="Arial"/>
        <w:color w:val="7F7F7F" w:themeColor="text1" w:themeTint="80"/>
        <w:spacing w:val="4"/>
        <w:sz w:val="14"/>
        <w:szCs w:val="14"/>
      </w:rPr>
      <w:tab/>
    </w:r>
  </w:p>
  <w:sdt>
    <w:sdtPr>
      <w:rPr>
        <w:b/>
        <w:color w:val="FF0000"/>
        <w:sz w:val="26"/>
        <w:szCs w:val="26"/>
      </w:rPr>
      <w:id w:val="681247143"/>
      <w:placeholder>
        <w:docPart w:val="6D9D4DC7ADF64125A98F7A7CD8464F71"/>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p w14:paraId="6B74F77B" w14:textId="55411B72" w:rsidR="000F1D48" w:rsidRPr="00D437B5" w:rsidRDefault="00D437B5" w:rsidP="00D437B5">
        <w:pPr>
          <w:pStyle w:val="Header"/>
          <w:tabs>
            <w:tab w:val="center" w:pos="4820"/>
          </w:tabs>
          <w:jc w:val="center"/>
          <w:rPr>
            <w:b/>
            <w:color w:val="FF0000"/>
            <w:sz w:val="26"/>
            <w:szCs w:val="26"/>
          </w:rPr>
        </w:pPr>
        <w:r>
          <w:rPr>
            <w:b/>
            <w:color w:val="FF0000"/>
            <w:sz w:val="26"/>
            <w:szCs w:val="26"/>
          </w:rPr>
          <w:t>OFFICIAL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F780" w14:textId="77777777" w:rsidR="000F1D48" w:rsidRDefault="000F1D48" w:rsidP="00E27C6C">
    <w:pPr>
      <w:pStyle w:val="Footer"/>
      <w:jc w:val="center"/>
      <w:rPr>
        <w:color w:val="7F7F7F" w:themeColor="text1" w:themeTint="80"/>
        <w:sz w:val="16"/>
        <w:szCs w:val="16"/>
      </w:rPr>
    </w:pPr>
    <w:r>
      <w:rPr>
        <w:color w:val="7F7F7F" w:themeColor="text1" w:themeTint="80"/>
        <w:sz w:val="16"/>
        <w:szCs w:val="16"/>
      </w:rPr>
      <w:t>CAUTION: Only the electronic copy of a document linked to the ‘Master Document List” is controlled.  Check the version number of printed copies against this list to verify currency.</w:t>
    </w:r>
  </w:p>
  <w:p w14:paraId="6B74F781" w14:textId="77777777" w:rsidR="000F1D48" w:rsidRDefault="000F1D48" w:rsidP="00E27C6C">
    <w:pPr>
      <w:pStyle w:val="Footer"/>
      <w:jc w:val="center"/>
      <w:rPr>
        <w:color w:val="7F7F7F" w:themeColor="text1" w:themeTint="80"/>
        <w:sz w:val="16"/>
        <w:szCs w:val="16"/>
      </w:rPr>
    </w:pPr>
  </w:p>
  <w:p w14:paraId="6B74F782" w14:textId="77777777" w:rsidR="000F1D48" w:rsidRDefault="000F1D48" w:rsidP="00733704">
    <w:pPr>
      <w:pStyle w:val="Footer"/>
      <w:tabs>
        <w:tab w:val="clear" w:pos="4513"/>
        <w:tab w:val="right" w:pos="10348"/>
      </w:tabs>
      <w:rPr>
        <w:rFonts w:cs="Arial"/>
        <w:iCs/>
        <w:color w:val="7F7F7F" w:themeColor="text1" w:themeTint="80"/>
        <w:spacing w:val="4"/>
        <w:sz w:val="16"/>
        <w:szCs w:val="16"/>
      </w:rPr>
    </w:pPr>
    <w:r>
      <w:rPr>
        <w:b/>
        <w:color w:val="7F7F7F" w:themeColor="text1" w:themeTint="80"/>
        <w:sz w:val="16"/>
        <w:szCs w:val="16"/>
      </w:rPr>
      <w:t>POLICY</w:t>
    </w:r>
    <w:r>
      <w:rPr>
        <w:b/>
        <w:color w:val="7F7F7F" w:themeColor="text1" w:themeTint="80"/>
        <w:sz w:val="16"/>
        <w:szCs w:val="16"/>
      </w:rPr>
      <w:tab/>
    </w:r>
    <w:r w:rsidRPr="00B7713D">
      <w:rPr>
        <w:rFonts w:cs="Arial"/>
        <w:iCs/>
        <w:color w:val="7F7F7F" w:themeColor="text1" w:themeTint="80"/>
        <w:spacing w:val="4"/>
        <w:sz w:val="16"/>
        <w:szCs w:val="16"/>
      </w:rPr>
      <w:t>Document No:</w:t>
    </w:r>
    <w:r>
      <w:rPr>
        <w:rFonts w:cs="Arial"/>
        <w:iCs/>
        <w:color w:val="7F7F7F" w:themeColor="text1" w:themeTint="80"/>
        <w:spacing w:val="4"/>
        <w:sz w:val="16"/>
        <w:szCs w:val="16"/>
      </w:rPr>
      <w:t xml:space="preserve"> </w:t>
    </w:r>
    <w:sdt>
      <w:sdtPr>
        <w:rPr>
          <w:rFonts w:cs="Arial"/>
          <w:iCs/>
          <w:color w:val="7F7F7F" w:themeColor="text1" w:themeTint="80"/>
          <w:spacing w:val="4"/>
          <w:sz w:val="16"/>
          <w:szCs w:val="16"/>
        </w:rPr>
        <w:id w:val="1173605111"/>
        <w:temporary/>
        <w:showingPlcHdr/>
        <w:text w:multiLine="1"/>
      </w:sdtPr>
      <w:sdtEndPr/>
      <w:sdtContent>
        <w:r>
          <w:rPr>
            <w:rFonts w:cs="Arial"/>
            <w:iCs/>
            <w:color w:val="7F7F7F" w:themeColor="text1" w:themeTint="80"/>
            <w:spacing w:val="4"/>
            <w:sz w:val="16"/>
            <w:szCs w:val="16"/>
          </w:rPr>
          <w:t xml:space="preserve">     </w:t>
        </w:r>
      </w:sdtContent>
    </w:sdt>
    <w:r>
      <w:rPr>
        <w:rFonts w:cs="Arial"/>
        <w:iCs/>
        <w:color w:val="7F7F7F" w:themeColor="text1" w:themeTint="80"/>
        <w:spacing w:val="4"/>
        <w:sz w:val="16"/>
        <w:szCs w:val="16"/>
      </w:rPr>
      <w:t xml:space="preserve"> Revision: </w:t>
    </w:r>
    <w:sdt>
      <w:sdtPr>
        <w:rPr>
          <w:rFonts w:cs="Arial"/>
          <w:iCs/>
          <w:color w:val="7F7F7F" w:themeColor="text1" w:themeTint="80"/>
          <w:spacing w:val="4"/>
          <w:sz w:val="16"/>
          <w:szCs w:val="16"/>
        </w:rPr>
        <w:id w:val="1774668226"/>
        <w:temporary/>
        <w:showingPlcHdr/>
        <w:text w:multiLine="1"/>
      </w:sdtPr>
      <w:sdtEndPr/>
      <w:sdtContent>
        <w:r>
          <w:rPr>
            <w:rFonts w:cs="Arial"/>
            <w:iCs/>
            <w:color w:val="7F7F7F" w:themeColor="text1" w:themeTint="80"/>
            <w:spacing w:val="4"/>
            <w:sz w:val="16"/>
            <w:szCs w:val="16"/>
          </w:rPr>
          <w:t xml:space="preserve">     </w:t>
        </w:r>
      </w:sdtContent>
    </w:sdt>
  </w:p>
  <w:p w14:paraId="6B74F783" w14:textId="77F26551" w:rsidR="000F1D48" w:rsidRDefault="000F1D48" w:rsidP="00733704">
    <w:pPr>
      <w:pStyle w:val="Footer"/>
      <w:tabs>
        <w:tab w:val="clear" w:pos="4513"/>
        <w:tab w:val="right" w:pos="10348"/>
      </w:tabs>
      <w:rPr>
        <w:rFonts w:cs="Arial"/>
        <w:iCs/>
        <w:color w:val="7F7F7F" w:themeColor="text1" w:themeTint="80"/>
        <w:spacing w:val="4"/>
        <w:sz w:val="16"/>
        <w:szCs w:val="16"/>
      </w:rPr>
    </w:pPr>
    <w:r w:rsidRPr="0010657F">
      <w:rPr>
        <w:rFonts w:cs="Arial"/>
        <w:color w:val="7F7F7F" w:themeColor="text1" w:themeTint="80"/>
        <w:spacing w:val="4"/>
        <w:sz w:val="16"/>
        <w:szCs w:val="16"/>
      </w:rPr>
      <w:t xml:space="preserve">Page </w:t>
    </w:r>
    <w:r w:rsidRPr="0010657F">
      <w:rPr>
        <w:rFonts w:cs="Arial"/>
        <w:color w:val="7F7F7F" w:themeColor="text1" w:themeTint="80"/>
        <w:spacing w:val="4"/>
        <w:sz w:val="16"/>
        <w:szCs w:val="16"/>
      </w:rPr>
      <w:fldChar w:fldCharType="begin"/>
    </w:r>
    <w:r w:rsidRPr="0010657F">
      <w:rPr>
        <w:rFonts w:cs="Arial"/>
        <w:color w:val="7F7F7F" w:themeColor="text1" w:themeTint="80"/>
        <w:spacing w:val="4"/>
        <w:sz w:val="16"/>
        <w:szCs w:val="16"/>
      </w:rPr>
      <w:instrText xml:space="preserve"> PAGE </w:instrText>
    </w:r>
    <w:r w:rsidRPr="0010657F">
      <w:rPr>
        <w:rFonts w:cs="Arial"/>
        <w:color w:val="7F7F7F" w:themeColor="text1" w:themeTint="80"/>
        <w:spacing w:val="4"/>
        <w:sz w:val="16"/>
        <w:szCs w:val="16"/>
      </w:rPr>
      <w:fldChar w:fldCharType="separate"/>
    </w:r>
    <w:r>
      <w:rPr>
        <w:rFonts w:cs="Arial"/>
        <w:noProof/>
        <w:color w:val="7F7F7F" w:themeColor="text1" w:themeTint="80"/>
        <w:spacing w:val="4"/>
        <w:sz w:val="16"/>
        <w:szCs w:val="16"/>
      </w:rPr>
      <w:t>1</w:t>
    </w:r>
    <w:r w:rsidRPr="0010657F">
      <w:rPr>
        <w:rFonts w:cs="Arial"/>
        <w:color w:val="7F7F7F" w:themeColor="text1" w:themeTint="80"/>
        <w:spacing w:val="4"/>
        <w:sz w:val="16"/>
        <w:szCs w:val="16"/>
      </w:rPr>
      <w:fldChar w:fldCharType="end"/>
    </w:r>
    <w:r w:rsidRPr="0010657F">
      <w:rPr>
        <w:rFonts w:cs="Arial"/>
        <w:color w:val="7F7F7F" w:themeColor="text1" w:themeTint="80"/>
        <w:spacing w:val="4"/>
        <w:sz w:val="16"/>
        <w:szCs w:val="16"/>
      </w:rPr>
      <w:t xml:space="preserve"> of </w:t>
    </w:r>
    <w:r w:rsidRPr="0010657F">
      <w:rPr>
        <w:rFonts w:cs="Arial"/>
        <w:color w:val="7F7F7F" w:themeColor="text1" w:themeTint="80"/>
        <w:spacing w:val="4"/>
        <w:sz w:val="16"/>
        <w:szCs w:val="16"/>
      </w:rPr>
      <w:fldChar w:fldCharType="begin"/>
    </w:r>
    <w:r w:rsidRPr="0010657F">
      <w:rPr>
        <w:rFonts w:cs="Arial"/>
        <w:color w:val="7F7F7F" w:themeColor="text1" w:themeTint="80"/>
        <w:spacing w:val="4"/>
        <w:sz w:val="16"/>
        <w:szCs w:val="16"/>
      </w:rPr>
      <w:instrText xml:space="preserve"> NUMPAGES </w:instrText>
    </w:r>
    <w:r w:rsidRPr="0010657F">
      <w:rPr>
        <w:rFonts w:cs="Arial"/>
        <w:color w:val="7F7F7F" w:themeColor="text1" w:themeTint="80"/>
        <w:spacing w:val="4"/>
        <w:sz w:val="16"/>
        <w:szCs w:val="16"/>
      </w:rPr>
      <w:fldChar w:fldCharType="separate"/>
    </w:r>
    <w:r w:rsidR="00A1335C">
      <w:rPr>
        <w:rFonts w:cs="Arial"/>
        <w:noProof/>
        <w:color w:val="7F7F7F" w:themeColor="text1" w:themeTint="80"/>
        <w:spacing w:val="4"/>
        <w:sz w:val="16"/>
        <w:szCs w:val="16"/>
      </w:rPr>
      <w:t>28</w:t>
    </w:r>
    <w:r w:rsidRPr="0010657F">
      <w:rPr>
        <w:rFonts w:cs="Arial"/>
        <w:color w:val="7F7F7F" w:themeColor="text1" w:themeTint="80"/>
        <w:spacing w:val="4"/>
        <w:sz w:val="16"/>
        <w:szCs w:val="16"/>
      </w:rPr>
      <w:fldChar w:fldCharType="end"/>
    </w:r>
    <w:r>
      <w:rPr>
        <w:rFonts w:cs="Arial"/>
        <w:color w:val="7F7F7F" w:themeColor="text1" w:themeTint="80"/>
        <w:spacing w:val="4"/>
        <w:sz w:val="16"/>
        <w:szCs w:val="16"/>
      </w:rPr>
      <w:tab/>
    </w:r>
    <w:r w:rsidRPr="0010657F">
      <w:rPr>
        <w:rFonts w:cs="Arial"/>
        <w:iCs/>
        <w:color w:val="7F7F7F" w:themeColor="text1" w:themeTint="80"/>
        <w:spacing w:val="4"/>
        <w:sz w:val="16"/>
        <w:szCs w:val="16"/>
      </w:rPr>
      <w:t xml:space="preserve">Date: </w:t>
    </w:r>
    <w:sdt>
      <w:sdtPr>
        <w:rPr>
          <w:rFonts w:cs="Arial"/>
          <w:iCs/>
          <w:color w:val="7F7F7F" w:themeColor="text1" w:themeTint="80"/>
          <w:spacing w:val="4"/>
          <w:sz w:val="16"/>
          <w:szCs w:val="16"/>
        </w:rPr>
        <w:id w:val="-904449838"/>
        <w:showingPlcHdr/>
        <w:date>
          <w:dateFormat w:val="d-MMM-yy"/>
          <w:lid w:val="en-AU"/>
          <w:storeMappedDataAs w:val="dateTime"/>
          <w:calendar w:val="gregorian"/>
        </w:date>
      </w:sdtPr>
      <w:sdtEndPr>
        <w:rPr>
          <w:spacing w:val="8"/>
        </w:rPr>
      </w:sdtEndPr>
      <w:sdtContent>
        <w:r>
          <w:rPr>
            <w:rFonts w:cs="Arial"/>
            <w:iCs/>
            <w:color w:val="7F7F7F" w:themeColor="text1" w:themeTint="80"/>
            <w:spacing w:val="4"/>
            <w:sz w:val="16"/>
            <w:szCs w:val="16"/>
          </w:rPr>
          <w:t xml:space="preserve">     </w:t>
        </w:r>
      </w:sdtContent>
    </w:sdt>
  </w:p>
  <w:p w14:paraId="6B74F784" w14:textId="77777777" w:rsidR="000F1D48" w:rsidRPr="00022A2A" w:rsidRDefault="003B4A8E" w:rsidP="00733704">
    <w:pPr>
      <w:pStyle w:val="Footer"/>
      <w:tabs>
        <w:tab w:val="clear" w:pos="4513"/>
      </w:tabs>
      <w:jc w:val="center"/>
      <w:rPr>
        <w:color w:val="FF0000"/>
        <w:sz w:val="36"/>
        <w:szCs w:val="36"/>
      </w:rPr>
    </w:pPr>
    <w:sdt>
      <w:sdtPr>
        <w:rPr>
          <w:b/>
          <w:color w:val="FF0000"/>
          <w:sz w:val="36"/>
          <w:szCs w:val="36"/>
        </w:rPr>
        <w:id w:val="1242142769"/>
        <w:showingPlcHd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0F1D48">
          <w:rPr>
            <w:b/>
            <w:color w:val="FF0000"/>
            <w:sz w:val="36"/>
            <w:szCs w:val="3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C19E" w14:textId="77777777" w:rsidR="000F1D48" w:rsidRDefault="000F1D48" w:rsidP="00022A2A">
      <w:pPr>
        <w:spacing w:after="0"/>
      </w:pPr>
      <w:r>
        <w:separator/>
      </w:r>
    </w:p>
  </w:footnote>
  <w:footnote w:type="continuationSeparator" w:id="0">
    <w:p w14:paraId="07DF4BC2" w14:textId="77777777" w:rsidR="000F1D48" w:rsidRDefault="000F1D48" w:rsidP="00022A2A">
      <w:pPr>
        <w:spacing w:after="0"/>
      </w:pPr>
      <w:r>
        <w:continuationSeparator/>
      </w:r>
    </w:p>
  </w:footnote>
  <w:footnote w:type="continuationNotice" w:id="1">
    <w:p w14:paraId="47DA6676" w14:textId="77777777" w:rsidR="000F1D48" w:rsidRDefault="000F1D4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4403" w14:textId="77777777" w:rsidR="00A1335C" w:rsidRDefault="00A13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B573" w14:textId="2B4E28A3" w:rsidR="00D437B5" w:rsidRPr="00CB16CA" w:rsidRDefault="003B4A8E" w:rsidP="00B56FF2">
    <w:pPr>
      <w:pStyle w:val="Header"/>
      <w:tabs>
        <w:tab w:val="clear" w:pos="4513"/>
        <w:tab w:val="clear" w:pos="9026"/>
        <w:tab w:val="center" w:pos="4820"/>
        <w:tab w:val="right" w:pos="9638"/>
      </w:tabs>
      <w:jc w:val="center"/>
      <w:rPr>
        <w:b/>
        <w:color w:val="FF0000"/>
        <w:sz w:val="26"/>
        <w:szCs w:val="26"/>
      </w:rPr>
    </w:pPr>
    <w:sdt>
      <w:sdtPr>
        <w:rPr>
          <w:b/>
          <w:color w:val="FF0000"/>
          <w:sz w:val="26"/>
          <w:szCs w:val="26"/>
        </w:rPr>
        <w:id w:val="2040545263"/>
        <w:placeholder>
          <w:docPart w:val="830902B53DD745E58DAA6D890C95C31F"/>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D437B5">
          <w:rPr>
            <w:b/>
            <w:color w:val="FF0000"/>
            <w:sz w:val="26"/>
            <w:szCs w:val="26"/>
          </w:rPr>
          <w:t>OFFICIAL</w:t>
        </w:r>
      </w:sdtContent>
    </w:sdt>
  </w:p>
  <w:sdt>
    <w:sdtPr>
      <w:rPr>
        <w:sz w:val="28"/>
        <w:szCs w:val="28"/>
        <w:shd w:val="clear" w:color="auto" w:fill="D5DCE4" w:themeFill="text2" w:themeFillTint="33"/>
      </w:rPr>
      <w:id w:val="-537042007"/>
      <w:lock w:val="contentLocked"/>
      <w:placeholder>
        <w:docPart w:val="ED1DA570617D43A189328C7DD0251EA5"/>
      </w:placeholder>
      <w:group/>
    </w:sdtPr>
    <w:sdtEndPr/>
    <w:sdtContent>
      <w:p w14:paraId="7A2CE2C0" w14:textId="77777777" w:rsidR="00D437B5" w:rsidRPr="00F91193" w:rsidRDefault="00D437B5" w:rsidP="00B56FF2">
        <w:pPr>
          <w:pStyle w:val="Header"/>
          <w:shd w:val="clear" w:color="auto" w:fill="D5DCE4" w:themeFill="text2" w:themeFillTint="33"/>
          <w:tabs>
            <w:tab w:val="clear" w:pos="4513"/>
            <w:tab w:val="clear" w:pos="9026"/>
            <w:tab w:val="right" w:pos="9639"/>
          </w:tabs>
          <w:rPr>
            <w:spacing w:val="28"/>
            <w:sz w:val="16"/>
            <w:szCs w:val="16"/>
          </w:rPr>
        </w:pPr>
        <w:r w:rsidRPr="00CB16CA">
          <w:rPr>
            <w:noProof/>
            <w:sz w:val="28"/>
            <w:szCs w:val="28"/>
            <w:shd w:val="clear" w:color="auto" w:fill="D5DCE4" w:themeFill="text2" w:themeFillTint="33"/>
            <w:lang w:val="en-AU" w:eastAsia="en-AU"/>
          </w:rPr>
          <w:drawing>
            <wp:inline distT="0" distB="0" distL="0" distR="0" wp14:anchorId="233D9D89" wp14:editId="0DD16178">
              <wp:extent cx="2361600" cy="720000"/>
              <wp:effectExtent l="0" t="0" r="635" b="4445"/>
              <wp:docPr id="3" name="Picture 3"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CB16CA">
          <w:rPr>
            <w:sz w:val="28"/>
            <w:szCs w:val="28"/>
            <w:shd w:val="clear" w:color="auto" w:fill="D5DCE4" w:themeFill="text2" w:themeFillTint="33"/>
          </w:rPr>
          <w:tab/>
        </w:r>
        <w:r w:rsidRPr="00CB16CA">
          <w:rPr>
            <w:color w:val="000000" w:themeColor="text1"/>
            <w:sz w:val="28"/>
            <w:szCs w:val="28"/>
            <w:shd w:val="clear" w:color="auto" w:fill="D5DCE4" w:themeFill="text2" w:themeFillTint="33"/>
          </w:rPr>
          <w:t>INTERNAL POLICY</w:t>
        </w:r>
      </w:p>
    </w:sdtContent>
  </w:sdt>
  <w:p w14:paraId="2703E81F" w14:textId="77777777" w:rsidR="00D437B5" w:rsidRPr="00D71E25" w:rsidRDefault="00D437B5" w:rsidP="00B56FF2">
    <w:pPr>
      <w:pStyle w:val="Header"/>
      <w:tabs>
        <w:tab w:val="clear" w:pos="4513"/>
      </w:tabs>
      <w:rPr>
        <w:rFonts w:cs="Arial"/>
        <w:color w:val="1F4E79" w:themeColor="accent1" w:themeShade="80"/>
        <w:sz w:val="8"/>
        <w:szCs w:val="8"/>
      </w:rPr>
    </w:pPr>
  </w:p>
  <w:p w14:paraId="6B74F777" w14:textId="06522815" w:rsidR="000F1D48" w:rsidRPr="00D437B5" w:rsidRDefault="00D437B5" w:rsidP="00D437B5">
    <w:pPr>
      <w:pStyle w:val="Header"/>
      <w:tabs>
        <w:tab w:val="clear" w:pos="4513"/>
        <w:tab w:val="clear" w:pos="9026"/>
        <w:tab w:val="right" w:pos="9638"/>
      </w:tabs>
    </w:pPr>
    <w:r>
      <w:rPr>
        <w:rFonts w:cs="Arial"/>
        <w:b/>
        <w:color w:val="222A35" w:themeColor="text2" w:themeShade="80"/>
        <w:sz w:val="26"/>
        <w:szCs w:val="26"/>
      </w:rPr>
      <w:t>Asset Management Policy and Plan</w:t>
    </w:r>
    <w:r w:rsidRPr="00CB16CA">
      <w:rPr>
        <w:rFonts w:cs="Arial"/>
        <w:color w:val="222A35" w:themeColor="text2" w:themeShade="80"/>
        <w:sz w:val="26"/>
        <w:szCs w:val="26"/>
      </w:rPr>
      <w:t xml:space="preserve"> </w:t>
    </w:r>
    <w:r w:rsidRPr="00CB16CA">
      <w:rPr>
        <w:rFonts w:cs="Arial"/>
        <w:color w:val="222A35" w:themeColor="text2" w:themeShade="80"/>
      </w:rPr>
      <w:t xml:space="preserve">(Revision </w:t>
    </w:r>
    <w:r>
      <w:rPr>
        <w:rFonts w:cs="Arial"/>
        <w:color w:val="222A35" w:themeColor="text2" w:themeShade="80"/>
      </w:rPr>
      <w:t>1</w:t>
    </w:r>
    <w:r w:rsidRPr="00CB16CA">
      <w:rPr>
        <w:rFonts w:cs="Arial"/>
        <w:color w:val="222A35" w:themeColor="text2" w:themeShade="8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F77C" w14:textId="77777777" w:rsidR="000F1D48" w:rsidRDefault="003B4A8E" w:rsidP="00733704">
    <w:pPr>
      <w:pStyle w:val="Header"/>
      <w:jc w:val="center"/>
      <w:rPr>
        <w:color w:val="FF0000"/>
        <w:sz w:val="36"/>
        <w:szCs w:val="36"/>
      </w:rPr>
    </w:pPr>
    <w:sdt>
      <w:sdtPr>
        <w:rPr>
          <w:b/>
          <w:color w:val="FF0000"/>
          <w:sz w:val="36"/>
          <w:szCs w:val="36"/>
        </w:rPr>
        <w:id w:val="-919870144"/>
        <w:showingPlcHd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0F1D48">
          <w:rPr>
            <w:b/>
            <w:color w:val="FF0000"/>
            <w:sz w:val="36"/>
            <w:szCs w:val="36"/>
          </w:rPr>
          <w:t xml:space="preserve">     </w:t>
        </w:r>
      </w:sdtContent>
    </w:sdt>
  </w:p>
  <w:p w14:paraId="6B74F77D" w14:textId="77777777" w:rsidR="000F1D48" w:rsidRPr="00F91193" w:rsidRDefault="000F1D48" w:rsidP="00D71E25">
    <w:pPr>
      <w:pStyle w:val="Header"/>
      <w:shd w:val="clear" w:color="auto" w:fill="DEEAF6" w:themeFill="accent1" w:themeFillTint="33"/>
      <w:tabs>
        <w:tab w:val="clear" w:pos="4513"/>
      </w:tabs>
      <w:rPr>
        <w:spacing w:val="28"/>
        <w:sz w:val="16"/>
        <w:szCs w:val="16"/>
      </w:rPr>
    </w:pPr>
    <w:r w:rsidRPr="00F91193">
      <w:rPr>
        <w:noProof/>
        <w:sz w:val="28"/>
        <w:szCs w:val="28"/>
        <w:lang w:val="en-AU" w:eastAsia="en-AU"/>
      </w:rPr>
      <w:drawing>
        <wp:inline distT="0" distB="0" distL="0" distR="0" wp14:anchorId="6B74F78B" wp14:editId="6B74F78C">
          <wp:extent cx="2361600" cy="720000"/>
          <wp:effectExtent l="0" t="0" r="635" b="4445"/>
          <wp:docPr id="1" name="Picture 1"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F91193">
      <w:rPr>
        <w:sz w:val="28"/>
        <w:szCs w:val="28"/>
      </w:rPr>
      <w:tab/>
      <w:t>INTERNAL POLICY</w:t>
    </w:r>
  </w:p>
  <w:p w14:paraId="6B74F77E" w14:textId="77777777" w:rsidR="000F1D48" w:rsidRPr="00D71E25" w:rsidRDefault="000F1D48" w:rsidP="00D71E25">
    <w:pPr>
      <w:pStyle w:val="Header"/>
      <w:tabs>
        <w:tab w:val="clear" w:pos="4513"/>
      </w:tabs>
      <w:rPr>
        <w:rFonts w:cs="Arial"/>
        <w:color w:val="1F4E79" w:themeColor="accent1" w:themeShade="80"/>
        <w:sz w:val="8"/>
        <w:szCs w:val="8"/>
      </w:rPr>
    </w:pPr>
  </w:p>
  <w:p w14:paraId="6B74F77F" w14:textId="77777777" w:rsidR="000F1D48" w:rsidRPr="00471FC8" w:rsidRDefault="003B4A8E" w:rsidP="00733704">
    <w:pPr>
      <w:pStyle w:val="Header"/>
      <w:tabs>
        <w:tab w:val="clear" w:pos="4513"/>
      </w:tabs>
      <w:rPr>
        <w:rFonts w:cs="Arial"/>
        <w:color w:val="D5DCE4" w:themeColor="text2" w:themeTint="33"/>
      </w:rPr>
    </w:pPr>
    <w:sdt>
      <w:sdtPr>
        <w:rPr>
          <w:rFonts w:ascii="Arial Bold" w:hAnsi="Arial Bold"/>
          <w:b/>
          <w:color w:val="1F4E79" w:themeColor="accent1" w:themeShade="80"/>
          <w:sz w:val="26"/>
          <w:szCs w:val="26"/>
        </w:rPr>
        <w:id w:val="736297420"/>
        <w:temporary/>
        <w:showingPlcHdr/>
        <w:text w:multiLine="1"/>
      </w:sdtPr>
      <w:sdtEndPr/>
      <w:sdtContent>
        <w:r w:rsidR="000F1D48">
          <w:rPr>
            <w:rFonts w:ascii="Arial Bold" w:hAnsi="Arial Bold"/>
            <w:b/>
            <w:color w:val="1F4E79" w:themeColor="accent1" w:themeShade="80"/>
            <w:sz w:val="26"/>
            <w:szCs w:val="26"/>
          </w:rPr>
          <w:t xml:space="preserve">     </w:t>
        </w:r>
      </w:sdtContent>
    </w:sdt>
    <w:r w:rsidR="000F1D48">
      <w:rPr>
        <w:rFonts w:ascii="Arial Bold" w:hAnsi="Arial Bold"/>
        <w:b/>
        <w:color w:val="1F4E79" w:themeColor="accent1" w:themeShade="80"/>
        <w:sz w:val="26"/>
        <w:szCs w:val="26"/>
      </w:rPr>
      <w:t xml:space="preserve"> </w:t>
    </w:r>
    <w:r w:rsidR="000F1D48">
      <w:rPr>
        <w:rFonts w:cs="Arial"/>
        <w:b/>
        <w:color w:val="D5DCE4" w:themeColor="text2" w:themeTint="33"/>
      </w:rPr>
      <w:t>(</w:t>
    </w:r>
    <w:r w:rsidR="000F1D48" w:rsidRPr="00CD1C14">
      <w:rPr>
        <w:rFonts w:cs="Arial"/>
        <w:color w:val="D5DCE4" w:themeColor="text2" w:themeTint="33"/>
      </w:rPr>
      <w:t>Revision</w:t>
    </w:r>
    <w:r w:rsidR="000F1D48">
      <w:rPr>
        <w:rFonts w:cs="Arial"/>
        <w:color w:val="D5DCE4" w:themeColor="text2" w:themeTint="33"/>
      </w:rPr>
      <w:t xml:space="preserve"> </w:t>
    </w:r>
    <w:sdt>
      <w:sdtPr>
        <w:rPr>
          <w:rFonts w:cs="Arial"/>
          <w:color w:val="D5DCE4" w:themeColor="text2" w:themeTint="33"/>
        </w:rPr>
        <w:id w:val="938951295"/>
        <w:temporary/>
        <w:showingPlcHdr/>
        <w:text w:multiLine="1"/>
      </w:sdtPr>
      <w:sdtEndPr/>
      <w:sdtContent>
        <w:r w:rsidR="000F1D48">
          <w:rPr>
            <w:rFonts w:cs="Arial"/>
            <w:color w:val="D5DCE4" w:themeColor="text2" w:themeTint="33"/>
          </w:rPr>
          <w:t xml:space="preserve">     </w:t>
        </w:r>
      </w:sdtContent>
    </w:sdt>
    <w:r w:rsidR="000F1D48">
      <w:rPr>
        <w:rFonts w:cs="Arial"/>
        <w:color w:val="D5DCE4" w:themeColor="text2" w:themeTint="33"/>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2317" w14:textId="439734D1" w:rsidR="00D437B5" w:rsidRPr="00CB16CA" w:rsidRDefault="003B4A8E" w:rsidP="00D437B5">
    <w:pPr>
      <w:pStyle w:val="Header"/>
      <w:tabs>
        <w:tab w:val="clear" w:pos="4513"/>
        <w:tab w:val="clear" w:pos="9026"/>
        <w:tab w:val="center" w:pos="4820"/>
        <w:tab w:val="right" w:pos="9638"/>
      </w:tabs>
      <w:jc w:val="center"/>
      <w:rPr>
        <w:b/>
        <w:color w:val="FF0000"/>
        <w:sz w:val="26"/>
        <w:szCs w:val="26"/>
      </w:rPr>
    </w:pPr>
    <w:sdt>
      <w:sdtPr>
        <w:rPr>
          <w:b/>
          <w:color w:val="FF0000"/>
          <w:sz w:val="26"/>
          <w:szCs w:val="26"/>
        </w:rPr>
        <w:id w:val="-1813480762"/>
        <w:placeholder>
          <w:docPart w:val="DA9B52A60E46476EA92F49CA2F284A86"/>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D437B5">
          <w:rPr>
            <w:b/>
            <w:color w:val="FF0000"/>
            <w:sz w:val="26"/>
            <w:szCs w:val="26"/>
          </w:rPr>
          <w:t>OFFICIAL</w:t>
        </w:r>
      </w:sdtContent>
    </w:sdt>
  </w:p>
  <w:p w14:paraId="7BC11E3E" w14:textId="77777777" w:rsidR="00D437B5" w:rsidRPr="00FC51F4" w:rsidRDefault="00D437B5" w:rsidP="00D437B5">
    <w:pPr>
      <w:pStyle w:val="Header"/>
      <w:pBdr>
        <w:bottom w:val="single" w:sz="4" w:space="1" w:color="D5DCE4" w:themeColor="text2" w:themeTint="33"/>
      </w:pBdr>
      <w:tabs>
        <w:tab w:val="clear" w:pos="4513"/>
        <w:tab w:val="clear" w:pos="9026"/>
        <w:tab w:val="right" w:pos="9639"/>
      </w:tabs>
      <w:rPr>
        <w:rFonts w:cs="Arial"/>
        <w:color w:val="1F4E79" w:themeColor="accent1" w:themeShade="80"/>
        <w:sz w:val="15"/>
        <w:szCs w:val="15"/>
      </w:rPr>
    </w:pPr>
    <w:r w:rsidRPr="00FC51F4">
      <w:rPr>
        <w:rFonts w:cs="Arial"/>
        <w:b/>
        <w:color w:val="7F7F7F" w:themeColor="text1" w:themeTint="80"/>
        <w:sz w:val="15"/>
        <w:szCs w:val="15"/>
      </w:rPr>
      <w:t>Internal Policy</w:t>
    </w:r>
    <w:r w:rsidRPr="00FC51F4">
      <w:rPr>
        <w:rFonts w:cs="Arial"/>
        <w:b/>
        <w:color w:val="7F7F7F" w:themeColor="text1" w:themeTint="80"/>
        <w:sz w:val="15"/>
        <w:szCs w:val="15"/>
      </w:rPr>
      <w:tab/>
      <w:t>Great Barrier Reef Marine Park Authority</w:t>
    </w:r>
  </w:p>
  <w:p w14:paraId="6B74F788" w14:textId="47DCBBA3" w:rsidR="000F1D48" w:rsidRPr="00D437B5" w:rsidRDefault="00D437B5" w:rsidP="00D437B5">
    <w:pPr>
      <w:pStyle w:val="Header"/>
      <w:tabs>
        <w:tab w:val="clear" w:pos="4513"/>
        <w:tab w:val="clear" w:pos="9026"/>
        <w:tab w:val="right" w:pos="10348"/>
      </w:tabs>
      <w:spacing w:after="120"/>
      <w:rPr>
        <w:rFonts w:cs="Arial"/>
        <w:color w:val="D5DCE4" w:themeColor="text2" w:themeTint="33"/>
      </w:rPr>
    </w:pPr>
    <w:r>
      <w:rPr>
        <w:rFonts w:cs="Arial"/>
        <w:b/>
        <w:color w:val="D5DCE4" w:themeColor="text2" w:themeTint="33"/>
        <w:sz w:val="26"/>
        <w:szCs w:val="26"/>
      </w:rPr>
      <w:t>Asset management policy and plan</w:t>
    </w:r>
    <w:r w:rsidRPr="00CB16CA">
      <w:rPr>
        <w:rFonts w:cs="Arial"/>
        <w:color w:val="D5DCE4" w:themeColor="text2" w:themeTint="33"/>
        <w:sz w:val="26"/>
        <w:szCs w:val="26"/>
      </w:rPr>
      <w:t xml:space="preserve"> </w:t>
    </w:r>
    <w:r w:rsidRPr="00CB16CA">
      <w:rPr>
        <w:rFonts w:cs="Arial"/>
        <w:color w:val="D5DCE4" w:themeColor="text2" w:themeTint="33"/>
      </w:rPr>
      <w:t xml:space="preserve">(Revision </w:t>
    </w:r>
    <w:r>
      <w:rPr>
        <w:rFonts w:cs="Arial"/>
        <w:color w:val="D5DCE4" w:themeColor="text2" w:themeTint="33"/>
      </w:rPr>
      <w:t>1</w:t>
    </w:r>
    <w:r w:rsidRPr="00CB16CA">
      <w:rPr>
        <w:rFonts w:cs="Arial"/>
        <w:color w:val="D5DCE4" w:themeColor="text2" w:themeTint="3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93C2526"/>
    <w:lvl w:ilvl="0">
      <w:start w:val="2"/>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709"/>
      </w:pPr>
      <w:rPr>
        <w:rFonts w:hint="default"/>
      </w:rPr>
    </w:lvl>
    <w:lvl w:ilvl="3">
      <w:start w:val="1"/>
      <w:numFmt w:val="lowerRoman"/>
      <w:lvlText w:val="(%4)"/>
      <w:lvlJc w:val="left"/>
      <w:pPr>
        <w:tabs>
          <w:tab w:val="num" w:pos="2127"/>
        </w:tabs>
        <w:ind w:left="2127"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1" w:hanging="708"/>
      </w:pPr>
      <w:rPr>
        <w:rFonts w:hint="default"/>
      </w:rPr>
    </w:lvl>
    <w:lvl w:ilvl="8">
      <w:start w:val="1"/>
      <w:numFmt w:val="lowerRoman"/>
      <w:lvlText w:val="(%9)"/>
      <w:lvlJc w:val="left"/>
      <w:pPr>
        <w:tabs>
          <w:tab w:val="num" w:pos="0"/>
        </w:tabs>
        <w:ind w:left="6379" w:hanging="708"/>
      </w:pPr>
      <w:rPr>
        <w:rFonts w:hint="default"/>
      </w:rPr>
    </w:lvl>
  </w:abstractNum>
  <w:abstractNum w:abstractNumId="1" w15:restartNumberingAfterBreak="0">
    <w:nsid w:val="049D1891"/>
    <w:multiLevelType w:val="hybridMultilevel"/>
    <w:tmpl w:val="C5B670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2576E"/>
    <w:multiLevelType w:val="multilevel"/>
    <w:tmpl w:val="35C8C5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9A01A4"/>
    <w:multiLevelType w:val="hybridMultilevel"/>
    <w:tmpl w:val="3D30E4F2"/>
    <w:lvl w:ilvl="0" w:tplc="7A8CAEB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65AFC"/>
    <w:multiLevelType w:val="multilevel"/>
    <w:tmpl w:val="12B8602C"/>
    <w:numStyleLink w:val="Style1"/>
  </w:abstractNum>
  <w:abstractNum w:abstractNumId="5" w15:restartNumberingAfterBreak="0">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F423A2"/>
    <w:multiLevelType w:val="multilevel"/>
    <w:tmpl w:val="669E47A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AC038F"/>
    <w:multiLevelType w:val="multilevel"/>
    <w:tmpl w:val="479EF702"/>
    <w:lvl w:ilvl="0">
      <w:start w:val="1"/>
      <w:numFmt w:val="bullet"/>
      <w:lvlText w:val=""/>
      <w:lvlJc w:val="left"/>
      <w:pPr>
        <w:ind w:left="1701" w:hanging="567"/>
      </w:pPr>
      <w:rPr>
        <w:rFonts w:ascii="Symbol" w:hAnsi="Symbol" w:hint="default"/>
      </w:rPr>
    </w:lvl>
    <w:lvl w:ilvl="1">
      <w:start w:val="1"/>
      <w:numFmt w:val="decimal"/>
      <w:lvlText w:val="%1.%2."/>
      <w:lvlJc w:val="left"/>
      <w:pPr>
        <w:ind w:left="2268" w:hanging="567"/>
      </w:pPr>
      <w:rPr>
        <w:rFonts w:hint="default"/>
        <w:b w:val="0"/>
      </w:rPr>
    </w:lvl>
    <w:lvl w:ilvl="2">
      <w:start w:val="1"/>
      <w:numFmt w:val="decimal"/>
      <w:lvlText w:val="%1.%2.%3."/>
      <w:lvlJc w:val="left"/>
      <w:pPr>
        <w:ind w:left="3459" w:hanging="1191"/>
      </w:pPr>
      <w:rPr>
        <w:rFonts w:hint="default"/>
      </w:rPr>
    </w:lvl>
    <w:lvl w:ilvl="3">
      <w:start w:val="1"/>
      <w:numFmt w:val="decimal"/>
      <w:lvlText w:val="%1.%2.%3.%4."/>
      <w:lvlJc w:val="left"/>
      <w:pPr>
        <w:ind w:left="3686" w:hanging="567"/>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8" w15:restartNumberingAfterBreak="0">
    <w:nsid w:val="1A4D42E9"/>
    <w:multiLevelType w:val="hybridMultilevel"/>
    <w:tmpl w:val="64FA2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8E41F1"/>
    <w:multiLevelType w:val="multilevel"/>
    <w:tmpl w:val="12B8602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AD3FD6"/>
    <w:multiLevelType w:val="hybridMultilevel"/>
    <w:tmpl w:val="70783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697D9A"/>
    <w:multiLevelType w:val="hybridMultilevel"/>
    <w:tmpl w:val="DE18D52A"/>
    <w:lvl w:ilvl="0" w:tplc="0FE4FE7E">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B112D"/>
    <w:multiLevelType w:val="hybridMultilevel"/>
    <w:tmpl w:val="586EDAF8"/>
    <w:lvl w:ilvl="0" w:tplc="356A7B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92733C"/>
    <w:multiLevelType w:val="multilevel"/>
    <w:tmpl w:val="0E7E3550"/>
    <w:lvl w:ilvl="0">
      <w:start w:val="1"/>
      <w:numFmt w:val="bullet"/>
      <w:lvlText w:val=""/>
      <w:lvlJc w:val="left"/>
      <w:pPr>
        <w:ind w:left="567" w:hanging="567"/>
      </w:pPr>
      <w:rPr>
        <w:rFonts w:ascii="Symbol" w:hAnsi="Symbol"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E87D3C"/>
    <w:multiLevelType w:val="multilevel"/>
    <w:tmpl w:val="35C8C5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3B0EB6"/>
    <w:multiLevelType w:val="hybridMultilevel"/>
    <w:tmpl w:val="1FE261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833F49"/>
    <w:multiLevelType w:val="multilevel"/>
    <w:tmpl w:val="06FE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346CB"/>
    <w:multiLevelType w:val="hybridMultilevel"/>
    <w:tmpl w:val="FD62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5927C4"/>
    <w:multiLevelType w:val="multilevel"/>
    <w:tmpl w:val="12B8602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537C0E"/>
    <w:multiLevelType w:val="multilevel"/>
    <w:tmpl w:val="8980789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4A7668"/>
    <w:multiLevelType w:val="multilevel"/>
    <w:tmpl w:val="8980789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BD062D"/>
    <w:multiLevelType w:val="hybridMultilevel"/>
    <w:tmpl w:val="8F38C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2F74F5"/>
    <w:multiLevelType w:val="multilevel"/>
    <w:tmpl w:val="35C8C5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7A1E08"/>
    <w:multiLevelType w:val="multilevel"/>
    <w:tmpl w:val="FF12E0D0"/>
    <w:lvl w:ilvl="0">
      <w:start w:val="1"/>
      <w:numFmt w:val="bullet"/>
      <w:lvlText w:val=""/>
      <w:lvlJc w:val="left"/>
      <w:pPr>
        <w:ind w:left="2574" w:hanging="567"/>
      </w:pPr>
      <w:rPr>
        <w:rFonts w:ascii="Symbol" w:hAnsi="Symbol" w:hint="default"/>
      </w:rPr>
    </w:lvl>
    <w:lvl w:ilvl="1">
      <w:start w:val="1"/>
      <w:numFmt w:val="decimal"/>
      <w:lvlText w:val="%1.%2."/>
      <w:lvlJc w:val="left"/>
      <w:pPr>
        <w:ind w:left="3141" w:hanging="567"/>
      </w:pPr>
      <w:rPr>
        <w:rFonts w:hint="default"/>
        <w:b w:val="0"/>
      </w:rPr>
    </w:lvl>
    <w:lvl w:ilvl="2">
      <w:start w:val="1"/>
      <w:numFmt w:val="bullet"/>
      <w:lvlText w:val=""/>
      <w:lvlJc w:val="left"/>
      <w:pPr>
        <w:ind w:left="4332" w:hanging="1191"/>
      </w:pPr>
      <w:rPr>
        <w:rFonts w:ascii="Symbol" w:hAnsi="Symbol" w:hint="default"/>
      </w:rPr>
    </w:lvl>
    <w:lvl w:ilvl="3">
      <w:start w:val="1"/>
      <w:numFmt w:val="decimal"/>
      <w:lvlText w:val="%1.%2.%3.%4."/>
      <w:lvlJc w:val="left"/>
      <w:pPr>
        <w:ind w:left="4559" w:hanging="567"/>
      </w:pPr>
      <w:rPr>
        <w:rFonts w:hint="default"/>
      </w:rPr>
    </w:lvl>
    <w:lvl w:ilvl="4">
      <w:start w:val="1"/>
      <w:numFmt w:val="decimal"/>
      <w:lvlText w:val="%1.%2.%3.%4.%5."/>
      <w:lvlJc w:val="left"/>
      <w:pPr>
        <w:ind w:left="4239" w:hanging="792"/>
      </w:pPr>
      <w:rPr>
        <w:rFonts w:hint="default"/>
      </w:rPr>
    </w:lvl>
    <w:lvl w:ilvl="5">
      <w:start w:val="1"/>
      <w:numFmt w:val="decimal"/>
      <w:lvlText w:val="%1.%2.%3.%4.%5.%6."/>
      <w:lvlJc w:val="left"/>
      <w:pPr>
        <w:ind w:left="4743" w:hanging="936"/>
      </w:pPr>
      <w:rPr>
        <w:rFonts w:hint="default"/>
      </w:rPr>
    </w:lvl>
    <w:lvl w:ilvl="6">
      <w:start w:val="1"/>
      <w:numFmt w:val="decimal"/>
      <w:lvlText w:val="%1.%2.%3.%4.%5.%6.%7."/>
      <w:lvlJc w:val="left"/>
      <w:pPr>
        <w:ind w:left="5247" w:hanging="1080"/>
      </w:pPr>
      <w:rPr>
        <w:rFonts w:hint="default"/>
      </w:rPr>
    </w:lvl>
    <w:lvl w:ilvl="7">
      <w:start w:val="1"/>
      <w:numFmt w:val="decimal"/>
      <w:lvlText w:val="%1.%2.%3.%4.%5.%6.%7.%8."/>
      <w:lvlJc w:val="left"/>
      <w:pPr>
        <w:ind w:left="5751" w:hanging="1224"/>
      </w:pPr>
      <w:rPr>
        <w:rFonts w:hint="default"/>
      </w:rPr>
    </w:lvl>
    <w:lvl w:ilvl="8">
      <w:start w:val="1"/>
      <w:numFmt w:val="decimal"/>
      <w:lvlText w:val="%1.%2.%3.%4.%5.%6.%7.%8.%9."/>
      <w:lvlJc w:val="left"/>
      <w:pPr>
        <w:ind w:left="6327" w:hanging="1440"/>
      </w:pPr>
      <w:rPr>
        <w:rFonts w:hint="default"/>
      </w:rPr>
    </w:lvl>
  </w:abstractNum>
  <w:abstractNum w:abstractNumId="24" w15:restartNumberingAfterBreak="0">
    <w:nsid w:val="645A2B34"/>
    <w:multiLevelType w:val="multilevel"/>
    <w:tmpl w:val="FF12E0D0"/>
    <w:lvl w:ilvl="0">
      <w:start w:val="1"/>
      <w:numFmt w:val="bullet"/>
      <w:lvlText w:val=""/>
      <w:lvlJc w:val="left"/>
      <w:pPr>
        <w:ind w:left="2574" w:hanging="567"/>
      </w:pPr>
      <w:rPr>
        <w:rFonts w:ascii="Symbol" w:hAnsi="Symbol" w:hint="default"/>
      </w:rPr>
    </w:lvl>
    <w:lvl w:ilvl="1">
      <w:start w:val="1"/>
      <w:numFmt w:val="decimal"/>
      <w:lvlText w:val="%1.%2."/>
      <w:lvlJc w:val="left"/>
      <w:pPr>
        <w:ind w:left="3141" w:hanging="567"/>
      </w:pPr>
      <w:rPr>
        <w:rFonts w:hint="default"/>
        <w:b w:val="0"/>
      </w:rPr>
    </w:lvl>
    <w:lvl w:ilvl="2">
      <w:start w:val="1"/>
      <w:numFmt w:val="bullet"/>
      <w:lvlText w:val=""/>
      <w:lvlJc w:val="left"/>
      <w:pPr>
        <w:ind w:left="4332" w:hanging="1191"/>
      </w:pPr>
      <w:rPr>
        <w:rFonts w:ascii="Symbol" w:hAnsi="Symbol" w:hint="default"/>
      </w:rPr>
    </w:lvl>
    <w:lvl w:ilvl="3">
      <w:start w:val="1"/>
      <w:numFmt w:val="decimal"/>
      <w:lvlText w:val="%1.%2.%3.%4."/>
      <w:lvlJc w:val="left"/>
      <w:pPr>
        <w:ind w:left="4559" w:hanging="567"/>
      </w:pPr>
      <w:rPr>
        <w:rFonts w:hint="default"/>
      </w:rPr>
    </w:lvl>
    <w:lvl w:ilvl="4">
      <w:start w:val="1"/>
      <w:numFmt w:val="decimal"/>
      <w:lvlText w:val="%1.%2.%3.%4.%5."/>
      <w:lvlJc w:val="left"/>
      <w:pPr>
        <w:ind w:left="4239" w:hanging="792"/>
      </w:pPr>
      <w:rPr>
        <w:rFonts w:hint="default"/>
      </w:rPr>
    </w:lvl>
    <w:lvl w:ilvl="5">
      <w:start w:val="1"/>
      <w:numFmt w:val="decimal"/>
      <w:lvlText w:val="%1.%2.%3.%4.%5.%6."/>
      <w:lvlJc w:val="left"/>
      <w:pPr>
        <w:ind w:left="4743" w:hanging="936"/>
      </w:pPr>
      <w:rPr>
        <w:rFonts w:hint="default"/>
      </w:rPr>
    </w:lvl>
    <w:lvl w:ilvl="6">
      <w:start w:val="1"/>
      <w:numFmt w:val="decimal"/>
      <w:lvlText w:val="%1.%2.%3.%4.%5.%6.%7."/>
      <w:lvlJc w:val="left"/>
      <w:pPr>
        <w:ind w:left="5247" w:hanging="1080"/>
      </w:pPr>
      <w:rPr>
        <w:rFonts w:hint="default"/>
      </w:rPr>
    </w:lvl>
    <w:lvl w:ilvl="7">
      <w:start w:val="1"/>
      <w:numFmt w:val="decimal"/>
      <w:lvlText w:val="%1.%2.%3.%4.%5.%6.%7.%8."/>
      <w:lvlJc w:val="left"/>
      <w:pPr>
        <w:ind w:left="5751" w:hanging="1224"/>
      </w:pPr>
      <w:rPr>
        <w:rFonts w:hint="default"/>
      </w:rPr>
    </w:lvl>
    <w:lvl w:ilvl="8">
      <w:start w:val="1"/>
      <w:numFmt w:val="decimal"/>
      <w:lvlText w:val="%1.%2.%3.%4.%5.%6.%7.%8.%9."/>
      <w:lvlJc w:val="left"/>
      <w:pPr>
        <w:ind w:left="6327" w:hanging="1440"/>
      </w:pPr>
      <w:rPr>
        <w:rFonts w:hint="default"/>
      </w:rPr>
    </w:lvl>
  </w:abstractNum>
  <w:abstractNum w:abstractNumId="25" w15:restartNumberingAfterBreak="0">
    <w:nsid w:val="673B03A5"/>
    <w:multiLevelType w:val="multilevel"/>
    <w:tmpl w:val="FF12E0D0"/>
    <w:lvl w:ilvl="0">
      <w:start w:val="1"/>
      <w:numFmt w:val="bullet"/>
      <w:lvlText w:val=""/>
      <w:lvlJc w:val="left"/>
      <w:pPr>
        <w:ind w:left="2574" w:hanging="567"/>
      </w:pPr>
      <w:rPr>
        <w:rFonts w:ascii="Symbol" w:hAnsi="Symbol" w:hint="default"/>
      </w:rPr>
    </w:lvl>
    <w:lvl w:ilvl="1">
      <w:start w:val="1"/>
      <w:numFmt w:val="decimal"/>
      <w:lvlText w:val="%1.%2."/>
      <w:lvlJc w:val="left"/>
      <w:pPr>
        <w:ind w:left="3141" w:hanging="567"/>
      </w:pPr>
      <w:rPr>
        <w:rFonts w:hint="default"/>
        <w:b w:val="0"/>
      </w:rPr>
    </w:lvl>
    <w:lvl w:ilvl="2">
      <w:start w:val="1"/>
      <w:numFmt w:val="bullet"/>
      <w:lvlText w:val=""/>
      <w:lvlJc w:val="left"/>
      <w:pPr>
        <w:ind w:left="4332" w:hanging="1191"/>
      </w:pPr>
      <w:rPr>
        <w:rFonts w:ascii="Symbol" w:hAnsi="Symbol" w:hint="default"/>
      </w:rPr>
    </w:lvl>
    <w:lvl w:ilvl="3">
      <w:start w:val="1"/>
      <w:numFmt w:val="decimal"/>
      <w:lvlText w:val="%1.%2.%3.%4."/>
      <w:lvlJc w:val="left"/>
      <w:pPr>
        <w:ind w:left="4559" w:hanging="567"/>
      </w:pPr>
      <w:rPr>
        <w:rFonts w:hint="default"/>
      </w:rPr>
    </w:lvl>
    <w:lvl w:ilvl="4">
      <w:start w:val="1"/>
      <w:numFmt w:val="decimal"/>
      <w:lvlText w:val="%1.%2.%3.%4.%5."/>
      <w:lvlJc w:val="left"/>
      <w:pPr>
        <w:ind w:left="4239" w:hanging="792"/>
      </w:pPr>
      <w:rPr>
        <w:rFonts w:hint="default"/>
      </w:rPr>
    </w:lvl>
    <w:lvl w:ilvl="5">
      <w:start w:val="1"/>
      <w:numFmt w:val="decimal"/>
      <w:lvlText w:val="%1.%2.%3.%4.%5.%6."/>
      <w:lvlJc w:val="left"/>
      <w:pPr>
        <w:ind w:left="4743" w:hanging="936"/>
      </w:pPr>
      <w:rPr>
        <w:rFonts w:hint="default"/>
      </w:rPr>
    </w:lvl>
    <w:lvl w:ilvl="6">
      <w:start w:val="1"/>
      <w:numFmt w:val="decimal"/>
      <w:lvlText w:val="%1.%2.%3.%4.%5.%6.%7."/>
      <w:lvlJc w:val="left"/>
      <w:pPr>
        <w:ind w:left="5247" w:hanging="1080"/>
      </w:pPr>
      <w:rPr>
        <w:rFonts w:hint="default"/>
      </w:rPr>
    </w:lvl>
    <w:lvl w:ilvl="7">
      <w:start w:val="1"/>
      <w:numFmt w:val="decimal"/>
      <w:lvlText w:val="%1.%2.%3.%4.%5.%6.%7.%8."/>
      <w:lvlJc w:val="left"/>
      <w:pPr>
        <w:ind w:left="5751" w:hanging="1224"/>
      </w:pPr>
      <w:rPr>
        <w:rFonts w:hint="default"/>
      </w:rPr>
    </w:lvl>
    <w:lvl w:ilvl="8">
      <w:start w:val="1"/>
      <w:numFmt w:val="decimal"/>
      <w:lvlText w:val="%1.%2.%3.%4.%5.%6.%7.%8.%9."/>
      <w:lvlJc w:val="left"/>
      <w:pPr>
        <w:ind w:left="6327" w:hanging="1440"/>
      </w:pPr>
      <w:rPr>
        <w:rFonts w:hint="default"/>
      </w:rPr>
    </w:lvl>
  </w:abstractNum>
  <w:abstractNum w:abstractNumId="26" w15:restartNumberingAfterBreak="0">
    <w:nsid w:val="6A4E7E83"/>
    <w:multiLevelType w:val="multilevel"/>
    <w:tmpl w:val="FF12E0D0"/>
    <w:lvl w:ilvl="0">
      <w:start w:val="1"/>
      <w:numFmt w:val="bullet"/>
      <w:lvlText w:val=""/>
      <w:lvlJc w:val="left"/>
      <w:pPr>
        <w:ind w:left="2574" w:hanging="567"/>
      </w:pPr>
      <w:rPr>
        <w:rFonts w:ascii="Symbol" w:hAnsi="Symbol" w:hint="default"/>
      </w:rPr>
    </w:lvl>
    <w:lvl w:ilvl="1">
      <w:start w:val="1"/>
      <w:numFmt w:val="decimal"/>
      <w:lvlText w:val="%1.%2."/>
      <w:lvlJc w:val="left"/>
      <w:pPr>
        <w:ind w:left="3141" w:hanging="567"/>
      </w:pPr>
      <w:rPr>
        <w:rFonts w:hint="default"/>
        <w:b w:val="0"/>
      </w:rPr>
    </w:lvl>
    <w:lvl w:ilvl="2">
      <w:start w:val="1"/>
      <w:numFmt w:val="bullet"/>
      <w:lvlText w:val=""/>
      <w:lvlJc w:val="left"/>
      <w:pPr>
        <w:ind w:left="4332" w:hanging="1191"/>
      </w:pPr>
      <w:rPr>
        <w:rFonts w:ascii="Symbol" w:hAnsi="Symbol" w:hint="default"/>
      </w:rPr>
    </w:lvl>
    <w:lvl w:ilvl="3">
      <w:start w:val="1"/>
      <w:numFmt w:val="decimal"/>
      <w:lvlText w:val="%1.%2.%3.%4."/>
      <w:lvlJc w:val="left"/>
      <w:pPr>
        <w:ind w:left="4559" w:hanging="567"/>
      </w:pPr>
      <w:rPr>
        <w:rFonts w:hint="default"/>
      </w:rPr>
    </w:lvl>
    <w:lvl w:ilvl="4">
      <w:start w:val="1"/>
      <w:numFmt w:val="decimal"/>
      <w:lvlText w:val="%1.%2.%3.%4.%5."/>
      <w:lvlJc w:val="left"/>
      <w:pPr>
        <w:ind w:left="4239" w:hanging="792"/>
      </w:pPr>
      <w:rPr>
        <w:rFonts w:hint="default"/>
      </w:rPr>
    </w:lvl>
    <w:lvl w:ilvl="5">
      <w:start w:val="1"/>
      <w:numFmt w:val="decimal"/>
      <w:lvlText w:val="%1.%2.%3.%4.%5.%6."/>
      <w:lvlJc w:val="left"/>
      <w:pPr>
        <w:ind w:left="4743" w:hanging="936"/>
      </w:pPr>
      <w:rPr>
        <w:rFonts w:hint="default"/>
      </w:rPr>
    </w:lvl>
    <w:lvl w:ilvl="6">
      <w:start w:val="1"/>
      <w:numFmt w:val="decimal"/>
      <w:lvlText w:val="%1.%2.%3.%4.%5.%6.%7."/>
      <w:lvlJc w:val="left"/>
      <w:pPr>
        <w:ind w:left="5247" w:hanging="1080"/>
      </w:pPr>
      <w:rPr>
        <w:rFonts w:hint="default"/>
      </w:rPr>
    </w:lvl>
    <w:lvl w:ilvl="7">
      <w:start w:val="1"/>
      <w:numFmt w:val="decimal"/>
      <w:lvlText w:val="%1.%2.%3.%4.%5.%6.%7.%8."/>
      <w:lvlJc w:val="left"/>
      <w:pPr>
        <w:ind w:left="5751" w:hanging="1224"/>
      </w:pPr>
      <w:rPr>
        <w:rFonts w:hint="default"/>
      </w:rPr>
    </w:lvl>
    <w:lvl w:ilvl="8">
      <w:start w:val="1"/>
      <w:numFmt w:val="decimal"/>
      <w:lvlText w:val="%1.%2.%3.%4.%5.%6.%7.%8.%9."/>
      <w:lvlJc w:val="left"/>
      <w:pPr>
        <w:ind w:left="6327" w:hanging="1440"/>
      </w:pPr>
      <w:rPr>
        <w:rFonts w:hint="default"/>
      </w:rPr>
    </w:lvl>
  </w:abstractNum>
  <w:abstractNum w:abstractNumId="27" w15:restartNumberingAfterBreak="0">
    <w:nsid w:val="73A26243"/>
    <w:multiLevelType w:val="hybridMultilevel"/>
    <w:tmpl w:val="B184A6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63383C"/>
    <w:multiLevelType w:val="multilevel"/>
    <w:tmpl w:val="0BA4CCB2"/>
    <w:lvl w:ilvl="0">
      <w:start w:val="24"/>
      <w:numFmt w:val="decimal"/>
      <w:lvlText w:val="%1"/>
      <w:lvlJc w:val="left"/>
      <w:pPr>
        <w:ind w:left="420" w:hanging="420"/>
      </w:pPr>
      <w:rPr>
        <w:rFonts w:hint="default"/>
      </w:rPr>
    </w:lvl>
    <w:lvl w:ilvl="1">
      <w:start w:val="3"/>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A57103"/>
    <w:multiLevelType w:val="multilevel"/>
    <w:tmpl w:val="35C8C5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CC175B"/>
    <w:multiLevelType w:val="hybridMultilevel"/>
    <w:tmpl w:val="1FA2CDE6"/>
    <w:lvl w:ilvl="0" w:tplc="356A7BD4">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0"/>
  </w:num>
  <w:num w:numId="6">
    <w:abstractNumId w:val="4"/>
    <w:lvlOverride w:ilvl="0">
      <w:lvl w:ilvl="0">
        <w:start w:val="1"/>
        <w:numFmt w:val="decimal"/>
        <w:lvlText w:val="%1."/>
        <w:lvlJc w:val="left"/>
        <w:pPr>
          <w:ind w:left="567" w:hanging="567"/>
        </w:pPr>
        <w:rPr>
          <w:rFonts w:hint="default"/>
          <w:b w:val="0"/>
          <w:i w:val="0"/>
          <w:strike w:val="0"/>
        </w:rPr>
      </w:lvl>
    </w:lvlOverride>
  </w:num>
  <w:num w:numId="7">
    <w:abstractNumId w:val="18"/>
  </w:num>
  <w:num w:numId="8">
    <w:abstractNumId w:val="7"/>
  </w:num>
  <w:num w:numId="9">
    <w:abstractNumId w:val="9"/>
  </w:num>
  <w:num w:numId="10">
    <w:abstractNumId w:val="25"/>
  </w:num>
  <w:num w:numId="11">
    <w:abstractNumId w:val="26"/>
  </w:num>
  <w:num w:numId="12">
    <w:abstractNumId w:val="24"/>
  </w:num>
  <w:num w:numId="13">
    <w:abstractNumId w:val="23"/>
  </w:num>
  <w:num w:numId="14">
    <w:abstractNumId w:val="4"/>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b w:val="0"/>
        </w:rPr>
      </w:lvl>
    </w:lvlOverride>
    <w:lvlOverride w:ilvl="2">
      <w:lvl w:ilvl="2">
        <w:start w:val="1"/>
        <w:numFmt w:val="decimal"/>
        <w:lvlText w:val="%1.%2.%3."/>
        <w:lvlJc w:val="left"/>
        <w:pPr>
          <w:ind w:left="2325" w:hanging="1191"/>
        </w:pPr>
        <w:rPr>
          <w:rFonts w:hint="default"/>
        </w:rPr>
      </w:lvl>
    </w:lvlOverride>
    <w:lvlOverride w:ilvl="3">
      <w:lvl w:ilvl="3">
        <w:start w:val="1"/>
        <w:numFmt w:val="decimal"/>
        <w:lvlText w:val="%1.%2.%3.%4."/>
        <w:lvlJc w:val="left"/>
        <w:pPr>
          <w:ind w:left="2552"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num>
  <w:num w:numId="16">
    <w:abstractNumId w:val="11"/>
  </w:num>
  <w:num w:numId="17">
    <w:abstractNumId w:val="30"/>
  </w:num>
  <w:num w:numId="18">
    <w:abstractNumId w:val="12"/>
  </w:num>
  <w:num w:numId="19">
    <w:abstractNumId w:val="15"/>
  </w:num>
  <w:num w:numId="20">
    <w:abstractNumId w:val="20"/>
  </w:num>
  <w:num w:numId="21">
    <w:abstractNumId w:val="19"/>
  </w:num>
  <w:num w:numId="22">
    <w:abstractNumId w:val="6"/>
  </w:num>
  <w:num w:numId="23">
    <w:abstractNumId w:val="21"/>
  </w:num>
  <w:num w:numId="24">
    <w:abstractNumId w:val="22"/>
  </w:num>
  <w:num w:numId="25">
    <w:abstractNumId w:val="2"/>
  </w:num>
  <w:num w:numId="26">
    <w:abstractNumId w:val="29"/>
  </w:num>
  <w:num w:numId="27">
    <w:abstractNumId w:val="14"/>
  </w:num>
  <w:num w:numId="28">
    <w:abstractNumId w:val="13"/>
  </w:num>
  <w:num w:numId="29">
    <w:abstractNumId w:val="27"/>
  </w:num>
  <w:num w:numId="30">
    <w:abstractNumId w:val="2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7987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5"/>
    <w:rsid w:val="000000D4"/>
    <w:rsid w:val="0000071C"/>
    <w:rsid w:val="00004286"/>
    <w:rsid w:val="00006FEE"/>
    <w:rsid w:val="00007AA0"/>
    <w:rsid w:val="000161C1"/>
    <w:rsid w:val="00022A2A"/>
    <w:rsid w:val="00025A16"/>
    <w:rsid w:val="00026637"/>
    <w:rsid w:val="00030DC6"/>
    <w:rsid w:val="00032B74"/>
    <w:rsid w:val="00033C80"/>
    <w:rsid w:val="00035606"/>
    <w:rsid w:val="0005076B"/>
    <w:rsid w:val="00052BE9"/>
    <w:rsid w:val="000530BB"/>
    <w:rsid w:val="00053323"/>
    <w:rsid w:val="00057FD6"/>
    <w:rsid w:val="000621E8"/>
    <w:rsid w:val="00065443"/>
    <w:rsid w:val="000715F7"/>
    <w:rsid w:val="0008188A"/>
    <w:rsid w:val="0008511F"/>
    <w:rsid w:val="0009188E"/>
    <w:rsid w:val="0009307A"/>
    <w:rsid w:val="000C2CCF"/>
    <w:rsid w:val="000D1791"/>
    <w:rsid w:val="000D37BB"/>
    <w:rsid w:val="000D6DED"/>
    <w:rsid w:val="000E7C5B"/>
    <w:rsid w:val="000F1D48"/>
    <w:rsid w:val="000F39D5"/>
    <w:rsid w:val="0010167D"/>
    <w:rsid w:val="001066D1"/>
    <w:rsid w:val="00113093"/>
    <w:rsid w:val="00114D2A"/>
    <w:rsid w:val="001254B0"/>
    <w:rsid w:val="00131A92"/>
    <w:rsid w:val="001550CB"/>
    <w:rsid w:val="001650A9"/>
    <w:rsid w:val="00166864"/>
    <w:rsid w:val="00171345"/>
    <w:rsid w:val="00172F52"/>
    <w:rsid w:val="00172FE6"/>
    <w:rsid w:val="001731F0"/>
    <w:rsid w:val="00182983"/>
    <w:rsid w:val="00184322"/>
    <w:rsid w:val="00186C89"/>
    <w:rsid w:val="001871E6"/>
    <w:rsid w:val="00191CBC"/>
    <w:rsid w:val="00193FB5"/>
    <w:rsid w:val="00195AA1"/>
    <w:rsid w:val="00197547"/>
    <w:rsid w:val="001A5282"/>
    <w:rsid w:val="001B2D75"/>
    <w:rsid w:val="001B320F"/>
    <w:rsid w:val="001D4C3C"/>
    <w:rsid w:val="001E1A5F"/>
    <w:rsid w:val="001E4F7F"/>
    <w:rsid w:val="001F086B"/>
    <w:rsid w:val="001F4A20"/>
    <w:rsid w:val="001F4BE3"/>
    <w:rsid w:val="001F5EAC"/>
    <w:rsid w:val="001F7F99"/>
    <w:rsid w:val="00203CFB"/>
    <w:rsid w:val="00203ECE"/>
    <w:rsid w:val="002043F1"/>
    <w:rsid w:val="00211304"/>
    <w:rsid w:val="00213547"/>
    <w:rsid w:val="00217583"/>
    <w:rsid w:val="00234956"/>
    <w:rsid w:val="00237E62"/>
    <w:rsid w:val="00240BD4"/>
    <w:rsid w:val="00244531"/>
    <w:rsid w:val="00245C38"/>
    <w:rsid w:val="00245CBF"/>
    <w:rsid w:val="0025221E"/>
    <w:rsid w:val="00262ECA"/>
    <w:rsid w:val="00267DBA"/>
    <w:rsid w:val="00270A45"/>
    <w:rsid w:val="00275972"/>
    <w:rsid w:val="00285ADB"/>
    <w:rsid w:val="002A23FA"/>
    <w:rsid w:val="002A26AB"/>
    <w:rsid w:val="002A4FF0"/>
    <w:rsid w:val="002A6633"/>
    <w:rsid w:val="002A7098"/>
    <w:rsid w:val="002B0D96"/>
    <w:rsid w:val="002C13D7"/>
    <w:rsid w:val="002C2638"/>
    <w:rsid w:val="002C561A"/>
    <w:rsid w:val="002C5CE0"/>
    <w:rsid w:val="002C5DC3"/>
    <w:rsid w:val="002C7335"/>
    <w:rsid w:val="002D558E"/>
    <w:rsid w:val="002E6EAF"/>
    <w:rsid w:val="002F7239"/>
    <w:rsid w:val="00302037"/>
    <w:rsid w:val="00306F37"/>
    <w:rsid w:val="003073AA"/>
    <w:rsid w:val="00323E41"/>
    <w:rsid w:val="00331F44"/>
    <w:rsid w:val="00335228"/>
    <w:rsid w:val="00337A52"/>
    <w:rsid w:val="003447FA"/>
    <w:rsid w:val="00353B4F"/>
    <w:rsid w:val="00367913"/>
    <w:rsid w:val="00371AF4"/>
    <w:rsid w:val="00374E81"/>
    <w:rsid w:val="00375669"/>
    <w:rsid w:val="00382A72"/>
    <w:rsid w:val="00382D76"/>
    <w:rsid w:val="003859E9"/>
    <w:rsid w:val="00393B31"/>
    <w:rsid w:val="00394475"/>
    <w:rsid w:val="00397119"/>
    <w:rsid w:val="003A31B0"/>
    <w:rsid w:val="003B0F43"/>
    <w:rsid w:val="003B4A8E"/>
    <w:rsid w:val="003B68F7"/>
    <w:rsid w:val="003C0BDD"/>
    <w:rsid w:val="003C14A6"/>
    <w:rsid w:val="003C3F6F"/>
    <w:rsid w:val="003D58DF"/>
    <w:rsid w:val="003D7562"/>
    <w:rsid w:val="003E6601"/>
    <w:rsid w:val="003E7553"/>
    <w:rsid w:val="003F7587"/>
    <w:rsid w:val="0040070B"/>
    <w:rsid w:val="00400DD0"/>
    <w:rsid w:val="004058E8"/>
    <w:rsid w:val="00411F87"/>
    <w:rsid w:val="00431D39"/>
    <w:rsid w:val="0043263E"/>
    <w:rsid w:val="00436D04"/>
    <w:rsid w:val="004464F0"/>
    <w:rsid w:val="004471B1"/>
    <w:rsid w:val="004577ED"/>
    <w:rsid w:val="004609A6"/>
    <w:rsid w:val="00462142"/>
    <w:rsid w:val="00465EC4"/>
    <w:rsid w:val="00471FC8"/>
    <w:rsid w:val="00480A58"/>
    <w:rsid w:val="00490886"/>
    <w:rsid w:val="00495B3A"/>
    <w:rsid w:val="00495DDC"/>
    <w:rsid w:val="004967B1"/>
    <w:rsid w:val="00497925"/>
    <w:rsid w:val="004A0526"/>
    <w:rsid w:val="004B3E6A"/>
    <w:rsid w:val="004B4EF1"/>
    <w:rsid w:val="004B7200"/>
    <w:rsid w:val="004B7D83"/>
    <w:rsid w:val="004C511C"/>
    <w:rsid w:val="004D0A69"/>
    <w:rsid w:val="004D0C2F"/>
    <w:rsid w:val="004E2E7B"/>
    <w:rsid w:val="004E3D63"/>
    <w:rsid w:val="004E4D88"/>
    <w:rsid w:val="004E73D9"/>
    <w:rsid w:val="004E79CC"/>
    <w:rsid w:val="00500234"/>
    <w:rsid w:val="005063DA"/>
    <w:rsid w:val="00510422"/>
    <w:rsid w:val="0051554F"/>
    <w:rsid w:val="005166D5"/>
    <w:rsid w:val="005216A5"/>
    <w:rsid w:val="00526D07"/>
    <w:rsid w:val="00533CAA"/>
    <w:rsid w:val="00533F3F"/>
    <w:rsid w:val="00535F91"/>
    <w:rsid w:val="0054210C"/>
    <w:rsid w:val="00545744"/>
    <w:rsid w:val="0055648A"/>
    <w:rsid w:val="0055665E"/>
    <w:rsid w:val="00575808"/>
    <w:rsid w:val="005773B6"/>
    <w:rsid w:val="005843C2"/>
    <w:rsid w:val="005A6B85"/>
    <w:rsid w:val="005A7AD6"/>
    <w:rsid w:val="005B1242"/>
    <w:rsid w:val="005B7128"/>
    <w:rsid w:val="005D4BB6"/>
    <w:rsid w:val="005D4F92"/>
    <w:rsid w:val="005E1534"/>
    <w:rsid w:val="005E33C2"/>
    <w:rsid w:val="005F1956"/>
    <w:rsid w:val="0060132E"/>
    <w:rsid w:val="00602E31"/>
    <w:rsid w:val="00604302"/>
    <w:rsid w:val="0061228C"/>
    <w:rsid w:val="00616991"/>
    <w:rsid w:val="006248C0"/>
    <w:rsid w:val="00634D97"/>
    <w:rsid w:val="00636132"/>
    <w:rsid w:val="00640805"/>
    <w:rsid w:val="006441C7"/>
    <w:rsid w:val="006569AD"/>
    <w:rsid w:val="006605E0"/>
    <w:rsid w:val="006617A8"/>
    <w:rsid w:val="00665A7B"/>
    <w:rsid w:val="00674E82"/>
    <w:rsid w:val="00675B3A"/>
    <w:rsid w:val="00677EE6"/>
    <w:rsid w:val="006809C6"/>
    <w:rsid w:val="00682AC9"/>
    <w:rsid w:val="006A564E"/>
    <w:rsid w:val="006A6669"/>
    <w:rsid w:val="006B1FD6"/>
    <w:rsid w:val="006B76DA"/>
    <w:rsid w:val="006C4ADA"/>
    <w:rsid w:val="006C7710"/>
    <w:rsid w:val="006E5811"/>
    <w:rsid w:val="006F4BF3"/>
    <w:rsid w:val="006F4ECF"/>
    <w:rsid w:val="00700B62"/>
    <w:rsid w:val="00703250"/>
    <w:rsid w:val="00704C75"/>
    <w:rsid w:val="007056D1"/>
    <w:rsid w:val="007065DE"/>
    <w:rsid w:val="0070774A"/>
    <w:rsid w:val="00712E2B"/>
    <w:rsid w:val="00714CBC"/>
    <w:rsid w:val="007154B3"/>
    <w:rsid w:val="00715F14"/>
    <w:rsid w:val="007233DD"/>
    <w:rsid w:val="0072512F"/>
    <w:rsid w:val="00733704"/>
    <w:rsid w:val="007339EE"/>
    <w:rsid w:val="00736423"/>
    <w:rsid w:val="00745A21"/>
    <w:rsid w:val="0074603A"/>
    <w:rsid w:val="00746F33"/>
    <w:rsid w:val="00752242"/>
    <w:rsid w:val="00752E17"/>
    <w:rsid w:val="00754F20"/>
    <w:rsid w:val="00755F7F"/>
    <w:rsid w:val="00760CC9"/>
    <w:rsid w:val="00763298"/>
    <w:rsid w:val="0076436E"/>
    <w:rsid w:val="007673BD"/>
    <w:rsid w:val="00767B60"/>
    <w:rsid w:val="00786879"/>
    <w:rsid w:val="00790F03"/>
    <w:rsid w:val="0079311A"/>
    <w:rsid w:val="007A3980"/>
    <w:rsid w:val="007A4C4E"/>
    <w:rsid w:val="007B29BF"/>
    <w:rsid w:val="007B6F72"/>
    <w:rsid w:val="007B7CC6"/>
    <w:rsid w:val="007C397B"/>
    <w:rsid w:val="007C481E"/>
    <w:rsid w:val="007C641B"/>
    <w:rsid w:val="007C7C48"/>
    <w:rsid w:val="007D3311"/>
    <w:rsid w:val="007D338B"/>
    <w:rsid w:val="007E3AEC"/>
    <w:rsid w:val="007E5DD4"/>
    <w:rsid w:val="00812D5D"/>
    <w:rsid w:val="008139D3"/>
    <w:rsid w:val="008223B4"/>
    <w:rsid w:val="00827716"/>
    <w:rsid w:val="00831333"/>
    <w:rsid w:val="00834899"/>
    <w:rsid w:val="008352BE"/>
    <w:rsid w:val="00844472"/>
    <w:rsid w:val="00851749"/>
    <w:rsid w:val="00852579"/>
    <w:rsid w:val="00855571"/>
    <w:rsid w:val="00857F73"/>
    <w:rsid w:val="008627AC"/>
    <w:rsid w:val="00863F8C"/>
    <w:rsid w:val="00865F75"/>
    <w:rsid w:val="008803EE"/>
    <w:rsid w:val="008841F0"/>
    <w:rsid w:val="008845D7"/>
    <w:rsid w:val="008846D9"/>
    <w:rsid w:val="00890552"/>
    <w:rsid w:val="008A00C5"/>
    <w:rsid w:val="008A4186"/>
    <w:rsid w:val="008A42B2"/>
    <w:rsid w:val="008A48B5"/>
    <w:rsid w:val="008B7642"/>
    <w:rsid w:val="008C328C"/>
    <w:rsid w:val="008C6E5F"/>
    <w:rsid w:val="008C7364"/>
    <w:rsid w:val="008D171A"/>
    <w:rsid w:val="008D319F"/>
    <w:rsid w:val="008F467E"/>
    <w:rsid w:val="008F5217"/>
    <w:rsid w:val="008F5A37"/>
    <w:rsid w:val="008F611E"/>
    <w:rsid w:val="008F6F81"/>
    <w:rsid w:val="009020FD"/>
    <w:rsid w:val="00912B3E"/>
    <w:rsid w:val="00914434"/>
    <w:rsid w:val="00916859"/>
    <w:rsid w:val="009202D6"/>
    <w:rsid w:val="009236DC"/>
    <w:rsid w:val="00925B71"/>
    <w:rsid w:val="00930929"/>
    <w:rsid w:val="009505AD"/>
    <w:rsid w:val="00951859"/>
    <w:rsid w:val="00951DF0"/>
    <w:rsid w:val="009615DD"/>
    <w:rsid w:val="009673F2"/>
    <w:rsid w:val="00972DE1"/>
    <w:rsid w:val="00973C1C"/>
    <w:rsid w:val="0097446C"/>
    <w:rsid w:val="0097544C"/>
    <w:rsid w:val="00990095"/>
    <w:rsid w:val="009936F3"/>
    <w:rsid w:val="009A1EE3"/>
    <w:rsid w:val="009A4930"/>
    <w:rsid w:val="009A5480"/>
    <w:rsid w:val="009B024C"/>
    <w:rsid w:val="009B187A"/>
    <w:rsid w:val="009B2BC6"/>
    <w:rsid w:val="009C1438"/>
    <w:rsid w:val="009C2DCF"/>
    <w:rsid w:val="009C6687"/>
    <w:rsid w:val="009C7539"/>
    <w:rsid w:val="009D775D"/>
    <w:rsid w:val="009E1696"/>
    <w:rsid w:val="009E1B38"/>
    <w:rsid w:val="009E3EF9"/>
    <w:rsid w:val="009E7C1A"/>
    <w:rsid w:val="009F3875"/>
    <w:rsid w:val="009F435A"/>
    <w:rsid w:val="00A001A1"/>
    <w:rsid w:val="00A02850"/>
    <w:rsid w:val="00A1025C"/>
    <w:rsid w:val="00A1335C"/>
    <w:rsid w:val="00A213D6"/>
    <w:rsid w:val="00A222C1"/>
    <w:rsid w:val="00A25672"/>
    <w:rsid w:val="00A25A7E"/>
    <w:rsid w:val="00A26621"/>
    <w:rsid w:val="00A40A3D"/>
    <w:rsid w:val="00A47CBE"/>
    <w:rsid w:val="00A50844"/>
    <w:rsid w:val="00A53453"/>
    <w:rsid w:val="00A65FD6"/>
    <w:rsid w:val="00A84AC2"/>
    <w:rsid w:val="00A852D4"/>
    <w:rsid w:val="00A90917"/>
    <w:rsid w:val="00AA14AD"/>
    <w:rsid w:val="00AA4569"/>
    <w:rsid w:val="00AA57E0"/>
    <w:rsid w:val="00AB2A5D"/>
    <w:rsid w:val="00AB428D"/>
    <w:rsid w:val="00AC1E3C"/>
    <w:rsid w:val="00AC3A52"/>
    <w:rsid w:val="00AD3FB3"/>
    <w:rsid w:val="00AD5EB2"/>
    <w:rsid w:val="00AE0F5C"/>
    <w:rsid w:val="00AE526E"/>
    <w:rsid w:val="00AF2B4D"/>
    <w:rsid w:val="00AF2FB6"/>
    <w:rsid w:val="00B078B8"/>
    <w:rsid w:val="00B110DE"/>
    <w:rsid w:val="00B16686"/>
    <w:rsid w:val="00B20DB1"/>
    <w:rsid w:val="00B37AAD"/>
    <w:rsid w:val="00B41504"/>
    <w:rsid w:val="00B42247"/>
    <w:rsid w:val="00B44AC9"/>
    <w:rsid w:val="00B5129F"/>
    <w:rsid w:val="00B530AE"/>
    <w:rsid w:val="00B56FB0"/>
    <w:rsid w:val="00B63A16"/>
    <w:rsid w:val="00B710CE"/>
    <w:rsid w:val="00B8489D"/>
    <w:rsid w:val="00B911A6"/>
    <w:rsid w:val="00B92105"/>
    <w:rsid w:val="00B95756"/>
    <w:rsid w:val="00BA185D"/>
    <w:rsid w:val="00BA1E99"/>
    <w:rsid w:val="00BA6D74"/>
    <w:rsid w:val="00BD1F33"/>
    <w:rsid w:val="00BD2B73"/>
    <w:rsid w:val="00BD624C"/>
    <w:rsid w:val="00BE03D8"/>
    <w:rsid w:val="00BF1279"/>
    <w:rsid w:val="00BF7E87"/>
    <w:rsid w:val="00C04CF2"/>
    <w:rsid w:val="00C077D5"/>
    <w:rsid w:val="00C130EC"/>
    <w:rsid w:val="00C144D6"/>
    <w:rsid w:val="00C250ED"/>
    <w:rsid w:val="00C25410"/>
    <w:rsid w:val="00C37D81"/>
    <w:rsid w:val="00C4360C"/>
    <w:rsid w:val="00C503D3"/>
    <w:rsid w:val="00C51CFC"/>
    <w:rsid w:val="00C54193"/>
    <w:rsid w:val="00C54EDA"/>
    <w:rsid w:val="00C56B98"/>
    <w:rsid w:val="00C70027"/>
    <w:rsid w:val="00C73D48"/>
    <w:rsid w:val="00C857DF"/>
    <w:rsid w:val="00C871A3"/>
    <w:rsid w:val="00C90D4F"/>
    <w:rsid w:val="00C96533"/>
    <w:rsid w:val="00CA6DE6"/>
    <w:rsid w:val="00CA7DAF"/>
    <w:rsid w:val="00CB5F0B"/>
    <w:rsid w:val="00CC108F"/>
    <w:rsid w:val="00CC18D1"/>
    <w:rsid w:val="00CD1C14"/>
    <w:rsid w:val="00CD2062"/>
    <w:rsid w:val="00CE5F8B"/>
    <w:rsid w:val="00CE6249"/>
    <w:rsid w:val="00CF0E39"/>
    <w:rsid w:val="00CF2C84"/>
    <w:rsid w:val="00CF5403"/>
    <w:rsid w:val="00CF62D3"/>
    <w:rsid w:val="00CF767D"/>
    <w:rsid w:val="00D014F4"/>
    <w:rsid w:val="00D0655F"/>
    <w:rsid w:val="00D149D9"/>
    <w:rsid w:val="00D16412"/>
    <w:rsid w:val="00D21B9B"/>
    <w:rsid w:val="00D2678A"/>
    <w:rsid w:val="00D268B0"/>
    <w:rsid w:val="00D26F2C"/>
    <w:rsid w:val="00D42748"/>
    <w:rsid w:val="00D4359E"/>
    <w:rsid w:val="00D435A0"/>
    <w:rsid w:val="00D437B5"/>
    <w:rsid w:val="00D45579"/>
    <w:rsid w:val="00D630F3"/>
    <w:rsid w:val="00D65F05"/>
    <w:rsid w:val="00D71E25"/>
    <w:rsid w:val="00D727B0"/>
    <w:rsid w:val="00D75C23"/>
    <w:rsid w:val="00D832D4"/>
    <w:rsid w:val="00D94B41"/>
    <w:rsid w:val="00DB712D"/>
    <w:rsid w:val="00DC1DC1"/>
    <w:rsid w:val="00DC3509"/>
    <w:rsid w:val="00DC43CA"/>
    <w:rsid w:val="00DD652B"/>
    <w:rsid w:val="00DF17D7"/>
    <w:rsid w:val="00DF4AB7"/>
    <w:rsid w:val="00E05868"/>
    <w:rsid w:val="00E06A44"/>
    <w:rsid w:val="00E2488A"/>
    <w:rsid w:val="00E24CE1"/>
    <w:rsid w:val="00E27C6C"/>
    <w:rsid w:val="00E4500B"/>
    <w:rsid w:val="00E460A8"/>
    <w:rsid w:val="00E50DD3"/>
    <w:rsid w:val="00E5186F"/>
    <w:rsid w:val="00E55AC5"/>
    <w:rsid w:val="00E67744"/>
    <w:rsid w:val="00E711AA"/>
    <w:rsid w:val="00E72D26"/>
    <w:rsid w:val="00E766BD"/>
    <w:rsid w:val="00E87B24"/>
    <w:rsid w:val="00E94064"/>
    <w:rsid w:val="00EA5DFF"/>
    <w:rsid w:val="00EA6A9C"/>
    <w:rsid w:val="00EA772E"/>
    <w:rsid w:val="00EB3C53"/>
    <w:rsid w:val="00EC31E1"/>
    <w:rsid w:val="00EC5075"/>
    <w:rsid w:val="00EC5133"/>
    <w:rsid w:val="00EC5577"/>
    <w:rsid w:val="00ED0990"/>
    <w:rsid w:val="00ED20D5"/>
    <w:rsid w:val="00ED4539"/>
    <w:rsid w:val="00ED4A3A"/>
    <w:rsid w:val="00EF0755"/>
    <w:rsid w:val="00EF61C1"/>
    <w:rsid w:val="00EF6E1D"/>
    <w:rsid w:val="00F00FD6"/>
    <w:rsid w:val="00F10A23"/>
    <w:rsid w:val="00F11B83"/>
    <w:rsid w:val="00F228CA"/>
    <w:rsid w:val="00F26CDE"/>
    <w:rsid w:val="00F30BFD"/>
    <w:rsid w:val="00F30F0C"/>
    <w:rsid w:val="00F41939"/>
    <w:rsid w:val="00F41D76"/>
    <w:rsid w:val="00F4276C"/>
    <w:rsid w:val="00F4399D"/>
    <w:rsid w:val="00F526D4"/>
    <w:rsid w:val="00F5329A"/>
    <w:rsid w:val="00F545CD"/>
    <w:rsid w:val="00F55FD7"/>
    <w:rsid w:val="00F61698"/>
    <w:rsid w:val="00F65283"/>
    <w:rsid w:val="00F65DD7"/>
    <w:rsid w:val="00F669BE"/>
    <w:rsid w:val="00F75186"/>
    <w:rsid w:val="00F82BCF"/>
    <w:rsid w:val="00F84C27"/>
    <w:rsid w:val="00F906BB"/>
    <w:rsid w:val="00F91193"/>
    <w:rsid w:val="00FA1BBF"/>
    <w:rsid w:val="00FA6C2B"/>
    <w:rsid w:val="00FB641F"/>
    <w:rsid w:val="00FB69B3"/>
    <w:rsid w:val="00FC1CC3"/>
    <w:rsid w:val="00FC4C01"/>
    <w:rsid w:val="00FC5887"/>
    <w:rsid w:val="00FD2482"/>
    <w:rsid w:val="00FE406D"/>
    <w:rsid w:val="00FE4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74F423"/>
  <w15:docId w15:val="{C8DC9FC6-D1EA-4BC7-B1D7-7F4456C7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20"/>
    <w:pPr>
      <w:spacing w:after="120" w:line="240" w:lineRule="auto"/>
    </w:pPr>
    <w:rPr>
      <w:rFonts w:ascii="Arial" w:hAnsi="Arial" w:cs="Times New Roman"/>
      <w:lang w:val="en-US"/>
    </w:rPr>
  </w:style>
  <w:style w:type="paragraph" w:styleId="Heading1">
    <w:name w:val="heading 1"/>
    <w:basedOn w:val="Normal"/>
    <w:next w:val="Heading2"/>
    <w:link w:val="Heading1Char"/>
    <w:qFormat/>
    <w:rsid w:val="005166D5"/>
    <w:pPr>
      <w:keepNext/>
      <w:spacing w:before="240" w:after="0"/>
      <w:ind w:left="709" w:hanging="709"/>
      <w:outlineLvl w:val="0"/>
    </w:pPr>
    <w:rPr>
      <w:rFonts w:eastAsia="Times New Roman"/>
      <w:b/>
    </w:rPr>
  </w:style>
  <w:style w:type="paragraph" w:styleId="Heading2">
    <w:name w:val="heading 2"/>
    <w:basedOn w:val="Subtitle"/>
    <w:next w:val="Normal"/>
    <w:link w:val="Heading2Char"/>
    <w:uiPriority w:val="9"/>
    <w:unhideWhenUsed/>
    <w:qFormat/>
    <w:rsid w:val="00ED4539"/>
    <w:pPr>
      <w:keepNext/>
      <w:keepLines/>
      <w:spacing w:before="160" w:after="40"/>
      <w:ind w:left="709" w:hanging="709"/>
      <w:outlineLvl w:val="1"/>
    </w:pPr>
    <w:rPr>
      <w:rFonts w:ascii="Arial" w:hAnsi="Arial"/>
      <w:b/>
      <w:bCs/>
      <w:iCs w:val="0"/>
      <w:color w:val="44546A" w:themeColor="text2"/>
      <w:spacing w:val="0"/>
      <w:sz w:val="22"/>
      <w:szCs w:val="26"/>
      <w:lang w:val="en-AU"/>
    </w:rPr>
  </w:style>
  <w:style w:type="paragraph" w:styleId="Heading3">
    <w:name w:val="heading 3"/>
    <w:basedOn w:val="Normal"/>
    <w:next w:val="Normal"/>
    <w:link w:val="Heading3Char"/>
    <w:uiPriority w:val="9"/>
    <w:unhideWhenUsed/>
    <w:qFormat/>
    <w:rsid w:val="00ED4539"/>
    <w:pPr>
      <w:keepNext/>
      <w:keepLines/>
      <w:spacing w:before="200" w:after="0"/>
      <w:outlineLvl w:val="2"/>
    </w:pPr>
    <w:rPr>
      <w:rFonts w:eastAsiaTheme="majorEastAsia" w:cstheme="majorBidi"/>
      <w:bCs/>
      <w:i/>
      <w:color w:val="2E74B5" w:themeColor="accent1" w:themeShade="BF"/>
      <w:lang w:val="en-AU"/>
    </w:rPr>
  </w:style>
  <w:style w:type="paragraph" w:styleId="Heading4">
    <w:name w:val="heading 4"/>
    <w:basedOn w:val="Heading3"/>
    <w:next w:val="Normal"/>
    <w:link w:val="Heading4Char"/>
    <w:uiPriority w:val="9"/>
    <w:unhideWhenUsed/>
    <w:qFormat/>
    <w:rsid w:val="00ED4539"/>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27716"/>
    <w:pPr>
      <w:numPr>
        <w:numId w:val="1"/>
      </w:numPr>
    </w:pPr>
  </w:style>
  <w:style w:type="character" w:customStyle="1" w:styleId="Heading1Char">
    <w:name w:val="Heading 1 Char"/>
    <w:basedOn w:val="DefaultParagraphFont"/>
    <w:link w:val="Heading1"/>
    <w:rsid w:val="005166D5"/>
    <w:rPr>
      <w:rFonts w:ascii="Arial" w:eastAsia="Times New Roman" w:hAnsi="Arial" w:cs="Times New Roman"/>
      <w:b/>
      <w:lang w:val="en-US"/>
    </w:rPr>
  </w:style>
  <w:style w:type="character" w:customStyle="1" w:styleId="Heading2Char">
    <w:name w:val="Heading 2 Char"/>
    <w:basedOn w:val="DefaultParagraphFont"/>
    <w:link w:val="Heading2"/>
    <w:uiPriority w:val="9"/>
    <w:rsid w:val="00ED4539"/>
    <w:rPr>
      <w:rFonts w:ascii="Arial" w:eastAsiaTheme="majorEastAsia" w:hAnsi="Arial" w:cstheme="majorBidi"/>
      <w:b/>
      <w:bCs/>
      <w:i/>
      <w:color w:val="44546A" w:themeColor="text2"/>
      <w:szCs w:val="26"/>
    </w:rPr>
  </w:style>
  <w:style w:type="paragraph" w:customStyle="1" w:styleId="dotpointsforlocked">
    <w:name w:val="dot points for locked"/>
    <w:basedOn w:val="ListParagraph"/>
    <w:link w:val="dotpointsforlockedChar"/>
    <w:rsid w:val="006B1FD6"/>
    <w:pPr>
      <w:spacing w:after="200" w:line="276" w:lineRule="auto"/>
      <w:ind w:hanging="360"/>
      <w:contextualSpacing w:val="0"/>
    </w:pPr>
    <w:rPr>
      <w:rFonts w:cs="Arial"/>
    </w:rPr>
  </w:style>
  <w:style w:type="character" w:customStyle="1" w:styleId="dotpointsforlockedChar">
    <w:name w:val="dot points for locked Char"/>
    <w:basedOn w:val="DefaultParagraphFont"/>
    <w:link w:val="dotpointsforlocked"/>
    <w:rsid w:val="006B1FD6"/>
    <w:rPr>
      <w:rFonts w:ascii="Arial" w:hAnsi="Arial" w:cs="Arial"/>
      <w:lang w:val="en-US"/>
    </w:rPr>
  </w:style>
  <w:style w:type="paragraph" w:styleId="ListParagraph">
    <w:name w:val="List Paragraph"/>
    <w:basedOn w:val="Normal"/>
    <w:link w:val="ListParagraphChar"/>
    <w:uiPriority w:val="34"/>
    <w:qFormat/>
    <w:rsid w:val="006B1FD6"/>
    <w:pPr>
      <w:ind w:left="720"/>
      <w:contextualSpacing/>
    </w:pPr>
  </w:style>
  <w:style w:type="paragraph" w:styleId="Header">
    <w:name w:val="header"/>
    <w:basedOn w:val="Normal"/>
    <w:link w:val="HeaderChar"/>
    <w:uiPriority w:val="99"/>
    <w:unhideWhenUsed/>
    <w:rsid w:val="00022A2A"/>
    <w:pPr>
      <w:tabs>
        <w:tab w:val="center" w:pos="4513"/>
        <w:tab w:val="right" w:pos="9026"/>
      </w:tabs>
      <w:spacing w:after="0"/>
    </w:pPr>
  </w:style>
  <w:style w:type="character" w:customStyle="1" w:styleId="HeaderChar">
    <w:name w:val="Header Char"/>
    <w:basedOn w:val="DefaultParagraphFont"/>
    <w:link w:val="Header"/>
    <w:uiPriority w:val="99"/>
    <w:rsid w:val="00022A2A"/>
    <w:rPr>
      <w:rFonts w:ascii="Arial" w:hAnsi="Arial" w:cs="Times New Roman"/>
      <w:lang w:val="en-US"/>
    </w:rPr>
  </w:style>
  <w:style w:type="paragraph" w:styleId="Footer">
    <w:name w:val="footer"/>
    <w:basedOn w:val="Normal"/>
    <w:link w:val="FooterChar"/>
    <w:uiPriority w:val="99"/>
    <w:unhideWhenUsed/>
    <w:rsid w:val="00022A2A"/>
    <w:pPr>
      <w:tabs>
        <w:tab w:val="center" w:pos="4513"/>
        <w:tab w:val="right" w:pos="9026"/>
      </w:tabs>
      <w:spacing w:after="0"/>
    </w:pPr>
  </w:style>
  <w:style w:type="character" w:customStyle="1" w:styleId="FooterChar">
    <w:name w:val="Footer Char"/>
    <w:basedOn w:val="DefaultParagraphFont"/>
    <w:link w:val="Footer"/>
    <w:uiPriority w:val="99"/>
    <w:rsid w:val="00022A2A"/>
    <w:rPr>
      <w:rFonts w:ascii="Arial" w:hAnsi="Arial" w:cs="Times New Roman"/>
      <w:lang w:val="en-US"/>
    </w:rPr>
  </w:style>
  <w:style w:type="character" w:styleId="PlaceholderText">
    <w:name w:val="Placeholder Text"/>
    <w:basedOn w:val="DefaultParagraphFont"/>
    <w:uiPriority w:val="99"/>
    <w:semiHidden/>
    <w:rsid w:val="00022A2A"/>
    <w:rPr>
      <w:color w:val="808080"/>
    </w:rPr>
  </w:style>
  <w:style w:type="paragraph" w:styleId="BalloonText">
    <w:name w:val="Balloon Text"/>
    <w:basedOn w:val="Normal"/>
    <w:link w:val="BalloonTextChar"/>
    <w:uiPriority w:val="99"/>
    <w:semiHidden/>
    <w:unhideWhenUsed/>
    <w:rsid w:val="00022A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2A"/>
    <w:rPr>
      <w:rFonts w:ascii="Tahoma" w:hAnsi="Tahoma" w:cs="Tahoma"/>
      <w:sz w:val="16"/>
      <w:szCs w:val="16"/>
      <w:lang w:val="en-US"/>
    </w:rPr>
  </w:style>
  <w:style w:type="character" w:styleId="Hyperlink">
    <w:name w:val="Hyperlink"/>
    <w:basedOn w:val="DefaultParagraphFont"/>
    <w:uiPriority w:val="99"/>
    <w:unhideWhenUsed/>
    <w:rsid w:val="004967B1"/>
    <w:rPr>
      <w:color w:val="0000FF"/>
      <w:u w:val="single"/>
    </w:rPr>
  </w:style>
  <w:style w:type="character" w:styleId="CommentReference">
    <w:name w:val="annotation reference"/>
    <w:basedOn w:val="DefaultParagraphFont"/>
    <w:uiPriority w:val="99"/>
    <w:semiHidden/>
    <w:unhideWhenUsed/>
    <w:rsid w:val="00CC108F"/>
    <w:rPr>
      <w:sz w:val="16"/>
      <w:szCs w:val="16"/>
    </w:rPr>
  </w:style>
  <w:style w:type="paragraph" w:styleId="CommentText">
    <w:name w:val="annotation text"/>
    <w:basedOn w:val="Normal"/>
    <w:link w:val="CommentTextChar"/>
    <w:uiPriority w:val="99"/>
    <w:unhideWhenUsed/>
    <w:rsid w:val="00CC108F"/>
    <w:rPr>
      <w:sz w:val="20"/>
      <w:szCs w:val="20"/>
      <w:lang w:val="en-AU"/>
    </w:rPr>
  </w:style>
  <w:style w:type="character" w:customStyle="1" w:styleId="CommentTextChar">
    <w:name w:val="Comment Text Char"/>
    <w:basedOn w:val="DefaultParagraphFont"/>
    <w:link w:val="CommentText"/>
    <w:uiPriority w:val="99"/>
    <w:rsid w:val="00CC108F"/>
    <w:rPr>
      <w:rFonts w:ascii="Arial" w:hAnsi="Arial" w:cs="Times New Roman"/>
      <w:sz w:val="20"/>
      <w:szCs w:val="20"/>
    </w:rPr>
  </w:style>
  <w:style w:type="character" w:customStyle="1" w:styleId="ListParagraphChar">
    <w:name w:val="List Paragraph Char"/>
    <w:basedOn w:val="DefaultParagraphFont"/>
    <w:link w:val="ListParagraph"/>
    <w:uiPriority w:val="34"/>
    <w:rsid w:val="00CC108F"/>
    <w:rPr>
      <w:rFonts w:ascii="Arial" w:hAnsi="Arial" w:cs="Times New Roman"/>
      <w:lang w:val="en-US"/>
    </w:rPr>
  </w:style>
  <w:style w:type="table" w:styleId="TableGrid">
    <w:name w:val="Table Grid"/>
    <w:basedOn w:val="TableNormal"/>
    <w:uiPriority w:val="59"/>
    <w:rsid w:val="00CC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66D1"/>
    <w:pPr>
      <w:spacing w:before="200" w:after="60"/>
    </w:pPr>
    <w:rPr>
      <w:b/>
      <w:bCs/>
      <w:color w:val="5B9BD5" w:themeColor="accent1"/>
      <w:sz w:val="20"/>
      <w:szCs w:val="18"/>
    </w:rPr>
  </w:style>
  <w:style w:type="paragraph" w:styleId="EndnoteText">
    <w:name w:val="endnote text"/>
    <w:basedOn w:val="Normal"/>
    <w:link w:val="EndnoteTextChar"/>
    <w:uiPriority w:val="99"/>
    <w:unhideWhenUsed/>
    <w:rsid w:val="007154B3"/>
    <w:pPr>
      <w:spacing w:after="0"/>
    </w:pPr>
    <w:rPr>
      <w:sz w:val="20"/>
      <w:szCs w:val="20"/>
    </w:rPr>
  </w:style>
  <w:style w:type="character" w:customStyle="1" w:styleId="EndnoteTextChar">
    <w:name w:val="Endnote Text Char"/>
    <w:basedOn w:val="DefaultParagraphFont"/>
    <w:link w:val="EndnoteText"/>
    <w:uiPriority w:val="99"/>
    <w:rsid w:val="007154B3"/>
    <w:rPr>
      <w:rFonts w:ascii="Arial" w:hAnsi="Arial" w:cs="Times New Roman"/>
      <w:sz w:val="20"/>
      <w:szCs w:val="20"/>
      <w:lang w:val="en-US"/>
    </w:rPr>
  </w:style>
  <w:style w:type="character" w:styleId="EndnoteReference">
    <w:name w:val="endnote reference"/>
    <w:basedOn w:val="DefaultParagraphFont"/>
    <w:uiPriority w:val="99"/>
    <w:unhideWhenUsed/>
    <w:rsid w:val="007154B3"/>
    <w:rPr>
      <w:vertAlign w:val="superscript"/>
    </w:rPr>
  </w:style>
  <w:style w:type="paragraph" w:styleId="Subtitle">
    <w:name w:val="Subtitle"/>
    <w:basedOn w:val="Normal"/>
    <w:next w:val="Normal"/>
    <w:link w:val="SubtitleChar"/>
    <w:uiPriority w:val="11"/>
    <w:qFormat/>
    <w:rsid w:val="004B72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B7200"/>
    <w:rPr>
      <w:rFonts w:asciiTheme="majorHAnsi" w:eastAsiaTheme="majorEastAsia" w:hAnsiTheme="majorHAnsi" w:cstheme="majorBidi"/>
      <w:i/>
      <w:iCs/>
      <w:color w:val="5B9BD5" w:themeColor="accent1"/>
      <w:spacing w:val="15"/>
      <w:sz w:val="24"/>
      <w:szCs w:val="24"/>
      <w:lang w:val="en-US"/>
    </w:rPr>
  </w:style>
  <w:style w:type="paragraph" w:styleId="NormalWeb">
    <w:name w:val="Normal (Web)"/>
    <w:basedOn w:val="Normal"/>
    <w:uiPriority w:val="99"/>
    <w:unhideWhenUsed/>
    <w:rsid w:val="004B7200"/>
    <w:pPr>
      <w:spacing w:before="100" w:beforeAutospacing="1" w:after="100" w:afterAutospacing="1"/>
    </w:pPr>
    <w:rPr>
      <w:rFonts w:ascii="Times New Roman" w:eastAsia="Times New Roman" w:hAnsi="Times New Roman"/>
      <w:sz w:val="24"/>
      <w:szCs w:val="24"/>
      <w:lang w:val="en-AU" w:eastAsia="en-AU"/>
    </w:rPr>
  </w:style>
  <w:style w:type="paragraph" w:customStyle="1" w:styleId="Default">
    <w:name w:val="Default"/>
    <w:rsid w:val="004B7200"/>
    <w:pPr>
      <w:autoSpaceDE w:val="0"/>
      <w:autoSpaceDN w:val="0"/>
      <w:adjustRightInd w:val="0"/>
      <w:spacing w:after="0" w:line="240" w:lineRule="auto"/>
    </w:pPr>
    <w:rPr>
      <w:rFonts w:ascii="AOGCKG+TimesNewRomanPSMT" w:eastAsia="Times New Roman" w:hAnsi="AOGCKG+TimesNewRomanPSMT" w:cs="AOGCKG+TimesNewRomanPSMT"/>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436D04"/>
    <w:rPr>
      <w:b/>
      <w:bCs/>
      <w:lang w:val="en-US"/>
    </w:rPr>
  </w:style>
  <w:style w:type="character" w:customStyle="1" w:styleId="CommentSubjectChar">
    <w:name w:val="Comment Subject Char"/>
    <w:basedOn w:val="CommentTextChar"/>
    <w:link w:val="CommentSubject"/>
    <w:uiPriority w:val="99"/>
    <w:semiHidden/>
    <w:rsid w:val="00436D04"/>
    <w:rPr>
      <w:rFonts w:ascii="Arial" w:hAnsi="Arial" w:cs="Times New Roman"/>
      <w:b/>
      <w:bCs/>
      <w:sz w:val="20"/>
      <w:szCs w:val="20"/>
      <w:lang w:val="en-US"/>
    </w:rPr>
  </w:style>
  <w:style w:type="paragraph" w:styleId="Revision">
    <w:name w:val="Revision"/>
    <w:hidden/>
    <w:uiPriority w:val="99"/>
    <w:semiHidden/>
    <w:rsid w:val="00745A21"/>
    <w:pPr>
      <w:spacing w:after="0" w:line="240" w:lineRule="auto"/>
    </w:pPr>
    <w:rPr>
      <w:rFonts w:ascii="Arial" w:hAnsi="Arial" w:cs="Times New Roman"/>
      <w:lang w:val="en-US"/>
    </w:rPr>
  </w:style>
  <w:style w:type="paragraph" w:styleId="TOCHeading">
    <w:name w:val="TOC Heading"/>
    <w:basedOn w:val="Heading1"/>
    <w:next w:val="Normal"/>
    <w:uiPriority w:val="39"/>
    <w:semiHidden/>
    <w:unhideWhenUsed/>
    <w:qFormat/>
    <w:rsid w:val="006E5811"/>
    <w:pPr>
      <w:keepLines/>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AE526E"/>
    <w:pPr>
      <w:tabs>
        <w:tab w:val="right" w:leader="dot" w:pos="9016"/>
      </w:tabs>
      <w:spacing w:after="100"/>
    </w:pPr>
    <w:rPr>
      <w:b/>
      <w:noProof/>
    </w:rPr>
  </w:style>
  <w:style w:type="paragraph" w:styleId="TOC2">
    <w:name w:val="toc 2"/>
    <w:basedOn w:val="Normal"/>
    <w:next w:val="Normal"/>
    <w:autoRedefine/>
    <w:uiPriority w:val="39"/>
    <w:unhideWhenUsed/>
    <w:rsid w:val="006E5811"/>
    <w:pPr>
      <w:spacing w:after="100"/>
      <w:ind w:left="220"/>
    </w:pPr>
  </w:style>
  <w:style w:type="character" w:customStyle="1" w:styleId="Heading3Char">
    <w:name w:val="Heading 3 Char"/>
    <w:basedOn w:val="DefaultParagraphFont"/>
    <w:link w:val="Heading3"/>
    <w:uiPriority w:val="9"/>
    <w:rsid w:val="00ED4539"/>
    <w:rPr>
      <w:rFonts w:ascii="Arial" w:eastAsiaTheme="majorEastAsia" w:hAnsi="Arial" w:cstheme="majorBidi"/>
      <w:bCs/>
      <w:i/>
      <w:color w:val="2E74B5" w:themeColor="accent1" w:themeShade="BF"/>
    </w:rPr>
  </w:style>
  <w:style w:type="character" w:customStyle="1" w:styleId="Heading4Char">
    <w:name w:val="Heading 4 Char"/>
    <w:basedOn w:val="DefaultParagraphFont"/>
    <w:link w:val="Heading4"/>
    <w:uiPriority w:val="9"/>
    <w:rsid w:val="00ED4539"/>
    <w:rPr>
      <w:rFonts w:ascii="Arial" w:eastAsiaTheme="majorEastAsia" w:hAnsi="Arial" w:cstheme="majorBidi"/>
      <w:bCs/>
      <w:i/>
    </w:rPr>
  </w:style>
  <w:style w:type="paragraph" w:styleId="TOC3">
    <w:name w:val="toc 3"/>
    <w:basedOn w:val="Normal"/>
    <w:next w:val="Normal"/>
    <w:autoRedefine/>
    <w:uiPriority w:val="39"/>
    <w:unhideWhenUsed/>
    <w:rsid w:val="004C511C"/>
    <w:pPr>
      <w:spacing w:after="100"/>
      <w:ind w:left="440"/>
    </w:pPr>
  </w:style>
  <w:style w:type="character" w:styleId="FollowedHyperlink">
    <w:name w:val="FollowedHyperlink"/>
    <w:basedOn w:val="DefaultParagraphFont"/>
    <w:uiPriority w:val="99"/>
    <w:semiHidden/>
    <w:unhideWhenUsed/>
    <w:rsid w:val="00754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3768">
      <w:bodyDiv w:val="1"/>
      <w:marLeft w:val="0"/>
      <w:marRight w:val="0"/>
      <w:marTop w:val="0"/>
      <w:marBottom w:val="0"/>
      <w:divBdr>
        <w:top w:val="none" w:sz="0" w:space="0" w:color="auto"/>
        <w:left w:val="none" w:sz="0" w:space="0" w:color="auto"/>
        <w:bottom w:val="none" w:sz="0" w:space="0" w:color="auto"/>
        <w:right w:val="none" w:sz="0" w:space="0" w:color="auto"/>
      </w:divBdr>
      <w:divsChild>
        <w:div w:id="1063868702">
          <w:marLeft w:val="0"/>
          <w:marRight w:val="0"/>
          <w:marTop w:val="0"/>
          <w:marBottom w:val="0"/>
          <w:divBdr>
            <w:top w:val="none" w:sz="0" w:space="0" w:color="auto"/>
            <w:left w:val="none" w:sz="0" w:space="0" w:color="auto"/>
            <w:bottom w:val="none" w:sz="0" w:space="0" w:color="auto"/>
            <w:right w:val="none" w:sz="0" w:space="0" w:color="auto"/>
          </w:divBdr>
          <w:divsChild>
            <w:div w:id="487096170">
              <w:marLeft w:val="0"/>
              <w:marRight w:val="0"/>
              <w:marTop w:val="0"/>
              <w:marBottom w:val="0"/>
              <w:divBdr>
                <w:top w:val="none" w:sz="0" w:space="0" w:color="auto"/>
                <w:left w:val="none" w:sz="0" w:space="0" w:color="auto"/>
                <w:bottom w:val="none" w:sz="0" w:space="0" w:color="auto"/>
                <w:right w:val="none" w:sz="0" w:space="0" w:color="auto"/>
              </w:divBdr>
              <w:divsChild>
                <w:div w:id="674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2905">
      <w:bodyDiv w:val="1"/>
      <w:marLeft w:val="0"/>
      <w:marRight w:val="0"/>
      <w:marTop w:val="0"/>
      <w:marBottom w:val="0"/>
      <w:divBdr>
        <w:top w:val="none" w:sz="0" w:space="0" w:color="auto"/>
        <w:left w:val="none" w:sz="0" w:space="0" w:color="auto"/>
        <w:bottom w:val="none" w:sz="0" w:space="0" w:color="auto"/>
        <w:right w:val="none" w:sz="0" w:space="0" w:color="auto"/>
      </w:divBdr>
    </w:div>
    <w:div w:id="19614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thedock.gbrmpa.gov.au/sites/Assets/Equipment/Assets/Forms/AllItems.aspx" TargetMode="External"/><Relationship Id="rId3" Type="http://schemas.openxmlformats.org/officeDocument/2006/relationships/customXml" Target="../customXml/item3.xml"/><Relationship Id="rId21" Type="http://schemas.openxmlformats.org/officeDocument/2006/relationships/hyperlink" Target="http://www.finance.gov.au/resource-management/reporting-accounting/accounting-guidan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qudos/masterdocumentlis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qudos/masterdocumentlis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hedock.gbrmpa.gov.au/sites/Assets/Equipment/Assets/Forms/AllItems.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thedock.gbrmpa.gov.au/sites/Assets/Equipment/Assets/Forms/AllItems.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qudos/masterdocume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inance.gov.au/sites/default/files/RMG%20114%20Accounting%20for%20make%20good.pdf"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handle/11017/1" TargetMode="External"/><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0902B53DD745E58DAA6D890C95C31F"/>
        <w:category>
          <w:name w:val="General"/>
          <w:gallery w:val="placeholder"/>
        </w:category>
        <w:types>
          <w:type w:val="bbPlcHdr"/>
        </w:types>
        <w:behaviors>
          <w:behavior w:val="content"/>
        </w:behaviors>
        <w:guid w:val="{E2B25191-9F89-4A81-BBD2-39CA495EDB4D}"/>
      </w:docPartPr>
      <w:docPartBody>
        <w:p w:rsidR="00E160F8" w:rsidRDefault="000D208B" w:rsidP="000D208B">
          <w:pPr>
            <w:pStyle w:val="830902B53DD745E58DAA6D890C95C31F"/>
          </w:pPr>
          <w:r w:rsidRPr="00232CFA">
            <w:rPr>
              <w:rStyle w:val="PlaceholderText"/>
            </w:rPr>
            <w:t xml:space="preserve">Choose </w:t>
          </w:r>
          <w:r>
            <w:rPr>
              <w:rStyle w:val="PlaceholderText"/>
            </w:rPr>
            <w:t>a protective marking</w:t>
          </w:r>
        </w:p>
      </w:docPartBody>
    </w:docPart>
    <w:docPart>
      <w:docPartPr>
        <w:name w:val="ED1DA570617D43A189328C7DD0251EA5"/>
        <w:category>
          <w:name w:val="General"/>
          <w:gallery w:val="placeholder"/>
        </w:category>
        <w:types>
          <w:type w:val="bbPlcHdr"/>
        </w:types>
        <w:behaviors>
          <w:behavior w:val="content"/>
        </w:behaviors>
        <w:guid w:val="{D22C08ED-2E05-4C19-8EC0-5421F97D8447}"/>
      </w:docPartPr>
      <w:docPartBody>
        <w:p w:rsidR="00E160F8" w:rsidRDefault="000D208B" w:rsidP="000D208B">
          <w:pPr>
            <w:pStyle w:val="ED1DA570617D43A189328C7DD0251EA5"/>
          </w:pPr>
          <w:r w:rsidRPr="00BF51AE">
            <w:rPr>
              <w:rStyle w:val="PlaceholderText"/>
            </w:rPr>
            <w:t>Click here to enter text.</w:t>
          </w:r>
        </w:p>
      </w:docPartBody>
    </w:docPart>
    <w:docPart>
      <w:docPartPr>
        <w:name w:val="58FE7CD842D842A5B715D1D993CCF100"/>
        <w:category>
          <w:name w:val="General"/>
          <w:gallery w:val="placeholder"/>
        </w:category>
        <w:types>
          <w:type w:val="bbPlcHdr"/>
        </w:types>
        <w:behaviors>
          <w:behavior w:val="content"/>
        </w:behaviors>
        <w:guid w:val="{2BB40785-B925-48BC-B7D7-B0994373C99D}"/>
      </w:docPartPr>
      <w:docPartBody>
        <w:p w:rsidR="00E160F8" w:rsidRDefault="000D208B" w:rsidP="000D208B">
          <w:pPr>
            <w:pStyle w:val="58FE7CD842D842A5B715D1D993CCF100"/>
          </w:pPr>
          <w:r>
            <w:rPr>
              <w:i/>
              <w:iCs/>
              <w:color w:val="7F7F7F" w:themeColor="text1" w:themeTint="80"/>
              <w:spacing w:val="4"/>
              <w:sz w:val="14"/>
              <w:szCs w:val="14"/>
            </w:rPr>
            <w:t>select</w:t>
          </w:r>
          <w:r w:rsidRPr="009063BB">
            <w:rPr>
              <w:i/>
              <w:iCs/>
              <w:color w:val="7F7F7F" w:themeColor="text1" w:themeTint="80"/>
              <w:spacing w:val="4"/>
              <w:sz w:val="14"/>
              <w:szCs w:val="14"/>
            </w:rPr>
            <w:t xml:space="preserve"> a date</w:t>
          </w:r>
        </w:p>
      </w:docPartBody>
    </w:docPart>
    <w:docPart>
      <w:docPartPr>
        <w:name w:val="0DAA67CADD064538B19759DC28E1338E"/>
        <w:category>
          <w:name w:val="General"/>
          <w:gallery w:val="placeholder"/>
        </w:category>
        <w:types>
          <w:type w:val="bbPlcHdr"/>
        </w:types>
        <w:behaviors>
          <w:behavior w:val="content"/>
        </w:behaviors>
        <w:guid w:val="{799CE76E-BE7B-4ED3-9A80-9CA759500562}"/>
      </w:docPartPr>
      <w:docPartBody>
        <w:p w:rsidR="00E160F8" w:rsidRDefault="000D208B" w:rsidP="000D208B">
          <w:pPr>
            <w:pStyle w:val="0DAA67CADD064538B19759DC28E1338E"/>
          </w:pPr>
          <w:r>
            <w:rPr>
              <w:i/>
              <w:iCs/>
              <w:color w:val="7F7F7F" w:themeColor="text1" w:themeTint="80"/>
              <w:spacing w:val="4"/>
              <w:sz w:val="14"/>
              <w:szCs w:val="14"/>
            </w:rPr>
            <w:t>Select</w:t>
          </w:r>
          <w:r w:rsidRPr="009063BB">
            <w:rPr>
              <w:i/>
              <w:iCs/>
              <w:color w:val="7F7F7F" w:themeColor="text1" w:themeTint="80"/>
              <w:spacing w:val="4"/>
              <w:sz w:val="14"/>
              <w:szCs w:val="14"/>
            </w:rPr>
            <w:t xml:space="preserve"> a date</w:t>
          </w:r>
        </w:p>
      </w:docPartBody>
    </w:docPart>
    <w:docPart>
      <w:docPartPr>
        <w:name w:val="6D9D4DC7ADF64125A98F7A7CD8464F71"/>
        <w:category>
          <w:name w:val="General"/>
          <w:gallery w:val="placeholder"/>
        </w:category>
        <w:types>
          <w:type w:val="bbPlcHdr"/>
        </w:types>
        <w:behaviors>
          <w:behavior w:val="content"/>
        </w:behaviors>
        <w:guid w:val="{22AB73DE-0600-4CC8-AED0-4F5126741677}"/>
      </w:docPartPr>
      <w:docPartBody>
        <w:p w:rsidR="00E160F8" w:rsidRDefault="000D208B" w:rsidP="000D208B">
          <w:pPr>
            <w:pStyle w:val="6D9D4DC7ADF64125A98F7A7CD8464F71"/>
          </w:pPr>
          <w:r w:rsidRPr="00232CFA">
            <w:rPr>
              <w:rStyle w:val="PlaceholderText"/>
            </w:rPr>
            <w:t xml:space="preserve">Choose </w:t>
          </w:r>
          <w:r>
            <w:rPr>
              <w:rStyle w:val="PlaceholderText"/>
            </w:rPr>
            <w:t>a protective marking</w:t>
          </w:r>
        </w:p>
      </w:docPartBody>
    </w:docPart>
    <w:docPart>
      <w:docPartPr>
        <w:name w:val="DA9B52A60E46476EA92F49CA2F284A86"/>
        <w:category>
          <w:name w:val="General"/>
          <w:gallery w:val="placeholder"/>
        </w:category>
        <w:types>
          <w:type w:val="bbPlcHdr"/>
        </w:types>
        <w:behaviors>
          <w:behavior w:val="content"/>
        </w:behaviors>
        <w:guid w:val="{7A646881-A17D-45B1-897F-E1F406F92B03}"/>
      </w:docPartPr>
      <w:docPartBody>
        <w:p w:rsidR="00E160F8" w:rsidRDefault="000D208B" w:rsidP="000D208B">
          <w:pPr>
            <w:pStyle w:val="DA9B52A60E46476EA92F49CA2F284A86"/>
          </w:pPr>
          <w:r w:rsidRPr="00232CFA">
            <w:rPr>
              <w:rStyle w:val="PlaceholderText"/>
            </w:rPr>
            <w:t xml:space="preserve">Choose </w:t>
          </w:r>
          <w:r>
            <w:rPr>
              <w:rStyle w:val="PlaceholderText"/>
            </w:rPr>
            <w:t>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OGCKG+TimesNewRomanPSMT">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8B"/>
    <w:rsid w:val="000D208B"/>
    <w:rsid w:val="00E16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8B"/>
    <w:rPr>
      <w:color w:val="808080"/>
    </w:rPr>
  </w:style>
  <w:style w:type="paragraph" w:customStyle="1" w:styleId="830902B53DD745E58DAA6D890C95C31F">
    <w:name w:val="830902B53DD745E58DAA6D890C95C31F"/>
    <w:rsid w:val="000D208B"/>
  </w:style>
  <w:style w:type="paragraph" w:customStyle="1" w:styleId="ED1DA570617D43A189328C7DD0251EA5">
    <w:name w:val="ED1DA570617D43A189328C7DD0251EA5"/>
    <w:rsid w:val="000D208B"/>
  </w:style>
  <w:style w:type="paragraph" w:customStyle="1" w:styleId="DAF4676BA1794C25AB1048D5DBFB2B6E">
    <w:name w:val="DAF4676BA1794C25AB1048D5DBFB2B6E"/>
    <w:rsid w:val="000D208B"/>
  </w:style>
  <w:style w:type="paragraph" w:customStyle="1" w:styleId="57010FAE8DBF477F945DB24BAC0DEB05">
    <w:name w:val="57010FAE8DBF477F945DB24BAC0DEB05"/>
    <w:rsid w:val="000D208B"/>
  </w:style>
  <w:style w:type="paragraph" w:customStyle="1" w:styleId="89AAF59EF2C94507807E15E9282927F0">
    <w:name w:val="89AAF59EF2C94507807E15E9282927F0"/>
    <w:rsid w:val="000D208B"/>
  </w:style>
  <w:style w:type="paragraph" w:customStyle="1" w:styleId="01A387C4314040EDB965E492910CCFA4">
    <w:name w:val="01A387C4314040EDB965E492910CCFA4"/>
    <w:rsid w:val="000D208B"/>
  </w:style>
  <w:style w:type="paragraph" w:customStyle="1" w:styleId="F28D653F09884823AF573933D8CDD411">
    <w:name w:val="F28D653F09884823AF573933D8CDD411"/>
    <w:rsid w:val="000D208B"/>
  </w:style>
  <w:style w:type="paragraph" w:customStyle="1" w:styleId="D6BFE26113CB4799AC7493CB40AB6252">
    <w:name w:val="D6BFE26113CB4799AC7493CB40AB6252"/>
    <w:rsid w:val="000D208B"/>
  </w:style>
  <w:style w:type="paragraph" w:customStyle="1" w:styleId="58FE7CD842D842A5B715D1D993CCF100">
    <w:name w:val="58FE7CD842D842A5B715D1D993CCF100"/>
    <w:rsid w:val="000D208B"/>
  </w:style>
  <w:style w:type="paragraph" w:customStyle="1" w:styleId="9CB637D652A741E08D519586EF2B530C">
    <w:name w:val="9CB637D652A741E08D519586EF2B530C"/>
    <w:rsid w:val="000D208B"/>
  </w:style>
  <w:style w:type="paragraph" w:customStyle="1" w:styleId="0DAA67CADD064538B19759DC28E1338E">
    <w:name w:val="0DAA67CADD064538B19759DC28E1338E"/>
    <w:rsid w:val="000D208B"/>
  </w:style>
  <w:style w:type="paragraph" w:customStyle="1" w:styleId="6D9D4DC7ADF64125A98F7A7CD8464F71">
    <w:name w:val="6D9D4DC7ADF64125A98F7A7CD8464F71"/>
    <w:rsid w:val="000D208B"/>
  </w:style>
  <w:style w:type="paragraph" w:customStyle="1" w:styleId="DA9B52A60E46476EA92F49CA2F284A86">
    <w:name w:val="DA9B52A60E46476EA92F49CA2F284A86"/>
    <w:rsid w:val="000D208B"/>
  </w:style>
  <w:style w:type="paragraph" w:customStyle="1" w:styleId="03EE849F69C343CCB8FF9A10C1F9795C">
    <w:name w:val="03EE849F69C343CCB8FF9A10C1F9795C"/>
    <w:rsid w:val="000D208B"/>
  </w:style>
  <w:style w:type="paragraph" w:customStyle="1" w:styleId="507D798927B14F00A1CCF38336DAFF70">
    <w:name w:val="507D798927B14F00A1CCF38336DAFF70"/>
    <w:rsid w:val="000D2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extReview xmlns="fbad372e-4450-4be7-aace-d4b0880012f6">2021-02-19T03:51:34+00:00</NextReview>
    <ControlledDocumentCustodian xmlns="fbad372e-4450-4be7-aace-d4b0880012f6">
      <UserInfo>
        <DisplayName/>
        <AccountId xsi:nil="true"/>
        <AccountType/>
      </UserInfo>
    </ControlledDocumentCustodian>
    <MDLNumber xmlns="fbad372e-4450-4be7-aace-d4b0880012f6" xsi:nil="true"/>
    <TaxCatchAll xmlns="fbad372e-4450-4be7-aace-d4b0880012f6">
      <Value>19</Value>
    </TaxCatchAll>
    <ControlledDocumentApprovalDate xmlns="fbad372e-4450-4be7-aace-d4b0880012f6" xsi:nil="true"/>
    <ApprovedBy xmlns="fbad372e-4450-4be7-aace-d4b0880012f6">
      <UserInfo>
        <DisplayName/>
        <AccountId xsi:nil="true"/>
        <AccountType/>
      </UserInfo>
    </ApprovedBy>
    <LastReviewed xmlns="fbad372e-4450-4be7-aace-d4b0880012f6">2021-02-19T03:51:34+00:00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d25150e0-e36e-4b13-b344-36f3a47e63aa</TermId>
        </TermInfo>
      </Terms>
    </d0191f15c592471c99638c3c034aa03c>
    <ControlledDocumentStatus xmlns="fbad372e-4450-4be7-aace-d4b0880012f6">Endorsed</ControlledDocumentStatus>
    <MDLVersion xmlns="fbad372e-4450-4be7-aace-d4b0880012f6" xsi:nil="true"/>
    <_dlc_DocId xmlns="fbad372e-4450-4be7-aace-d4b0880012f6">STRATMGT-2-110</_dlc_DocId>
    <_dlc_DocIdUrl xmlns="fbad372e-4450-4be7-aace-d4b0880012f6">
      <Url>http://thedock.gbrmpa.gov.au/sites/SM/CD/_layouts/DocIdRedir.aspx?ID=STRATMGT-2-110</Url>
      <Description>STRATMGT-2-110</Description>
    </_dlc_DocIdUrl>
    <id654c2ae4f3493f9b24022f305a1e14 xmlns="fbad372e-4450-4be7-aace-d4b0880012f6">
      <Terms xmlns="http://schemas.microsoft.com/office/infopath/2007/PartnerControls"/>
    </id654c2ae4f3493f9b24022f305a1e14>
    <ea320ce74d6f438994a067fced8d3db5 xmlns="fbad372e-4450-4be7-aace-d4b0880012f6">
      <Terms xmlns="http://schemas.microsoft.com/office/infopath/2007/PartnerControls"/>
    </ea320ce74d6f438994a067fced8d3d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0800d060a2a42717482b6b4077067d8d">
  <xsd:schema xmlns:xsd="http://www.w3.org/2001/XMLSchema" xmlns:xs="http://www.w3.org/2001/XMLSchema" xmlns:p="http://schemas.microsoft.com/office/2006/metadata/properties" xmlns:ns2="fbad372e-4450-4be7-aace-d4b0880012f6" targetNamespace="http://schemas.microsoft.com/office/2006/metadata/properties" ma:root="true" ma:fieldsID="d7aca2c68400a19fa662f710015845ad"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element ref="ns2:ea320ce74d6f438994a067fced8d3db5" minOccurs="0"/>
                <xsd:element ref="ns2:id654c2ae4f3493f9b24022f305a1e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dexed="true"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ea320ce74d6f438994a067fced8d3db5" ma:index="27" nillable="true" ma:taxonomy="true" ma:internalName="ea320ce74d6f438994a067fced8d3db5" ma:taxonomyFieldName="BusinessArea" ma:displayName="Business Area" ma:fieldId="{ea320ce7-4d6f-4389-94a0-67fced8d3db5}"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id654c2ae4f3493f9b24022f305a1e14" ma:index="29" nillable="true" ma:taxonomy="true" ma:internalName="id654c2ae4f3493f9b24022f305a1e14" ma:taxonomyFieldName="FinYr" ma:displayName="FinYr" ma:default="" ma:fieldId="{2d654c2a-e4f3-493f-9b24-022f305a1e14}" ma:sspId="61e09954-7ca0-41ec-b279-33dba56ed054" ma:termSetId="402ecc91-e01b-4927-af77-c9c2fbd9ab4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745E-25C9-4116-BE91-0F7F227F3C97}">
  <ds:schemaRefs>
    <ds:schemaRef ds:uri="http://schemas.microsoft.com/sharepoint/events"/>
  </ds:schemaRefs>
</ds:datastoreItem>
</file>

<file path=customXml/itemProps2.xml><?xml version="1.0" encoding="utf-8"?>
<ds:datastoreItem xmlns:ds="http://schemas.openxmlformats.org/officeDocument/2006/customXml" ds:itemID="{E1B63F8F-B1D4-4EE1-9565-3E92166D621B}">
  <ds:schemaRefs>
    <ds:schemaRef ds:uri="http://schemas.microsoft.com/office/2006/documentManagement/types"/>
    <ds:schemaRef ds:uri="http://schemas.microsoft.com/office/infopath/2007/PartnerControls"/>
    <ds:schemaRef ds:uri="http://purl.org/dc/dcmitype/"/>
    <ds:schemaRef ds:uri="fbad372e-4450-4be7-aace-d4b0880012f6"/>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71B19AC-86B3-43CE-B5C7-8B55B99D66EA}">
  <ds:schemaRefs>
    <ds:schemaRef ds:uri="http://schemas.microsoft.com/sharepoint/v3/contenttype/forms"/>
  </ds:schemaRefs>
</ds:datastoreItem>
</file>

<file path=customXml/itemProps4.xml><?xml version="1.0" encoding="utf-8"?>
<ds:datastoreItem xmlns:ds="http://schemas.openxmlformats.org/officeDocument/2006/customXml" ds:itemID="{F5616DD0-27B9-4738-B3B7-6121252B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E02810-33C8-45D9-850E-EA6CD2CB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12896</Words>
  <Characters>71186</Characters>
  <Application>Microsoft Office Word</Application>
  <DocSecurity>0</DocSecurity>
  <Lines>1514</Lines>
  <Paragraphs>793</Paragraphs>
  <ScaleCrop>false</ScaleCrop>
  <HeadingPairs>
    <vt:vector size="2" baseType="variant">
      <vt:variant>
        <vt:lpstr>Title</vt:lpstr>
      </vt:variant>
      <vt:variant>
        <vt:i4>1</vt:i4>
      </vt:variant>
    </vt:vector>
  </HeadingPairs>
  <TitlesOfParts>
    <vt:vector size="1" baseType="lpstr">
      <vt:lpstr>Asset-Management-Policy</vt:lpstr>
    </vt:vector>
  </TitlesOfParts>
  <Manager>Belinda.Jago@gbrmpa.gov.au</Manager>
  <Company>GBRMPA</Company>
  <LinksUpToDate>false</LinksUpToDate>
  <CharactersWithSpaces>83289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Asset-Management-Policy</dc:title>
  <dc:creator>Jason.Davidson@gbrmpa.gov.au</dc:creator>
  <cp:keywords>OFFICIAL</cp:keywords>
  <cp:lastModifiedBy>Joanna Ruxton</cp:lastModifiedBy>
  <cp:revision>2</cp:revision>
  <cp:lastPrinted>2021-03-23T02:11:00Z</cp:lastPrinted>
  <dcterms:created xsi:type="dcterms:W3CDTF">2021-03-23T04:27:00Z</dcterms:created>
  <dcterms:modified xsi:type="dcterms:W3CDTF">2021-03-23T04:27:00Z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11000</vt:r8>
  </property>
  <property fmtid="{D5CDD505-2E9C-101B-9397-08002B2CF9AE}" pid="3" name="ControlledDocumentType">
    <vt:lpwstr>Policy - Internal</vt:lpwstr>
  </property>
  <property fmtid="{D5CDD505-2E9C-101B-9397-08002B2CF9AE}" pid="4" name="RecordPoint_RecordNumberSubmitted">
    <vt:lpwstr>R0000098896</vt:lpwstr>
  </property>
  <property fmtid="{D5CDD505-2E9C-101B-9397-08002B2CF9AE}" pid="5" name="RecordPoint_ActiveItemSiteId">
    <vt:lpwstr>{26e726f3-e67c-4652-8ab5-8d159b8d608a}</vt:lpwstr>
  </property>
  <property fmtid="{D5CDD505-2E9C-101B-9397-08002B2CF9AE}" pid="6" name="d0191f15c592471c99638c3c034aa03c">
    <vt:lpwstr>Policy Document - Internal|bb184327-c59f-47fd-89d6-c5d14e83aa82</vt:lpwstr>
  </property>
  <property fmtid="{D5CDD505-2E9C-101B-9397-08002B2CF9AE}" pid="7" name="ControlledDocumentCustodian">
    <vt:lpwstr/>
  </property>
  <property fmtid="{D5CDD505-2E9C-101B-9397-08002B2CF9AE}" pid="8" name="RecordPoint_ActiveItemListId">
    <vt:lpwstr>{d06ea39e-2103-4b5b-8620-6b6c442cf20c}</vt:lpwstr>
  </property>
  <property fmtid="{D5CDD505-2E9C-101B-9397-08002B2CF9AE}" pid="9" name="ContentTypeId">
    <vt:lpwstr>0x0101005FF1A68DBD831C4CA44A63DFCFD7847302000761C49ED7C52A47BF8F32BBF129CBBF</vt:lpwstr>
  </property>
  <property fmtid="{D5CDD505-2E9C-101B-9397-08002B2CF9AE}" pid="10" name="ControlledDocumentResponsibleOfficer">
    <vt:lpwstr/>
  </property>
  <property fmtid="{D5CDD505-2E9C-101B-9397-08002B2CF9AE}" pid="11" name="RecordPoint_ActiveItemUniqueId">
    <vt:lpwstr>{1046ff9e-65f3-4415-b716-678a78032fd0}</vt:lpwstr>
  </property>
  <property fmtid="{D5CDD505-2E9C-101B-9397-08002B2CF9AE}" pid="12" name="RecordPoint_SubmissionCompleted">
    <vt:lpwstr>2016-01-21T11:59:51.9872818+10:00</vt:lpwstr>
  </property>
  <property fmtid="{D5CDD505-2E9C-101B-9397-08002B2CF9AE}" pid="13" name="RecordPoint_ActiveItemWebId">
    <vt:lpwstr>{63014b5d-9133-4ea9-ae73-ec2e1788038e}</vt:lpwstr>
  </property>
  <property fmtid="{D5CDD505-2E9C-101B-9397-08002B2CF9AE}" pid="14" name="TaxCatchAll">
    <vt:lpwstr>20;#Policy Document - Internal|bb184327-c59f-47fd-89d6-c5d14e83aa82</vt:lpwstr>
  </property>
  <property fmtid="{D5CDD505-2E9C-101B-9397-08002B2CF9AE}" pid="15" name="RecordPoint_WorkflowType">
    <vt:lpwstr>ActiveSubmitStub</vt:lpwstr>
  </property>
  <property fmtid="{D5CDD505-2E9C-101B-9397-08002B2CF9AE}" pid="16" name="CDType">
    <vt:lpwstr>19;#Unspecified|d25150e0-e36e-4b13-b344-36f3a47e63aa</vt:lpwstr>
  </property>
  <property fmtid="{D5CDD505-2E9C-101B-9397-08002B2CF9AE}" pid="17" name="IconOverlay">
    <vt:lpwstr/>
  </property>
  <property fmtid="{D5CDD505-2E9C-101B-9397-08002B2CF9AE}" pid="18" name="_dlc_DocIdItemGuid">
    <vt:lpwstr>1046ff9e-65f3-4415-b716-678a78032fd0</vt:lpwstr>
  </property>
  <property fmtid="{D5CDD505-2E9C-101B-9397-08002B2CF9AE}" pid="19" name="BusinessArea">
    <vt:lpwstr/>
  </property>
  <property fmtid="{D5CDD505-2E9C-101B-9397-08002B2CF9AE}" pid="20" name="FinYr">
    <vt:lpwstr/>
  </property>
  <property fmtid="{D5CDD505-2E9C-101B-9397-08002B2CF9AE}" pid="21" name="TitusGUID">
    <vt:lpwstr>4872a96a-3cf7-40a4-a474-c79f579d3a5e</vt:lpwstr>
  </property>
  <property fmtid="{D5CDD505-2E9C-101B-9397-08002B2CF9AE}" pid="22" name="DLM">
    <vt:lpwstr>No DLM</vt:lpwstr>
  </property>
  <property fmtid="{D5CDD505-2E9C-101B-9397-08002B2CF9AE}" pid="23" name="SEC">
    <vt:lpwstr>OFFICIAL</vt:lpwstr>
  </property>
</Properties>
</file>