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D83F5" w14:textId="178950E7" w:rsidR="00CC09D2" w:rsidRDefault="007D3495" w:rsidP="00B52BD2">
      <w:pPr>
        <w:pStyle w:val="MonthYear"/>
        <w:spacing w:before="80"/>
        <w:ind w:right="-176"/>
      </w:pPr>
      <w:r>
        <w:rPr>
          <w:b w:val="0"/>
        </w:rPr>
        <w:t>(</w:t>
      </w:r>
      <w:r w:rsidR="00C47891">
        <w:rPr>
          <w:b w:val="0"/>
        </w:rPr>
        <w:t xml:space="preserve">Draft for public consultation) </w:t>
      </w:r>
      <w:r w:rsidR="00AF5CBF">
        <w:t>February</w:t>
      </w:r>
      <w:r w:rsidR="00AF5CBF" w:rsidRPr="008D6410">
        <w:t xml:space="preserve"> </w:t>
      </w:r>
      <w:r w:rsidR="009B0170" w:rsidRPr="008D6410">
        <w:t xml:space="preserve">/ </w:t>
      </w:r>
      <w:r w:rsidR="00E13F61">
        <w:t>201</w:t>
      </w:r>
      <w:r w:rsidR="003B5A5E">
        <w:t>8</w:t>
      </w:r>
    </w:p>
    <w:p w14:paraId="1E1D83F6" w14:textId="77777777" w:rsidR="0048383C" w:rsidRPr="00C47891" w:rsidRDefault="009B0170" w:rsidP="00C47891">
      <w:pPr>
        <w:pStyle w:val="MonthYear"/>
        <w:ind w:right="-35"/>
        <w:jc w:val="left"/>
      </w:pPr>
      <w:r w:rsidRPr="00C47891">
        <w:rPr>
          <w:lang w:eastAsia="en-US"/>
        </w:rPr>
        <w:t>Obj</w:t>
      </w:r>
      <w:r w:rsidR="00F72C55" w:rsidRPr="00C47891">
        <w:rPr>
          <w:lang w:eastAsia="en-US"/>
        </w:rPr>
        <w:t>ective</w:t>
      </w:r>
      <w:r w:rsidR="00796867" w:rsidRPr="00C47891">
        <w:t xml:space="preserve"> </w:t>
      </w:r>
    </w:p>
    <w:p w14:paraId="1E1D83F7" w14:textId="51A76531" w:rsidR="00627E60" w:rsidRPr="00C47891" w:rsidRDefault="00627E60" w:rsidP="00627E60">
      <w:pPr>
        <w:pStyle w:val="ObjectiveTargetAudience"/>
        <w:rPr>
          <w:rFonts w:ascii="Arial" w:hAnsi="Arial" w:cs="Arial"/>
          <w:sz w:val="20"/>
          <w:szCs w:val="20"/>
        </w:rPr>
      </w:pPr>
      <w:r w:rsidRPr="00C47891">
        <w:rPr>
          <w:rFonts w:ascii="Arial" w:hAnsi="Arial" w:cs="Arial"/>
          <w:sz w:val="20"/>
          <w:szCs w:val="20"/>
        </w:rPr>
        <w:t xml:space="preserve">To provide guidance to delegates </w:t>
      </w:r>
      <w:r w:rsidR="00D847A1" w:rsidRPr="00C47891">
        <w:rPr>
          <w:rFonts w:ascii="Arial" w:hAnsi="Arial" w:cs="Arial"/>
          <w:sz w:val="20"/>
          <w:szCs w:val="20"/>
        </w:rPr>
        <w:t xml:space="preserve">and applicants </w:t>
      </w:r>
      <w:r w:rsidRPr="00C47891">
        <w:rPr>
          <w:rFonts w:ascii="Arial" w:hAnsi="Arial" w:cs="Arial"/>
          <w:sz w:val="20"/>
          <w:szCs w:val="20"/>
        </w:rPr>
        <w:t xml:space="preserve">when considering an application for permission to conduct intervention activities </w:t>
      </w:r>
      <w:r w:rsidR="00194083" w:rsidRPr="00C47891">
        <w:rPr>
          <w:rFonts w:ascii="Arial" w:hAnsi="Arial" w:cs="Arial"/>
          <w:sz w:val="20"/>
          <w:szCs w:val="20"/>
        </w:rPr>
        <w:t xml:space="preserve">to improve resilience of coral reef habitats </w:t>
      </w:r>
      <w:r w:rsidRPr="00C47891">
        <w:rPr>
          <w:rFonts w:ascii="Arial" w:hAnsi="Arial" w:cs="Arial"/>
          <w:sz w:val="20"/>
          <w:szCs w:val="20"/>
        </w:rPr>
        <w:t xml:space="preserve">in the Great Barrier Reef Marine Park. </w:t>
      </w:r>
    </w:p>
    <w:p w14:paraId="1E1D83F8" w14:textId="77777777" w:rsidR="00627E60" w:rsidRPr="00C47891" w:rsidRDefault="00627E60" w:rsidP="00C47891">
      <w:pPr>
        <w:pStyle w:val="ObjectiveTargetAudience"/>
        <w:spacing w:after="0"/>
        <w:ind w:left="0"/>
        <w:rPr>
          <w:b/>
          <w:lang w:eastAsia="en-US"/>
        </w:rPr>
      </w:pPr>
      <w:r w:rsidRPr="00C47891">
        <w:rPr>
          <w:b/>
          <w:lang w:eastAsia="en-US"/>
        </w:rPr>
        <w:t>Target audience</w:t>
      </w:r>
    </w:p>
    <w:p w14:paraId="1E1D83F9" w14:textId="4F19494D" w:rsidR="001662BC" w:rsidRPr="00C47891" w:rsidRDefault="00627E60" w:rsidP="00627E60">
      <w:pPr>
        <w:pStyle w:val="ObjectiveTargetAudience"/>
        <w:rPr>
          <w:rFonts w:ascii="Arial" w:hAnsi="Arial" w:cs="Arial"/>
          <w:sz w:val="20"/>
          <w:szCs w:val="20"/>
        </w:rPr>
      </w:pPr>
      <w:r w:rsidRPr="00C47891">
        <w:rPr>
          <w:rFonts w:ascii="Arial" w:hAnsi="Arial" w:cs="Arial"/>
          <w:sz w:val="20"/>
          <w:szCs w:val="20"/>
        </w:rPr>
        <w:t xml:space="preserve">Agency staff; applicants for permission </w:t>
      </w:r>
      <w:r w:rsidR="002F596C" w:rsidRPr="00C47891">
        <w:rPr>
          <w:rFonts w:ascii="Arial" w:hAnsi="Arial" w:cs="Arial"/>
          <w:sz w:val="20"/>
          <w:szCs w:val="20"/>
        </w:rPr>
        <w:t>to conduct intervention activities</w:t>
      </w:r>
      <w:r w:rsidR="00194083" w:rsidRPr="00C47891">
        <w:rPr>
          <w:rFonts w:ascii="Arial" w:hAnsi="Arial" w:cs="Arial"/>
          <w:sz w:val="20"/>
          <w:szCs w:val="20"/>
        </w:rPr>
        <w:t xml:space="preserve"> to improve resilience of coral reef habitats in the Great Barrier Reef Marine Park</w:t>
      </w:r>
    </w:p>
    <w:p w14:paraId="1E1D83FA" w14:textId="77777777" w:rsidR="00094EE9" w:rsidRPr="00FC517E" w:rsidRDefault="0048383C" w:rsidP="00FC517E">
      <w:pPr>
        <w:pStyle w:val="Heading1"/>
      </w:pPr>
      <w:r w:rsidRPr="00FC517E">
        <w:t>Purpose</w:t>
      </w:r>
    </w:p>
    <w:p w14:paraId="29220619" w14:textId="0ABAA63E" w:rsidR="007042F2" w:rsidRDefault="002F596C" w:rsidP="008213A8">
      <w:pPr>
        <w:pStyle w:val="BodyTextNumbering"/>
      </w:pPr>
      <w:r>
        <w:t xml:space="preserve">To </w:t>
      </w:r>
      <w:r w:rsidR="00C40FA6">
        <w:t xml:space="preserve">inform </w:t>
      </w:r>
      <w:r>
        <w:t xml:space="preserve">reef intervention activities </w:t>
      </w:r>
      <w:r w:rsidR="00194083" w:rsidRPr="007042F2">
        <w:t>designed to improve the resilience of coral</w:t>
      </w:r>
      <w:r w:rsidR="00194083">
        <w:t xml:space="preserve"> reef habitats</w:t>
      </w:r>
      <w:r w:rsidR="00C40FA6">
        <w:t>, while ensuring they</w:t>
      </w:r>
      <w:r w:rsidR="00194083">
        <w:t xml:space="preserve"> </w:t>
      </w:r>
      <w:r>
        <w:t xml:space="preserve">do not have </w:t>
      </w:r>
      <w:r w:rsidR="007042F2" w:rsidRPr="007042F2">
        <w:t xml:space="preserve">an adverse impact on the </w:t>
      </w:r>
      <w:r w:rsidR="007042F2">
        <w:t>biodiversity</w:t>
      </w:r>
      <w:r w:rsidR="00F428F8">
        <w:t>,</w:t>
      </w:r>
      <w:r w:rsidR="007042F2">
        <w:t xml:space="preserve"> heritage</w:t>
      </w:r>
      <w:r w:rsidR="00F428F8">
        <w:t>, social or economic</w:t>
      </w:r>
      <w:r w:rsidR="007042F2">
        <w:t xml:space="preserve"> values</w:t>
      </w:r>
      <w:r w:rsidR="007042F2" w:rsidRPr="007042F2">
        <w:t xml:space="preserve"> </w:t>
      </w:r>
      <w:r w:rsidR="00E2716E">
        <w:t>of</w:t>
      </w:r>
      <w:r w:rsidR="007042F2" w:rsidRPr="007042F2">
        <w:t xml:space="preserve"> the Marine Park</w:t>
      </w:r>
      <w:r>
        <w:t xml:space="preserve">. </w:t>
      </w:r>
    </w:p>
    <w:p w14:paraId="1E1D83FC" w14:textId="77777777" w:rsidR="0048383C" w:rsidRPr="008D6410" w:rsidRDefault="00380B59" w:rsidP="00FC517E">
      <w:pPr>
        <w:pStyle w:val="Heading1"/>
      </w:pPr>
      <w:r w:rsidRPr="008D6410">
        <w:t>Related legislation / standards / p</w:t>
      </w:r>
      <w:r w:rsidR="0048383C" w:rsidRPr="008D6410">
        <w:t>olicy</w:t>
      </w:r>
    </w:p>
    <w:p w14:paraId="3CF05467" w14:textId="4AB6F1B5" w:rsidR="00753805" w:rsidRDefault="008346C3" w:rsidP="002F596C">
      <w:pPr>
        <w:pStyle w:val="BodyTextNumbering"/>
        <w:ind w:left="426" w:hanging="426"/>
      </w:pPr>
      <w:r>
        <w:t xml:space="preserve">This </w:t>
      </w:r>
      <w:r w:rsidR="00675C7A">
        <w:t xml:space="preserve">guideline </w:t>
      </w:r>
      <w:r>
        <w:t xml:space="preserve">should be read in conjunction with </w:t>
      </w:r>
      <w:r w:rsidR="001F69B1">
        <w:t>the Environmental Impact Management</w:t>
      </w:r>
      <w:r>
        <w:t xml:space="preserve"> Policy: Permission System and other relevant legislation, policies and standards</w:t>
      </w:r>
      <w:r w:rsidR="00B52BD2">
        <w:t xml:space="preserve">, as listed within </w:t>
      </w:r>
      <w:hyperlink w:anchor="_Appendix_1._" w:history="1">
        <w:r w:rsidR="00B52BD2" w:rsidRPr="00B52BD2">
          <w:rPr>
            <w:rStyle w:val="Hyperlink"/>
          </w:rPr>
          <w:t>Appendix 1</w:t>
        </w:r>
      </w:hyperlink>
      <w:r w:rsidR="00753805">
        <w:t>.</w:t>
      </w:r>
    </w:p>
    <w:p w14:paraId="1E1D8404" w14:textId="77777777" w:rsidR="0048383C" w:rsidRPr="008D6410" w:rsidRDefault="0048383C" w:rsidP="00FC517E">
      <w:pPr>
        <w:pStyle w:val="Heading1"/>
      </w:pPr>
      <w:r w:rsidRPr="008D6410">
        <w:t>Context</w:t>
      </w:r>
    </w:p>
    <w:p w14:paraId="1E1D8405" w14:textId="077DA8FB" w:rsidR="002F596C" w:rsidRPr="00FC517E" w:rsidRDefault="002F596C" w:rsidP="002F596C">
      <w:pPr>
        <w:pStyle w:val="BodyTextNumbering"/>
        <w:spacing w:after="120"/>
        <w:ind w:left="426" w:hanging="426"/>
        <w:rPr>
          <w:rFonts w:cs="Arial"/>
          <w:spacing w:val="-2"/>
          <w:szCs w:val="20"/>
        </w:rPr>
      </w:pPr>
      <w:r w:rsidRPr="00FC517E">
        <w:rPr>
          <w:rFonts w:cs="Arial"/>
          <w:spacing w:val="-2"/>
          <w:szCs w:val="20"/>
        </w:rPr>
        <w:t xml:space="preserve">Coral reefs are the cornerstone of the Great Barrier Reef ecosystem and its evolutionary history. Their species diversity, habitat value and natural beauty are major contributors to the Reef’s outstanding universal value as a world heritage area. The Great Barrier Reef is the world's largest coral reef ecosystem, ranging over 14 degrees in latitude and comprising more than 2900 separate coral reefs. </w:t>
      </w:r>
    </w:p>
    <w:p w14:paraId="1E1D8406" w14:textId="75F23415" w:rsidR="002F596C" w:rsidRPr="00FC517E" w:rsidRDefault="002F596C" w:rsidP="002F596C">
      <w:pPr>
        <w:pStyle w:val="BodyTextNumbering"/>
        <w:spacing w:after="120"/>
        <w:ind w:left="426" w:hanging="426"/>
        <w:rPr>
          <w:rFonts w:cs="Arial"/>
          <w:spacing w:val="-2"/>
          <w:szCs w:val="20"/>
        </w:rPr>
      </w:pPr>
      <w:r w:rsidRPr="00FC517E">
        <w:rPr>
          <w:rFonts w:cs="Arial"/>
          <w:spacing w:val="-2"/>
          <w:szCs w:val="20"/>
        </w:rPr>
        <w:t xml:space="preserve">The condition and trend of coral reef habitats within the Great Barrier Reef Marine Park </w:t>
      </w:r>
      <w:r w:rsidR="000314A7" w:rsidRPr="00FC517E">
        <w:rPr>
          <w:rFonts w:cs="Arial"/>
          <w:spacing w:val="-2"/>
          <w:szCs w:val="20"/>
        </w:rPr>
        <w:t>has</w:t>
      </w:r>
      <w:r w:rsidRPr="00FC517E">
        <w:rPr>
          <w:rFonts w:cs="Arial"/>
          <w:spacing w:val="-2"/>
          <w:szCs w:val="20"/>
        </w:rPr>
        <w:t xml:space="preserve"> declined over the past 30 years as highlighted in the 2014 Outlook Report, more recently in the Reef 2050 Long-Term Sustainability Plan (the Reef 2050 Plan) and subsequent monitoring data. </w:t>
      </w:r>
      <w:r w:rsidR="007042F2" w:rsidRPr="00FC517E">
        <w:rPr>
          <w:rFonts w:cs="Arial"/>
          <w:spacing w:val="-2"/>
          <w:szCs w:val="20"/>
        </w:rPr>
        <w:t>The 2014 Outlook Report noted that all actions</w:t>
      </w:r>
      <w:r w:rsidR="00064F25" w:rsidRPr="00FC517E">
        <w:rPr>
          <w:rFonts w:cs="Arial"/>
          <w:spacing w:val="-2"/>
          <w:szCs w:val="20"/>
        </w:rPr>
        <w:t xml:space="preserve"> </w:t>
      </w:r>
      <w:r w:rsidR="007042F2" w:rsidRPr="00FC517E">
        <w:rPr>
          <w:rFonts w:cs="Arial"/>
          <w:spacing w:val="-2"/>
          <w:szCs w:val="20"/>
        </w:rPr>
        <w:t>to reduce the threats to the Reef</w:t>
      </w:r>
      <w:r w:rsidR="00064F25" w:rsidRPr="00FC517E">
        <w:rPr>
          <w:rFonts w:cs="Arial"/>
          <w:spacing w:val="-2"/>
          <w:szCs w:val="20"/>
        </w:rPr>
        <w:t>, whether big or small,</w:t>
      </w:r>
      <w:r w:rsidR="007042F2" w:rsidRPr="00FC517E">
        <w:rPr>
          <w:rFonts w:cs="Arial"/>
          <w:spacing w:val="-2"/>
          <w:szCs w:val="20"/>
        </w:rPr>
        <w:t xml:space="preserve"> will help restore condition and will improve its outlook. The Reef 2050 Plan highlights the need to restore</w:t>
      </w:r>
      <w:r w:rsidR="00334014" w:rsidRPr="00FC517E">
        <w:rPr>
          <w:rFonts w:cs="Arial"/>
          <w:spacing w:val="-2"/>
          <w:szCs w:val="20"/>
        </w:rPr>
        <w:t xml:space="preserve"> the</w:t>
      </w:r>
      <w:r w:rsidR="007042F2" w:rsidRPr="00FC517E">
        <w:rPr>
          <w:rFonts w:cs="Arial"/>
          <w:spacing w:val="-2"/>
          <w:szCs w:val="20"/>
        </w:rPr>
        <w:t xml:space="preserve"> resilience of ecosystems in the face of current and future threats; for example, from climate change. A resilient ecosystem refers to the capacity of that ecosystem to either resist (absorb) or to recover from </w:t>
      </w:r>
      <w:r w:rsidR="00334014" w:rsidRPr="00FC517E">
        <w:rPr>
          <w:rFonts w:cs="Arial"/>
          <w:spacing w:val="-2"/>
          <w:szCs w:val="20"/>
        </w:rPr>
        <w:t xml:space="preserve">an </w:t>
      </w:r>
      <w:r w:rsidR="007042F2" w:rsidRPr="00FC517E">
        <w:rPr>
          <w:rFonts w:cs="Arial"/>
          <w:spacing w:val="-2"/>
          <w:szCs w:val="20"/>
        </w:rPr>
        <w:t>impact.</w:t>
      </w:r>
    </w:p>
    <w:p w14:paraId="1E1D8408" w14:textId="6F546E3D" w:rsidR="002F596C" w:rsidRPr="00FC517E" w:rsidRDefault="002F596C" w:rsidP="007042F2">
      <w:pPr>
        <w:pStyle w:val="BodyTextNumbering"/>
        <w:spacing w:after="120"/>
        <w:ind w:left="426" w:hanging="426"/>
        <w:rPr>
          <w:rFonts w:cs="Arial"/>
          <w:spacing w:val="-2"/>
          <w:szCs w:val="20"/>
        </w:rPr>
      </w:pPr>
      <w:r w:rsidRPr="00FC517E">
        <w:rPr>
          <w:rFonts w:cs="Arial"/>
          <w:spacing w:val="-2"/>
          <w:szCs w:val="20"/>
        </w:rPr>
        <w:t>The</w:t>
      </w:r>
      <w:r w:rsidR="00334014" w:rsidRPr="00FC517E">
        <w:rPr>
          <w:rFonts w:cs="Arial"/>
          <w:spacing w:val="-2"/>
          <w:szCs w:val="20"/>
        </w:rPr>
        <w:t xml:space="preserve"> declining condition of</w:t>
      </w:r>
      <w:r w:rsidRPr="00FC517E">
        <w:rPr>
          <w:rFonts w:cs="Arial"/>
          <w:spacing w:val="-2"/>
          <w:szCs w:val="20"/>
        </w:rPr>
        <w:t xml:space="preserve"> coral reef habitats </w:t>
      </w:r>
      <w:r w:rsidR="007042F2" w:rsidRPr="00FC517E">
        <w:rPr>
          <w:rFonts w:cs="Arial"/>
          <w:spacing w:val="-2"/>
          <w:szCs w:val="20"/>
        </w:rPr>
        <w:t xml:space="preserve">in the Great Barrier Reef </w:t>
      </w:r>
      <w:r w:rsidR="00334014" w:rsidRPr="00FC517E">
        <w:rPr>
          <w:rFonts w:cs="Arial"/>
          <w:spacing w:val="-2"/>
          <w:szCs w:val="20"/>
        </w:rPr>
        <w:t>is</w:t>
      </w:r>
      <w:r w:rsidRPr="00FC517E">
        <w:rPr>
          <w:rFonts w:cs="Arial"/>
          <w:spacing w:val="-2"/>
          <w:szCs w:val="20"/>
        </w:rPr>
        <w:t xml:space="preserve"> largely the result </w:t>
      </w:r>
      <w:r w:rsidR="00334014" w:rsidRPr="00FC517E">
        <w:rPr>
          <w:rFonts w:cs="Arial"/>
          <w:spacing w:val="-2"/>
          <w:szCs w:val="20"/>
        </w:rPr>
        <w:t>of insufficient time for coral recruitment and growth to compensate for cumula</w:t>
      </w:r>
      <w:r w:rsidR="00194083" w:rsidRPr="00FC517E">
        <w:rPr>
          <w:rFonts w:cs="Arial"/>
          <w:spacing w:val="-2"/>
          <w:szCs w:val="20"/>
        </w:rPr>
        <w:t>tive coral lo</w:t>
      </w:r>
      <w:r w:rsidR="00C50D9B" w:rsidRPr="00FC517E">
        <w:rPr>
          <w:rFonts w:cs="Arial"/>
          <w:spacing w:val="-2"/>
          <w:szCs w:val="20"/>
        </w:rPr>
        <w:t>s</w:t>
      </w:r>
      <w:r w:rsidR="00194083" w:rsidRPr="00FC517E">
        <w:rPr>
          <w:rFonts w:cs="Arial"/>
          <w:spacing w:val="-2"/>
          <w:szCs w:val="20"/>
        </w:rPr>
        <w:t>ses resulting from</w:t>
      </w:r>
      <w:r w:rsidRPr="00FC517E">
        <w:rPr>
          <w:rFonts w:cs="Arial"/>
          <w:spacing w:val="-2"/>
          <w:szCs w:val="20"/>
        </w:rPr>
        <w:t xml:space="preserve"> cyclones, crown-of-thorns starfish</w:t>
      </w:r>
      <w:r w:rsidR="00D248DE" w:rsidRPr="00FC517E">
        <w:rPr>
          <w:rFonts w:cs="Arial"/>
          <w:spacing w:val="-2"/>
          <w:szCs w:val="20"/>
        </w:rPr>
        <w:t>,</w:t>
      </w:r>
      <w:r w:rsidR="00334014" w:rsidRPr="00FC517E">
        <w:rPr>
          <w:rFonts w:cs="Arial"/>
          <w:spacing w:val="-2"/>
          <w:szCs w:val="20"/>
        </w:rPr>
        <w:t xml:space="preserve"> coral disease </w:t>
      </w:r>
      <w:r w:rsidRPr="00FC517E">
        <w:rPr>
          <w:rFonts w:cs="Arial"/>
          <w:spacing w:val="-2"/>
          <w:szCs w:val="20"/>
        </w:rPr>
        <w:t>outbreaks</w:t>
      </w:r>
      <w:r w:rsidR="00C50D9B" w:rsidRPr="00FC517E">
        <w:rPr>
          <w:rFonts w:cs="Arial"/>
          <w:spacing w:val="-2"/>
          <w:szCs w:val="20"/>
        </w:rPr>
        <w:t>,</w:t>
      </w:r>
      <w:r w:rsidR="00334014" w:rsidRPr="00FC517E">
        <w:rPr>
          <w:rFonts w:cs="Arial"/>
          <w:spacing w:val="-2"/>
          <w:szCs w:val="20"/>
        </w:rPr>
        <w:t xml:space="preserve"> </w:t>
      </w:r>
      <w:r w:rsidR="006B2F47" w:rsidRPr="00FC517E">
        <w:rPr>
          <w:rFonts w:cs="Arial"/>
          <w:spacing w:val="-2"/>
          <w:szCs w:val="20"/>
        </w:rPr>
        <w:t>and mass</w:t>
      </w:r>
      <w:r w:rsidRPr="00FC517E">
        <w:rPr>
          <w:rFonts w:cs="Arial"/>
          <w:spacing w:val="-2"/>
          <w:szCs w:val="20"/>
        </w:rPr>
        <w:t xml:space="preserve"> </w:t>
      </w:r>
      <w:r w:rsidR="00334014" w:rsidRPr="00FC517E">
        <w:rPr>
          <w:rFonts w:cs="Arial"/>
          <w:spacing w:val="-2"/>
          <w:szCs w:val="20"/>
        </w:rPr>
        <w:t xml:space="preserve">coral </w:t>
      </w:r>
      <w:r w:rsidRPr="00FC517E">
        <w:rPr>
          <w:rFonts w:cs="Arial"/>
          <w:spacing w:val="-2"/>
          <w:szCs w:val="20"/>
        </w:rPr>
        <w:t xml:space="preserve">bleaching events. </w:t>
      </w:r>
      <w:r w:rsidR="00334014" w:rsidRPr="00FC517E">
        <w:rPr>
          <w:rFonts w:cs="Arial"/>
          <w:spacing w:val="-2"/>
          <w:szCs w:val="20"/>
        </w:rPr>
        <w:t>In addition, e</w:t>
      </w:r>
      <w:r w:rsidRPr="00FC517E">
        <w:rPr>
          <w:rFonts w:cs="Arial"/>
          <w:spacing w:val="-2"/>
          <w:szCs w:val="20"/>
        </w:rPr>
        <w:t xml:space="preserve">levated loads of nutrients, sediments and pesticides in land-based run-off are likely to have </w:t>
      </w:r>
      <w:r w:rsidR="00334014" w:rsidRPr="00FC517E">
        <w:rPr>
          <w:rFonts w:cs="Arial"/>
          <w:spacing w:val="-2"/>
          <w:szCs w:val="20"/>
        </w:rPr>
        <w:t xml:space="preserve">further </w:t>
      </w:r>
      <w:r w:rsidRPr="00FC517E">
        <w:rPr>
          <w:rFonts w:cs="Arial"/>
          <w:spacing w:val="-2"/>
          <w:szCs w:val="20"/>
        </w:rPr>
        <w:t>affected recovery periods in inshore areas. While coral reefs have a natural ability to recover from periodic disturbances,</w:t>
      </w:r>
      <w:r w:rsidR="009452E1" w:rsidRPr="00FC517E">
        <w:rPr>
          <w:rFonts w:cs="Arial"/>
          <w:spacing w:val="-2"/>
          <w:szCs w:val="20"/>
        </w:rPr>
        <w:t xml:space="preserve"> </w:t>
      </w:r>
      <w:r w:rsidRPr="00FC517E">
        <w:rPr>
          <w:rFonts w:cs="Arial"/>
          <w:spacing w:val="-2"/>
          <w:szCs w:val="20"/>
        </w:rPr>
        <w:t xml:space="preserve">chronic pressures, such as </w:t>
      </w:r>
      <w:r w:rsidR="00334014" w:rsidRPr="00FC517E">
        <w:rPr>
          <w:rFonts w:cs="Arial"/>
          <w:spacing w:val="-2"/>
          <w:szCs w:val="20"/>
        </w:rPr>
        <w:t xml:space="preserve">rising sea temperatures and </w:t>
      </w:r>
      <w:r w:rsidRPr="00FC517E">
        <w:rPr>
          <w:rFonts w:cs="Arial"/>
          <w:spacing w:val="-2"/>
          <w:szCs w:val="20"/>
        </w:rPr>
        <w:t xml:space="preserve">poor water quality, </w:t>
      </w:r>
      <w:r w:rsidR="009452E1" w:rsidRPr="00FC517E">
        <w:rPr>
          <w:rFonts w:cs="Arial"/>
          <w:spacing w:val="-2"/>
          <w:szCs w:val="20"/>
        </w:rPr>
        <w:t xml:space="preserve">can compromise this ability. </w:t>
      </w:r>
      <w:r w:rsidRPr="00FC517E">
        <w:rPr>
          <w:rFonts w:cs="Arial"/>
          <w:spacing w:val="-2"/>
          <w:szCs w:val="20"/>
        </w:rPr>
        <w:t xml:space="preserve"> </w:t>
      </w:r>
    </w:p>
    <w:p w14:paraId="1E1D840A" w14:textId="75D83CF8" w:rsidR="002F596C" w:rsidRPr="00FC517E" w:rsidRDefault="002F596C" w:rsidP="002F596C">
      <w:pPr>
        <w:pStyle w:val="BodyTextNumbering"/>
        <w:ind w:left="426" w:hanging="426"/>
        <w:rPr>
          <w:rFonts w:cs="Arial"/>
          <w:spacing w:val="-2"/>
          <w:szCs w:val="20"/>
        </w:rPr>
      </w:pPr>
      <w:r w:rsidRPr="00FC517E">
        <w:rPr>
          <w:rFonts w:cs="Arial"/>
          <w:spacing w:val="-2"/>
          <w:szCs w:val="20"/>
        </w:rPr>
        <w:t>The</w:t>
      </w:r>
      <w:r w:rsidR="00FD0DA3" w:rsidRPr="00FC517E">
        <w:rPr>
          <w:rFonts w:cs="Arial"/>
          <w:spacing w:val="-2"/>
          <w:szCs w:val="20"/>
        </w:rPr>
        <w:t xml:space="preserve"> acute impacts of</w:t>
      </w:r>
      <w:r w:rsidR="00D10295" w:rsidRPr="00FC517E">
        <w:rPr>
          <w:rFonts w:cs="Arial"/>
          <w:spacing w:val="-2"/>
          <w:szCs w:val="20"/>
        </w:rPr>
        <w:t xml:space="preserve"> mass coral bleaching </w:t>
      </w:r>
      <w:r w:rsidR="009C5669" w:rsidRPr="00FC517E">
        <w:rPr>
          <w:rFonts w:cs="Arial"/>
          <w:spacing w:val="-2"/>
          <w:szCs w:val="20"/>
        </w:rPr>
        <w:t xml:space="preserve">and cyclones, in particular the </w:t>
      </w:r>
      <w:r w:rsidR="00F428F8" w:rsidRPr="00FC517E">
        <w:rPr>
          <w:rFonts w:cs="Arial"/>
          <w:spacing w:val="-2"/>
          <w:szCs w:val="20"/>
        </w:rPr>
        <w:t>2016</w:t>
      </w:r>
      <w:r w:rsidR="00064F25" w:rsidRPr="00FC517E">
        <w:rPr>
          <w:rFonts w:cs="Arial"/>
          <w:spacing w:val="-2"/>
          <w:szCs w:val="20"/>
        </w:rPr>
        <w:t xml:space="preserve"> and </w:t>
      </w:r>
      <w:r w:rsidR="00F428F8" w:rsidRPr="00FC517E">
        <w:rPr>
          <w:rFonts w:cs="Arial"/>
          <w:spacing w:val="-2"/>
          <w:szCs w:val="20"/>
        </w:rPr>
        <w:t xml:space="preserve">2017 </w:t>
      </w:r>
      <w:r w:rsidR="009C5669" w:rsidRPr="00FC517E">
        <w:rPr>
          <w:rFonts w:cs="Arial"/>
          <w:spacing w:val="-2"/>
          <w:szCs w:val="20"/>
        </w:rPr>
        <w:t>mass bleaching events</w:t>
      </w:r>
      <w:r w:rsidR="00F428F8" w:rsidRPr="00FC517E">
        <w:rPr>
          <w:rFonts w:cs="Arial"/>
          <w:spacing w:val="-2"/>
          <w:szCs w:val="20"/>
        </w:rPr>
        <w:t>,</w:t>
      </w:r>
      <w:r w:rsidR="00FD0DA3" w:rsidRPr="00FC517E" w:rsidDel="00A2484C">
        <w:rPr>
          <w:rFonts w:cs="Arial"/>
          <w:spacing w:val="-2"/>
          <w:szCs w:val="20"/>
        </w:rPr>
        <w:t xml:space="preserve"> and</w:t>
      </w:r>
      <w:r w:rsidR="00A2484C" w:rsidRPr="00FC517E">
        <w:rPr>
          <w:rFonts w:cs="Arial"/>
          <w:spacing w:val="-2"/>
          <w:szCs w:val="20"/>
        </w:rPr>
        <w:t xml:space="preserve"> cyclones of greater severity</w:t>
      </w:r>
      <w:r w:rsidRPr="00FC517E">
        <w:rPr>
          <w:rFonts w:cs="Arial"/>
          <w:spacing w:val="-2"/>
          <w:szCs w:val="20"/>
        </w:rPr>
        <w:t>, together with the declines in coral cover over the preceding 30 years</w:t>
      </w:r>
      <w:r w:rsidR="00A2484C" w:rsidRPr="00FC517E">
        <w:rPr>
          <w:rFonts w:cs="Arial"/>
          <w:spacing w:val="-2"/>
          <w:szCs w:val="20"/>
        </w:rPr>
        <w:t>,</w:t>
      </w:r>
      <w:r w:rsidR="0000197D" w:rsidRPr="00FC517E">
        <w:rPr>
          <w:rFonts w:cs="Arial"/>
          <w:spacing w:val="-2"/>
          <w:szCs w:val="20"/>
        </w:rPr>
        <w:t xml:space="preserve"> </w:t>
      </w:r>
      <w:r w:rsidR="006A684B" w:rsidRPr="00FC517E">
        <w:rPr>
          <w:rFonts w:cs="Arial"/>
          <w:spacing w:val="-2"/>
          <w:szCs w:val="20"/>
        </w:rPr>
        <w:t>now</w:t>
      </w:r>
      <w:r w:rsidR="00FD0DA3" w:rsidRPr="00FC517E">
        <w:rPr>
          <w:rFonts w:cs="Arial"/>
          <w:spacing w:val="-2"/>
          <w:szCs w:val="20"/>
        </w:rPr>
        <w:t xml:space="preserve"> threaten to overwhelm the capacity of existing management arrangemen</w:t>
      </w:r>
      <w:r w:rsidR="006A684B" w:rsidRPr="00FC517E">
        <w:rPr>
          <w:rFonts w:cs="Arial"/>
          <w:spacing w:val="-2"/>
          <w:szCs w:val="20"/>
        </w:rPr>
        <w:t>t</w:t>
      </w:r>
      <w:r w:rsidR="00FD0DA3" w:rsidRPr="00FC517E">
        <w:rPr>
          <w:rFonts w:cs="Arial"/>
          <w:spacing w:val="-2"/>
          <w:szCs w:val="20"/>
        </w:rPr>
        <w:t xml:space="preserve">s to support </w:t>
      </w:r>
      <w:r w:rsidR="006A684B" w:rsidRPr="00FC517E">
        <w:rPr>
          <w:rFonts w:cs="Arial"/>
          <w:spacing w:val="-2"/>
          <w:szCs w:val="20"/>
        </w:rPr>
        <w:t>resilience</w:t>
      </w:r>
      <w:r w:rsidR="00FD0DA3" w:rsidRPr="00FC517E">
        <w:rPr>
          <w:rFonts w:cs="Arial"/>
          <w:spacing w:val="-2"/>
          <w:szCs w:val="20"/>
        </w:rPr>
        <w:t xml:space="preserve">. </w:t>
      </w:r>
      <w:r w:rsidR="006A684B" w:rsidRPr="00FC517E">
        <w:rPr>
          <w:rFonts w:cs="Arial"/>
          <w:spacing w:val="-2"/>
          <w:szCs w:val="20"/>
        </w:rPr>
        <w:t>Consequently,</w:t>
      </w:r>
      <w:r w:rsidR="00FD0DA3" w:rsidRPr="00FC517E">
        <w:rPr>
          <w:rFonts w:cs="Arial"/>
          <w:spacing w:val="-2"/>
          <w:szCs w:val="20"/>
        </w:rPr>
        <w:t xml:space="preserve"> there is a need</w:t>
      </w:r>
      <w:r w:rsidRPr="00FC517E">
        <w:rPr>
          <w:rFonts w:cs="Arial"/>
          <w:spacing w:val="-2"/>
          <w:szCs w:val="20"/>
        </w:rPr>
        <w:t xml:space="preserve"> for more active intervention in the Marine Park to protect </w:t>
      </w:r>
      <w:r w:rsidR="004C2B82" w:rsidRPr="00FC517E">
        <w:rPr>
          <w:rFonts w:cs="Arial"/>
          <w:spacing w:val="-2"/>
          <w:szCs w:val="20"/>
        </w:rPr>
        <w:t xml:space="preserve">and restore </w:t>
      </w:r>
      <w:r w:rsidRPr="00FC517E">
        <w:rPr>
          <w:rFonts w:cs="Arial"/>
          <w:spacing w:val="-2"/>
          <w:szCs w:val="20"/>
        </w:rPr>
        <w:t xml:space="preserve">coral reef habitats. </w:t>
      </w:r>
    </w:p>
    <w:p w14:paraId="0C59A039" w14:textId="6BC1B9B3" w:rsidR="000009C8" w:rsidRPr="00FC517E" w:rsidRDefault="000009C8" w:rsidP="000009C8">
      <w:pPr>
        <w:pStyle w:val="BodyTextNumbering"/>
        <w:ind w:left="426" w:hanging="426"/>
        <w:rPr>
          <w:rFonts w:cs="Arial"/>
          <w:spacing w:val="-2"/>
          <w:szCs w:val="20"/>
        </w:rPr>
      </w:pPr>
      <w:r w:rsidRPr="00FC517E">
        <w:rPr>
          <w:spacing w:val="-2"/>
        </w:rPr>
        <w:t>The Authority recognises that climate change impacts many species and habitats within the Great Barrier Reef Marine Park. At this point in time, this policy is limited in scope to coral reef habitats; reflecting the dramatic declines that have happened in recent years. Over time the Authority is likely to include guidance on interventions to improve the resilience of other habitats and species, such as mangroves and seagrass.</w:t>
      </w:r>
    </w:p>
    <w:p w14:paraId="1E1D8418" w14:textId="3B820CD2" w:rsidR="00CE5061" w:rsidRPr="008D6410" w:rsidRDefault="00380B59" w:rsidP="00FC517E">
      <w:pPr>
        <w:pStyle w:val="Heading1"/>
      </w:pPr>
      <w:r w:rsidRPr="008D6410">
        <w:lastRenderedPageBreak/>
        <w:t>General p</w:t>
      </w:r>
      <w:r w:rsidR="00CE5061" w:rsidRPr="008D6410">
        <w:t>rinciples</w:t>
      </w:r>
    </w:p>
    <w:p w14:paraId="6F1DD8CC" w14:textId="2FFD24B0" w:rsidR="00D847A1" w:rsidRDefault="0094096E" w:rsidP="00F81FF6">
      <w:pPr>
        <w:pStyle w:val="BodyTextNumbering"/>
      </w:pPr>
      <w:r>
        <w:t>The Authority</w:t>
      </w:r>
      <w:r w:rsidR="00D847A1">
        <w:t xml:space="preserve">’s position is </w:t>
      </w:r>
      <w:r>
        <w:t xml:space="preserve">that </w:t>
      </w:r>
      <w:r w:rsidR="00194083">
        <w:t xml:space="preserve">coral </w:t>
      </w:r>
      <w:r>
        <w:t xml:space="preserve">reef </w:t>
      </w:r>
      <w:r w:rsidR="00194083">
        <w:t xml:space="preserve">habitat </w:t>
      </w:r>
      <w:r>
        <w:t xml:space="preserve">degradation is caused by </w:t>
      </w:r>
      <w:r w:rsidR="00602B3C">
        <w:t xml:space="preserve">the cumulative effects of a range of pressures, the most significant of which is </w:t>
      </w:r>
      <w:r>
        <w:t>climate change</w:t>
      </w:r>
      <w:r w:rsidR="00D847A1">
        <w:t>.</w:t>
      </w:r>
    </w:p>
    <w:p w14:paraId="0C603A7C" w14:textId="68199055" w:rsidR="00602B3C" w:rsidRDefault="008D5B0F" w:rsidP="008D5B0F">
      <w:pPr>
        <w:pStyle w:val="BodyTextNumbering"/>
      </w:pPr>
      <w:r>
        <w:t xml:space="preserve">The Authority recognises that global action </w:t>
      </w:r>
      <w:r w:rsidR="00064F25">
        <w:t xml:space="preserve">to </w:t>
      </w:r>
      <w:r>
        <w:t xml:space="preserve">reduce greenhouse gas emissions is a priority to protect the Great Barrier Reef. Nevertheless the Authority believes there are a range of activities that can </w:t>
      </w:r>
      <w:r w:rsidR="00064F25">
        <w:t xml:space="preserve">enhance protection, </w:t>
      </w:r>
      <w:r w:rsidR="00D10295">
        <w:t xml:space="preserve">reduce impacts </w:t>
      </w:r>
      <w:r w:rsidR="00602B3C">
        <w:t xml:space="preserve">and facilitate recovery in order to increase </w:t>
      </w:r>
      <w:r w:rsidR="00064F25">
        <w:t xml:space="preserve">the </w:t>
      </w:r>
      <w:r w:rsidR="004C2B82">
        <w:t xml:space="preserve">resilience </w:t>
      </w:r>
      <w:r w:rsidR="00602B3C">
        <w:t>of coral reef habitat</w:t>
      </w:r>
      <w:r w:rsidR="00064F25">
        <w:t>s in the meantime.</w:t>
      </w:r>
      <w:r w:rsidR="00602B3C">
        <w:t xml:space="preserve">  </w:t>
      </w:r>
    </w:p>
    <w:p w14:paraId="7C249E79" w14:textId="1C4B63CC" w:rsidR="0094096E" w:rsidRDefault="00D847A1" w:rsidP="00F81FF6">
      <w:pPr>
        <w:pStyle w:val="BodyTextNumbering"/>
      </w:pPr>
      <w:r>
        <w:t>The Authority</w:t>
      </w:r>
      <w:r w:rsidR="0094096E">
        <w:t xml:space="preserve"> </w:t>
      </w:r>
      <w:r>
        <w:t>seeks to</w:t>
      </w:r>
      <w:r w:rsidR="0094096E">
        <w:t xml:space="preserve"> continue </w:t>
      </w:r>
      <w:r>
        <w:t>working</w:t>
      </w:r>
      <w:r w:rsidR="0094096E">
        <w:t xml:space="preserve"> with its partners and stakeholders to reduce the impacts of climate change and increase resilience</w:t>
      </w:r>
      <w:r w:rsidR="00194083">
        <w:t xml:space="preserve"> of coral reef habitats</w:t>
      </w:r>
      <w:r w:rsidR="0094096E">
        <w:t xml:space="preserve">. </w:t>
      </w:r>
    </w:p>
    <w:p w14:paraId="696E4ED4" w14:textId="4C330AFB" w:rsidR="00B1458A" w:rsidRDefault="00D847A1" w:rsidP="00673FCF">
      <w:pPr>
        <w:pStyle w:val="BodyTextNumbering"/>
      </w:pPr>
      <w:r>
        <w:t>The Authority recognises that in order to be viable</w:t>
      </w:r>
      <w:r w:rsidR="00602B3C">
        <w:t>,</w:t>
      </w:r>
      <w:r>
        <w:t xml:space="preserve"> some intervention activities will require association with commercial projects. </w:t>
      </w:r>
      <w:r w:rsidR="001A784A">
        <w:t xml:space="preserve">Commercial projects are likely to attract higher assessment fees as well as additional assessment considerations (e.g. ability to adequately develop and fund the activity). </w:t>
      </w:r>
    </w:p>
    <w:p w14:paraId="6108961C" w14:textId="15447CEF" w:rsidR="00307B6E" w:rsidRDefault="001A784A" w:rsidP="00673FCF">
      <w:pPr>
        <w:pStyle w:val="BodyTextNumbering"/>
      </w:pPr>
      <w:r w:rsidRPr="00307B6E">
        <w:t xml:space="preserve">The Authority </w:t>
      </w:r>
      <w:r w:rsidR="00E2716E">
        <w:t xml:space="preserve">is unlikely to </w:t>
      </w:r>
      <w:r w:rsidRPr="00307B6E">
        <w:t xml:space="preserve">support the harvest of coral </w:t>
      </w:r>
      <w:r w:rsidR="009452E1" w:rsidRPr="00307B6E">
        <w:t>colonies</w:t>
      </w:r>
      <w:r w:rsidRPr="00307B6E">
        <w:t xml:space="preserve"> (or coral fragments) for commercial or non-commercial purposes where that harvest is like</w:t>
      </w:r>
      <w:r w:rsidR="00307B6E" w:rsidRPr="00307B6E">
        <w:t>ly to cause localised depletion that may</w:t>
      </w:r>
      <w:r w:rsidRPr="00307B6E">
        <w:t xml:space="preserve"> impact on future recruitment processes and/or lead to decreased ecosystem function.</w:t>
      </w:r>
      <w:r w:rsidR="00D248DE" w:rsidRPr="00307B6E">
        <w:t xml:space="preserve">  </w:t>
      </w:r>
    </w:p>
    <w:p w14:paraId="12BEE76C" w14:textId="4A94B41C" w:rsidR="00307B6E" w:rsidRDefault="00307B6E" w:rsidP="00673FCF">
      <w:pPr>
        <w:pStyle w:val="BodyTextNumbering"/>
      </w:pPr>
      <w:r>
        <w:t>The Authority encourage</w:t>
      </w:r>
      <w:r w:rsidR="00E2716E">
        <w:t>s</w:t>
      </w:r>
      <w:r>
        <w:t xml:space="preserve"> initial pilot studies </w:t>
      </w:r>
      <w:r w:rsidR="000750C9">
        <w:t xml:space="preserve">to be small scale </w:t>
      </w:r>
      <w:r>
        <w:t xml:space="preserve">to demonstrate proof of concept and trial technological </w:t>
      </w:r>
      <w:r w:rsidR="00952672">
        <w:t xml:space="preserve">advancements that are </w:t>
      </w:r>
      <w:r w:rsidR="00CC2DD3">
        <w:t xml:space="preserve">scalable </w:t>
      </w:r>
      <w:r w:rsidR="00952672">
        <w:t xml:space="preserve">and staged appropriately to allow successful implementation with social acceptance. </w:t>
      </w:r>
    </w:p>
    <w:p w14:paraId="3F86EE94" w14:textId="6C2F269C" w:rsidR="000750C9" w:rsidRDefault="0014235F" w:rsidP="00673FCF">
      <w:pPr>
        <w:pStyle w:val="BodyTextNumbering"/>
      </w:pPr>
      <w:r>
        <w:t>The Authority is unlikely to permit high risk e</w:t>
      </w:r>
      <w:r w:rsidR="000750C9">
        <w:t xml:space="preserve">xperimental trials on high value reefs </w:t>
      </w:r>
      <w:r>
        <w:t>or in areas with</w:t>
      </w:r>
      <w:r w:rsidR="000750C9">
        <w:t xml:space="preserve"> </w:t>
      </w:r>
      <w:r>
        <w:t xml:space="preserve">high </w:t>
      </w:r>
      <w:r w:rsidR="000750C9">
        <w:t xml:space="preserve">connectivity to other reefs.  </w:t>
      </w:r>
    </w:p>
    <w:p w14:paraId="04A37112" w14:textId="4B3316F0" w:rsidR="001A784A" w:rsidRDefault="00CC2DD3" w:rsidP="00673FCF">
      <w:pPr>
        <w:pStyle w:val="BodyTextNumbering"/>
      </w:pPr>
      <w:r>
        <w:t>The Authority recognises that the c</w:t>
      </w:r>
      <w:r w:rsidR="00D248DE">
        <w:t xml:space="preserve">ommercial sale or trade of any coral </w:t>
      </w:r>
      <w:r w:rsidR="006C523F">
        <w:t xml:space="preserve">harvested must be in accordance with the management </w:t>
      </w:r>
      <w:r>
        <w:t xml:space="preserve">arrangements for </w:t>
      </w:r>
      <w:r w:rsidR="006C523F">
        <w:t>the coral harvest fishery.</w:t>
      </w:r>
    </w:p>
    <w:p w14:paraId="33417BC0" w14:textId="77777777" w:rsidR="00E2716E" w:rsidRDefault="006C523F" w:rsidP="00673FCF">
      <w:pPr>
        <w:pStyle w:val="BodyTextNumbering"/>
      </w:pPr>
      <w:r>
        <w:t xml:space="preserve">The Authority </w:t>
      </w:r>
      <w:r w:rsidR="00E2716E">
        <w:t xml:space="preserve">is unlikely to </w:t>
      </w:r>
      <w:r>
        <w:t>support the</w:t>
      </w:r>
      <w:r w:rsidR="00291C87">
        <w:t xml:space="preserve"> conduct of a tr</w:t>
      </w:r>
      <w:r w:rsidR="00F2195A">
        <w:t>ia</w:t>
      </w:r>
      <w:r w:rsidR="00291C87">
        <w:t>l o</w:t>
      </w:r>
      <w:r w:rsidR="00F2195A">
        <w:t>r</w:t>
      </w:r>
      <w:r w:rsidR="00291C87">
        <w:t xml:space="preserve"> pilot study (research program)</w:t>
      </w:r>
      <w:r w:rsidR="00F2195A">
        <w:t xml:space="preserve"> in particular zones or locations</w:t>
      </w:r>
      <w:r w:rsidR="00291C87">
        <w:t xml:space="preserve"> if it</w:t>
      </w:r>
      <w:r w:rsidR="00F2195A">
        <w:t xml:space="preserve"> involves the</w:t>
      </w:r>
      <w:r>
        <w:t xml:space="preserve"> </w:t>
      </w:r>
      <w:r w:rsidR="001620DF">
        <w:t xml:space="preserve">installation of structures </w:t>
      </w:r>
      <w:r w:rsidR="00F2195A">
        <w:t xml:space="preserve">that are intended to remain </w:t>
      </w:r>
      <w:r w:rsidR="00B7490F">
        <w:t xml:space="preserve">in the Marine Park </w:t>
      </w:r>
      <w:r w:rsidR="00F2195A">
        <w:t>post study</w:t>
      </w:r>
      <w:r w:rsidR="00E2716E">
        <w:t>,</w:t>
      </w:r>
      <w:r w:rsidR="00F2195A">
        <w:t xml:space="preserve"> if those structures and/or intervention activit</w:t>
      </w:r>
      <w:r w:rsidR="00B7490F">
        <w:t>ies</w:t>
      </w:r>
      <w:r w:rsidR="00F2195A">
        <w:t xml:space="preserve"> would not otherwise be permitted within the same zone and location.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Description w:val="A text table providing an example to aid understanding the clauses of this guideline."/>
      </w:tblPr>
      <w:tblGrid>
        <w:gridCol w:w="9072"/>
      </w:tblGrid>
      <w:tr w:rsidR="00E2716E" w:rsidRPr="00E2716E" w14:paraId="602987B9" w14:textId="77777777" w:rsidTr="00192E35">
        <w:trPr>
          <w:tblHeader/>
        </w:trPr>
        <w:tc>
          <w:tcPr>
            <w:tcW w:w="9072" w:type="dxa"/>
            <w:shd w:val="clear" w:color="auto" w:fill="DBE5F1" w:themeFill="accent1" w:themeFillTint="33"/>
          </w:tcPr>
          <w:p w14:paraId="146457AB" w14:textId="77777777" w:rsidR="00192E35" w:rsidRPr="00192E35" w:rsidRDefault="00E2716E" w:rsidP="003B5A5E">
            <w:pPr>
              <w:pStyle w:val="BodyTextNumbering"/>
              <w:numPr>
                <w:ilvl w:val="0"/>
                <w:numId w:val="0"/>
              </w:numPr>
              <w:spacing w:before="120"/>
              <w:rPr>
                <w:b/>
              </w:rPr>
            </w:pPr>
            <w:r w:rsidRPr="00192E35">
              <w:rPr>
                <w:b/>
              </w:rPr>
              <w:t>For example</w:t>
            </w:r>
          </w:p>
          <w:p w14:paraId="3ADA34D4" w14:textId="301CF2F2" w:rsidR="00E2716E" w:rsidRPr="00E2716E" w:rsidRDefault="00192E35" w:rsidP="003B5A5E">
            <w:pPr>
              <w:pStyle w:val="BodyTextNumbering"/>
              <w:numPr>
                <w:ilvl w:val="0"/>
                <w:numId w:val="0"/>
              </w:numPr>
              <w:spacing w:before="120"/>
            </w:pPr>
            <w:r>
              <w:t>C</w:t>
            </w:r>
            <w:r w:rsidR="00E2716E" w:rsidRPr="00E2716E">
              <w:t xml:space="preserve">onverting a coral growing experiment or pilot study into an aquaculture operation is not supported in </w:t>
            </w:r>
            <w:r w:rsidR="003B5A5E">
              <w:t>a</w:t>
            </w:r>
            <w:r w:rsidR="00337080">
              <w:t xml:space="preserve"> </w:t>
            </w:r>
            <w:r w:rsidR="00E2716E" w:rsidRPr="00E2716E">
              <w:t>Marine National Park Zone that prohibits aquaculture operations.</w:t>
            </w:r>
          </w:p>
        </w:tc>
      </w:tr>
    </w:tbl>
    <w:p w14:paraId="310286EB" w14:textId="7AF8A91D" w:rsidR="00331FCF" w:rsidRDefault="00331FCF" w:rsidP="00673FCF">
      <w:pPr>
        <w:pStyle w:val="BodyTextNumbering"/>
      </w:pPr>
      <w:r>
        <w:t>Generally</w:t>
      </w:r>
      <w:r w:rsidR="00186B8A">
        <w:t>,</w:t>
      </w:r>
      <w:r>
        <w:t xml:space="preserve"> </w:t>
      </w:r>
      <w:r w:rsidR="00E2716E">
        <w:t xml:space="preserve">the Authority requires </w:t>
      </w:r>
      <w:r>
        <w:t xml:space="preserve">all structures, equipment and facilities to be removed prior to expiry of a permit (if the permit is not being continued). An application to install materials or structures that are intended to be permanently left in the Marine Park, i.e. become incorporated into the environment and not require further interference or maintenance, will be assessed on a case-by-case basis. Considerations include, but are not limited to, </w:t>
      </w:r>
      <w:r w:rsidR="00186B8A">
        <w:t xml:space="preserve">the aims of the project, </w:t>
      </w:r>
      <w:r>
        <w:t xml:space="preserve">the materials proposed, the public good nature of the proposal, likelihood of future impact to </w:t>
      </w:r>
      <w:r w:rsidR="00186B8A">
        <w:t>the environment if not removed</w:t>
      </w:r>
      <w:r w:rsidR="00B91578">
        <w:t>, likely impacts of full or partial removal</w:t>
      </w:r>
      <w:r w:rsidR="00186B8A">
        <w:t xml:space="preserve"> and expected timeframe for the materials/structures to be fully incorporated into the intended habitat.</w:t>
      </w:r>
    </w:p>
    <w:p w14:paraId="643F5FB6" w14:textId="16BEDCA1" w:rsidR="00A96B62" w:rsidRDefault="00A96B62" w:rsidP="00673FCF">
      <w:pPr>
        <w:pStyle w:val="BodyTextNumbering"/>
      </w:pPr>
      <w:r>
        <w:t xml:space="preserve">The Authority </w:t>
      </w:r>
      <w:r w:rsidR="00F004C0">
        <w:t xml:space="preserve">understands </w:t>
      </w:r>
      <w:r>
        <w:t>that the purpose of some activities will be to support social or economic values of the Marine Park</w:t>
      </w:r>
      <w:r w:rsidR="00CC2DD3">
        <w:t xml:space="preserve"> at a local scale</w:t>
      </w:r>
      <w:r>
        <w:t>, not necessarily contribute to reef-wide resilience of coral reef habitats.</w:t>
      </w:r>
      <w:r w:rsidR="00F428F8">
        <w:t xml:space="preserve"> </w:t>
      </w:r>
    </w:p>
    <w:p w14:paraId="2688EDC6" w14:textId="02199DD6" w:rsidR="001A784A" w:rsidRDefault="00042631" w:rsidP="001A784A">
      <w:pPr>
        <w:pStyle w:val="BodyTextNumbering"/>
      </w:pPr>
      <w:r>
        <w:t xml:space="preserve">The Authority supports reef intervention activities that </w:t>
      </w:r>
      <w:r w:rsidR="00E2716E">
        <w:t>are intended to</w:t>
      </w:r>
      <w:r>
        <w:t xml:space="preserve"> improve the condition and resilience of coral reef habitats provided</w:t>
      </w:r>
      <w:r w:rsidR="00E2716E">
        <w:t xml:space="preserve"> the</w:t>
      </w:r>
      <w:r>
        <w:t xml:space="preserve"> risks associated with the activity (both long and short-term) can be avoided, mitigated or </w:t>
      </w:r>
      <w:r w:rsidR="00B16B99">
        <w:t>minimised</w:t>
      </w:r>
      <w:r w:rsidR="009F0F50">
        <w:t xml:space="preserve"> as much as practical</w:t>
      </w:r>
      <w:r w:rsidR="00B16B99">
        <w:t>.</w:t>
      </w:r>
      <w:r>
        <w:t xml:space="preserve"> This will be determined through a</w:t>
      </w:r>
      <w:r w:rsidR="009F0F50">
        <w:t>n</w:t>
      </w:r>
      <w:r>
        <w:t xml:space="preserve"> </w:t>
      </w:r>
      <w:r w:rsidR="009F0F50">
        <w:t>assessment</w:t>
      </w:r>
      <w:r>
        <w:t xml:space="preserve"> process that </w:t>
      </w:r>
      <w:r w:rsidR="009F0F50">
        <w:t>is risk based</w:t>
      </w:r>
      <w:r w:rsidR="00E2716E">
        <w:t xml:space="preserve"> in accordance with the </w:t>
      </w:r>
      <w:hyperlink r:id="rId12" w:history="1">
        <w:r w:rsidR="002F77BC" w:rsidRPr="002F77BC">
          <w:rPr>
            <w:rStyle w:val="Hyperlink"/>
          </w:rPr>
          <w:t>Authority’s Risk assessment procedure</w:t>
        </w:r>
      </w:hyperlink>
      <w:r w:rsidR="002F77BC">
        <w:t>.</w:t>
      </w:r>
      <w:r>
        <w:t xml:space="preserve"> </w:t>
      </w:r>
    </w:p>
    <w:p w14:paraId="3F9356CB" w14:textId="1DD0FE8E" w:rsidR="00587A89" w:rsidRDefault="00587A89" w:rsidP="00587A89">
      <w:pPr>
        <w:pStyle w:val="BodyTextNumbering"/>
      </w:pPr>
      <w:r>
        <w:t xml:space="preserve">The Authority </w:t>
      </w:r>
      <w:r w:rsidR="00CC2DD3">
        <w:t xml:space="preserve">is likely to </w:t>
      </w:r>
      <w:r>
        <w:t xml:space="preserve">require a deed of agreement for all reef intervention projects that involve the installation of research equipment that </w:t>
      </w:r>
      <w:r w:rsidR="003B5A5E">
        <w:t>may</w:t>
      </w:r>
      <w:r>
        <w:t xml:space="preserve"> cause damage to Marine Park values if un-maintained, </w:t>
      </w:r>
      <w:r w:rsidR="00E2716E">
        <w:t xml:space="preserve">becomes </w:t>
      </w:r>
      <w:r>
        <w:t xml:space="preserve">un-attached or </w:t>
      </w:r>
      <w:r w:rsidR="00E2716E">
        <w:t xml:space="preserve">is </w:t>
      </w:r>
      <w:r>
        <w:t>not removed.</w:t>
      </w:r>
      <w:r w:rsidR="00FC517E">
        <w:br/>
      </w:r>
    </w:p>
    <w:p w14:paraId="73CB25DA" w14:textId="3E4289F3" w:rsidR="00CC2DD3" w:rsidRDefault="0071599B" w:rsidP="006803E5">
      <w:pPr>
        <w:pStyle w:val="BodyTextNumbering"/>
      </w:pPr>
      <w:r>
        <w:lastRenderedPageBreak/>
        <w:t>As part of the deed of agreement t</w:t>
      </w:r>
      <w:r w:rsidR="009F0F50">
        <w:t xml:space="preserve">he Authority </w:t>
      </w:r>
      <w:r w:rsidR="00CC2DD3">
        <w:t xml:space="preserve">is likely to </w:t>
      </w:r>
      <w:r w:rsidR="009F0F50">
        <w:t xml:space="preserve">also require a bond (in the form of a bank guarantee, cash or undertaking) for </w:t>
      </w:r>
      <w:r>
        <w:t>projects that involve a permission to operate a facility.</w:t>
      </w:r>
      <w:r w:rsidR="00E2716E">
        <w:t xml:space="preserve"> </w:t>
      </w:r>
      <w:r w:rsidR="00CC2DD3">
        <w:t xml:space="preserve">In addition, the decision to allow a facility to remain in the Marine Park at the conclusion of a pilot study/proof of concept study may require additional permits, including </w:t>
      </w:r>
      <w:r w:rsidR="000979BF">
        <w:t xml:space="preserve">but not limited to a permit under the </w:t>
      </w:r>
      <w:r w:rsidR="000979BF" w:rsidRPr="00E2716E">
        <w:rPr>
          <w:i/>
        </w:rPr>
        <w:t>Environmental Protection (Sea Dumping) Act 1981.</w:t>
      </w:r>
    </w:p>
    <w:p w14:paraId="50F91EB7" w14:textId="157C5B8A" w:rsidR="00113F05" w:rsidRDefault="00113F05" w:rsidP="001A784A">
      <w:pPr>
        <w:pStyle w:val="BodyTextNumbering"/>
      </w:pPr>
      <w:r>
        <w:t>Certain large-scale high</w:t>
      </w:r>
      <w:r w:rsidR="00E2716E">
        <w:t>-</w:t>
      </w:r>
      <w:r>
        <w:t xml:space="preserve">risk reef intervention projects may require referral to the Department of </w:t>
      </w:r>
      <w:r w:rsidR="00E2716E">
        <w:t xml:space="preserve">the </w:t>
      </w:r>
      <w:r>
        <w:t xml:space="preserve">Environment </w:t>
      </w:r>
      <w:r w:rsidR="00E2716E">
        <w:t xml:space="preserve">and Energy </w:t>
      </w:r>
      <w:r>
        <w:t xml:space="preserve">under the </w:t>
      </w:r>
      <w:r w:rsidRPr="000979BF">
        <w:rPr>
          <w:i/>
        </w:rPr>
        <w:t>Environment Protection and Biodiversity Conservation Act 1999</w:t>
      </w:r>
      <w:r>
        <w:t xml:space="preserve"> as they may have significant impacts on matters of national environmental significance.</w:t>
      </w:r>
    </w:p>
    <w:p w14:paraId="13882F6E" w14:textId="2473D121" w:rsidR="00B87FAF" w:rsidRDefault="00B87FAF" w:rsidP="002569F0">
      <w:pPr>
        <w:pStyle w:val="BodyTextNumbering"/>
      </w:pPr>
      <w:r>
        <w:t xml:space="preserve">The Authority may prioritise applications of those reef intervention activities that it believes are of most value to the Marine Park or that will address priority knowledge gaps (for example, as detailed in the Authority’s </w:t>
      </w:r>
      <w:r w:rsidRPr="005C06CC">
        <w:rPr>
          <w:i/>
        </w:rPr>
        <w:t>Science Strategy and Information Needs 2014-2019</w:t>
      </w:r>
      <w:r>
        <w:t xml:space="preserve"> or other relevant documents). </w:t>
      </w:r>
    </w:p>
    <w:p w14:paraId="080B9A10" w14:textId="77777777" w:rsidR="00B87FAF" w:rsidRPr="00753805" w:rsidRDefault="00B87FAF" w:rsidP="00B87FAF">
      <w:pPr>
        <w:pStyle w:val="BodyTextNumbering"/>
      </w:pPr>
      <w:r>
        <w:rPr>
          <w:color w:val="auto"/>
        </w:rPr>
        <w:t xml:space="preserve">The Authority strongly encourages all reef intervention activities to be conducted in partnership with research institutions and Traditional Owners. </w:t>
      </w:r>
    </w:p>
    <w:p w14:paraId="377E49A4" w14:textId="135B0459" w:rsidR="00FA1E38" w:rsidRDefault="00B87FAF" w:rsidP="002569F0">
      <w:pPr>
        <w:pStyle w:val="BodyTextNumbering"/>
      </w:pPr>
      <w:r>
        <w:t xml:space="preserve">With regards to </w:t>
      </w:r>
      <w:r w:rsidR="00CC2DD3">
        <w:t xml:space="preserve">types of </w:t>
      </w:r>
      <w:r>
        <w:t>reef intervention activities that have not previously been permitted in the Marine Park, the Authority’s preference is for these activities to be permitted only as research programs/pilot studies</w:t>
      </w:r>
      <w:r w:rsidDel="00A13487">
        <w:t xml:space="preserve"> </w:t>
      </w:r>
      <w:r w:rsidR="00E2716E">
        <w:t>until the proof-</w:t>
      </w:r>
      <w:r>
        <w:t>of</w:t>
      </w:r>
      <w:r w:rsidR="00E2716E">
        <w:t>-</w:t>
      </w:r>
      <w:r>
        <w:t>concept has been determined</w:t>
      </w:r>
      <w:r w:rsidR="00634F56">
        <w:t xml:space="preserve"> successful</w:t>
      </w:r>
      <w:r>
        <w:t>, including the proposed activity’s benefit to the Marine Park</w:t>
      </w:r>
      <w:r w:rsidR="00CC2DD3">
        <w:t>, at either a local or broader scale</w:t>
      </w:r>
      <w:r>
        <w:t>.</w:t>
      </w:r>
    </w:p>
    <w:p w14:paraId="0C7745F0" w14:textId="77777777" w:rsidR="005E27DD" w:rsidRDefault="005E27DD" w:rsidP="00FC517E">
      <w:pPr>
        <w:pStyle w:val="BodyTextNumbering"/>
        <w:spacing w:before="80"/>
      </w:pPr>
      <w:r>
        <w:t>For the purposes of permitting reef interventions, the Authority considers that reef intervention activities can be a subset of any of the following permission types focussed on the primary purpose:</w:t>
      </w:r>
    </w:p>
    <w:p w14:paraId="56C2C6FA" w14:textId="77777777" w:rsidR="005E27DD" w:rsidRDefault="005E27DD" w:rsidP="00192E35">
      <w:pPr>
        <w:pStyle w:val="BodyTextNumbering"/>
        <w:numPr>
          <w:ilvl w:val="1"/>
          <w:numId w:val="3"/>
        </w:numPr>
        <w:spacing w:before="80"/>
        <w:ind w:left="1134" w:hanging="567"/>
      </w:pPr>
      <w:r>
        <w:t>A research permission</w:t>
      </w:r>
    </w:p>
    <w:p w14:paraId="095846E8" w14:textId="77777777" w:rsidR="005E27DD" w:rsidRDefault="005E27DD" w:rsidP="00192E35">
      <w:pPr>
        <w:pStyle w:val="BodyTextNumbering"/>
        <w:numPr>
          <w:ilvl w:val="1"/>
          <w:numId w:val="3"/>
        </w:numPr>
        <w:spacing w:before="80"/>
        <w:ind w:left="1134" w:hanging="567"/>
      </w:pPr>
      <w:r>
        <w:t>A tourism permission</w:t>
      </w:r>
    </w:p>
    <w:p w14:paraId="1AA4DCD8" w14:textId="77777777" w:rsidR="005E27DD" w:rsidRDefault="005E27DD" w:rsidP="00192E35">
      <w:pPr>
        <w:pStyle w:val="BodyTextNumbering"/>
        <w:numPr>
          <w:ilvl w:val="1"/>
          <w:numId w:val="3"/>
        </w:numPr>
        <w:spacing w:before="80"/>
        <w:ind w:left="1134" w:hanging="567"/>
      </w:pPr>
      <w:r>
        <w:t>An aquaculture permission</w:t>
      </w:r>
    </w:p>
    <w:p w14:paraId="41B9048A" w14:textId="77777777" w:rsidR="005E27DD" w:rsidRDefault="005E27DD" w:rsidP="00192E35">
      <w:pPr>
        <w:pStyle w:val="BodyTextNumbering"/>
        <w:numPr>
          <w:ilvl w:val="1"/>
          <w:numId w:val="3"/>
        </w:numPr>
        <w:spacing w:before="80"/>
        <w:ind w:left="1134" w:hanging="567"/>
      </w:pPr>
      <w:r>
        <w:t>A facility or tourism facility permission</w:t>
      </w:r>
    </w:p>
    <w:p w14:paraId="71EFF334" w14:textId="77777777" w:rsidR="005E27DD" w:rsidRDefault="005E27DD" w:rsidP="00192E35">
      <w:pPr>
        <w:pStyle w:val="BodyTextNumbering"/>
        <w:numPr>
          <w:ilvl w:val="1"/>
          <w:numId w:val="3"/>
        </w:numPr>
        <w:spacing w:before="80"/>
        <w:ind w:left="1134" w:hanging="567"/>
      </w:pPr>
      <w:r>
        <w:t>Carrying out works</w:t>
      </w:r>
    </w:p>
    <w:p w14:paraId="1D520043" w14:textId="77777777" w:rsidR="005E27DD" w:rsidRDefault="005E27DD" w:rsidP="00192E35">
      <w:pPr>
        <w:pStyle w:val="BodyTextNumbering"/>
        <w:numPr>
          <w:ilvl w:val="1"/>
          <w:numId w:val="3"/>
        </w:numPr>
        <w:spacing w:before="80"/>
        <w:ind w:left="1134" w:hanging="567"/>
      </w:pPr>
      <w:r>
        <w:t>Any other purpose</w:t>
      </w:r>
    </w:p>
    <w:p w14:paraId="6DE0D33E" w14:textId="77777777" w:rsidR="005E27DD" w:rsidRDefault="005E27DD" w:rsidP="00FC517E">
      <w:pPr>
        <w:pStyle w:val="BodyTextNumbering"/>
        <w:spacing w:before="80"/>
        <w:ind w:hanging="357"/>
      </w:pPr>
      <w:r>
        <w:t xml:space="preserve">The Authority is unlikely to grant permissions for certain reef intervention activities, in certain locations, consistent with the precautionary principle and legislative documents such as the </w:t>
      </w:r>
      <w:r>
        <w:rPr>
          <w:i/>
        </w:rPr>
        <w:t>Great Barrier Reef Marine Park Zoning Plan 2003</w:t>
      </w:r>
      <w:r>
        <w:t xml:space="preserve"> and the relevant Plans of Management.</w:t>
      </w:r>
    </w:p>
    <w:p w14:paraId="6514E79C" w14:textId="77777777" w:rsidR="005E27DD" w:rsidRDefault="005E27DD" w:rsidP="00192E35">
      <w:pPr>
        <w:pStyle w:val="BodyTextNumbering"/>
        <w:numPr>
          <w:ilvl w:val="1"/>
          <w:numId w:val="3"/>
        </w:numPr>
        <w:spacing w:before="80"/>
        <w:ind w:left="1134" w:hanging="567"/>
      </w:pPr>
      <w:r>
        <w:t>Introduction of foreign chemicals or minerals to encourage localised phytoplankton blooms;</w:t>
      </w:r>
    </w:p>
    <w:p w14:paraId="6E062FB3" w14:textId="77777777" w:rsidR="005E27DD" w:rsidRDefault="005E27DD" w:rsidP="00192E35">
      <w:pPr>
        <w:pStyle w:val="BodyTextNumbering"/>
        <w:numPr>
          <w:ilvl w:val="1"/>
          <w:numId w:val="3"/>
        </w:numPr>
        <w:spacing w:before="80"/>
        <w:ind w:left="1134" w:hanging="567"/>
      </w:pPr>
      <w:r w:rsidRPr="00FB5ABE">
        <w:t>Introduction of natural or bioengineered pathogens as biological control agents (e.g. viruses)</w:t>
      </w:r>
      <w:r>
        <w:t>;</w:t>
      </w:r>
    </w:p>
    <w:p w14:paraId="7E60D2AB" w14:textId="77777777" w:rsidR="005E27DD" w:rsidRDefault="005E27DD" w:rsidP="00192E35">
      <w:pPr>
        <w:pStyle w:val="BodyTextNumbering"/>
        <w:numPr>
          <w:ilvl w:val="1"/>
          <w:numId w:val="3"/>
        </w:numPr>
        <w:spacing w:before="80"/>
        <w:ind w:left="1134" w:hanging="567"/>
      </w:pPr>
      <w:r w:rsidRPr="00FB5ABE">
        <w:t>Use of material that is likely to introduce marine pests;</w:t>
      </w:r>
    </w:p>
    <w:p w14:paraId="637EF902" w14:textId="77777777" w:rsidR="005E27DD" w:rsidRDefault="005E27DD" w:rsidP="00192E35">
      <w:pPr>
        <w:pStyle w:val="BodyTextNumbering"/>
        <w:numPr>
          <w:ilvl w:val="1"/>
          <w:numId w:val="3"/>
        </w:numPr>
        <w:spacing w:before="80"/>
        <w:ind w:left="1134" w:hanging="567"/>
      </w:pPr>
      <w:r w:rsidRPr="00FB5ABE">
        <w:t xml:space="preserve">Projects that may artificially increase endemic species to outbreak levels (e.g. </w:t>
      </w:r>
      <w:proofErr w:type="spellStart"/>
      <w:r w:rsidRPr="00FB5ABE">
        <w:rPr>
          <w:i/>
        </w:rPr>
        <w:t>Drupella</w:t>
      </w:r>
      <w:proofErr w:type="spellEnd"/>
      <w:r w:rsidRPr="00FB5ABE">
        <w:t xml:space="preserve"> spp.);</w:t>
      </w:r>
    </w:p>
    <w:p w14:paraId="1923AA8E" w14:textId="77777777" w:rsidR="005E27DD" w:rsidRDefault="005E27DD" w:rsidP="00192E35">
      <w:pPr>
        <w:pStyle w:val="BodyTextNumbering"/>
        <w:numPr>
          <w:ilvl w:val="1"/>
          <w:numId w:val="3"/>
        </w:numPr>
        <w:spacing w:before="80"/>
        <w:ind w:left="1134" w:hanging="567"/>
      </w:pPr>
      <w:r>
        <w:t>Projects that increase risks to protected species;</w:t>
      </w:r>
    </w:p>
    <w:p w14:paraId="0852C17C" w14:textId="1B7B9102" w:rsidR="005E27DD" w:rsidRDefault="005E27DD" w:rsidP="00192E35">
      <w:pPr>
        <w:pStyle w:val="BodyTextNumbering"/>
        <w:numPr>
          <w:ilvl w:val="1"/>
          <w:numId w:val="3"/>
        </w:numPr>
        <w:spacing w:before="80"/>
        <w:ind w:left="1134" w:hanging="567"/>
      </w:pPr>
      <w:r>
        <w:t>Medium r</w:t>
      </w:r>
      <w:r w:rsidR="00E2716E">
        <w:t>isk projects that have no proof-of-</w:t>
      </w:r>
      <w:r>
        <w:t>concept;</w:t>
      </w:r>
    </w:p>
    <w:p w14:paraId="69D578DA" w14:textId="58B025F1" w:rsidR="005E27DD" w:rsidRDefault="005E27DD" w:rsidP="00192E35">
      <w:pPr>
        <w:pStyle w:val="BodyTextNumbering"/>
        <w:numPr>
          <w:ilvl w:val="1"/>
          <w:numId w:val="3"/>
        </w:numPr>
        <w:spacing w:before="80"/>
        <w:ind w:left="1134" w:hanging="567"/>
      </w:pPr>
      <w:r>
        <w:t>High risk projects that have not undergone an Authority approved Great Barrier Reef specific</w:t>
      </w:r>
      <w:r w:rsidR="00400A64">
        <w:t xml:space="preserve"> research</w:t>
      </w:r>
      <w:r>
        <w:t xml:space="preserve"> pilot study;</w:t>
      </w:r>
    </w:p>
    <w:p w14:paraId="3D8A35FC" w14:textId="77777777" w:rsidR="005E27DD" w:rsidRDefault="005E27DD" w:rsidP="00192E35">
      <w:pPr>
        <w:pStyle w:val="BodyTextNumbering"/>
        <w:numPr>
          <w:ilvl w:val="1"/>
          <w:numId w:val="3"/>
        </w:numPr>
        <w:spacing w:before="80"/>
        <w:ind w:left="1134" w:hanging="567"/>
      </w:pPr>
      <w:r>
        <w:t>Reef intervention activities in the Marine National Park Zone unless those projects are directly associated with nearby tourism activities or meet the requirements for conduct of research in that zone;</w:t>
      </w:r>
    </w:p>
    <w:p w14:paraId="7A45E8DF" w14:textId="77777777" w:rsidR="005E27DD" w:rsidRDefault="005E27DD" w:rsidP="00192E35">
      <w:pPr>
        <w:pStyle w:val="BodyTextNumbering"/>
        <w:numPr>
          <w:ilvl w:val="1"/>
          <w:numId w:val="3"/>
        </w:numPr>
        <w:spacing w:before="80"/>
        <w:ind w:left="1134" w:hanging="567"/>
      </w:pPr>
      <w:r>
        <w:t>Reef intervention activities in the Preservation Zone;</w:t>
      </w:r>
    </w:p>
    <w:p w14:paraId="6E76BA50" w14:textId="77777777" w:rsidR="00E2716E" w:rsidRDefault="005E27DD" w:rsidP="00192E35">
      <w:pPr>
        <w:pStyle w:val="BodyTextNumbering"/>
        <w:numPr>
          <w:ilvl w:val="1"/>
          <w:numId w:val="3"/>
        </w:numPr>
        <w:spacing w:before="80"/>
        <w:ind w:left="1134" w:hanging="567"/>
      </w:pPr>
      <w:r>
        <w:t xml:space="preserve">Commercial reef intervention projects that involve collecting coral from Public Appreciation Special Management Areas, Scientific Research Zone, Buffer Zone, Marine National Park Zone for the purposes of replanting elsewhere in the Marine Park. </w:t>
      </w:r>
    </w:p>
    <w:p w14:paraId="1138DB80" w14:textId="26D6EBAB" w:rsidR="005E27DD" w:rsidRPr="002569F0" w:rsidRDefault="00E2716E" w:rsidP="00E2716E">
      <w:pPr>
        <w:pStyle w:val="BodyTextNumbering"/>
      </w:pPr>
      <w:r>
        <w:t>The Authority supports Fisheries Queensland in that t</w:t>
      </w:r>
      <w:r w:rsidR="005E27DD">
        <w:t>he collection of coral for commercial purposes is managed in accordance with the coral harvest fishery.</w:t>
      </w:r>
    </w:p>
    <w:p w14:paraId="03DF8DBF" w14:textId="3EC60FEA" w:rsidR="00E2716E" w:rsidRDefault="00E2716E" w:rsidP="00E2716E">
      <w:pPr>
        <w:pStyle w:val="BodyTextNumbering"/>
      </w:pPr>
      <w:r>
        <w:t>If considered appropriate by the Authority, intervention proposals of all risk levels may be implemented by the Managing Agencies under a Part 5.4 notice of the Zoning Plan. The types of activities that will generally fall within this category are those activities that the agency may, in the future, conduct itself</w:t>
      </w:r>
      <w:r w:rsidR="00C40FA6">
        <w:t xml:space="preserve"> </w:t>
      </w:r>
      <w:r w:rsidR="00C40FA6" w:rsidRPr="00C40FA6">
        <w:t xml:space="preserve"> </w:t>
      </w:r>
      <w:r w:rsidR="00C40FA6">
        <w:t>or authorise the use of on a broader scale (</w:t>
      </w:r>
      <w:r w:rsidR="00B52BD2">
        <w:t>e.g.</w:t>
      </w:r>
      <w:r w:rsidR="00C40FA6">
        <w:t xml:space="preserve"> able to be used by many tourism operators or local community groups)</w:t>
      </w:r>
      <w:r>
        <w:t>.</w:t>
      </w:r>
    </w:p>
    <w:p w14:paraId="7C35B3B8" w14:textId="5979FB0F" w:rsidR="00042631" w:rsidRDefault="00FC517E" w:rsidP="002569F0">
      <w:pPr>
        <w:pStyle w:val="BodyTextNumbering"/>
      </w:pPr>
      <w:r>
        <w:lastRenderedPageBreak/>
        <w:fldChar w:fldCharType="begin"/>
      </w:r>
      <w:r>
        <w:instrText xml:space="preserve"> REF _Ref506909335 \h </w:instrText>
      </w:r>
      <w:r>
        <w:fldChar w:fldCharType="separate"/>
      </w:r>
      <w:r w:rsidRPr="00FC517E">
        <w:rPr>
          <w:color w:val="1F497D" w:themeColor="text2"/>
          <w:szCs w:val="20"/>
        </w:rPr>
        <w:t xml:space="preserve">Table </w:t>
      </w:r>
      <w:r w:rsidRPr="00FC517E">
        <w:rPr>
          <w:noProof/>
          <w:color w:val="1F497D" w:themeColor="text2"/>
          <w:szCs w:val="20"/>
        </w:rPr>
        <w:t>1</w:t>
      </w:r>
      <w:r>
        <w:fldChar w:fldCharType="end"/>
      </w:r>
      <w:r w:rsidR="0088488F">
        <w:t xml:space="preserve"> </w:t>
      </w:r>
      <w:r w:rsidR="00B87FAF">
        <w:t>provides an indication of the assessment approach likely to be applied to particular activities noting that each application is considered individually on its merits and a Delegate has the final decision on wheth</w:t>
      </w:r>
      <w:r w:rsidR="002569F0">
        <w:t>er to grant or refuse a permit.</w:t>
      </w:r>
    </w:p>
    <w:p w14:paraId="717D6199" w14:textId="2F7C0A47" w:rsidR="00FC517E" w:rsidRPr="00FC517E" w:rsidRDefault="00FC517E" w:rsidP="00FC517E">
      <w:pPr>
        <w:pStyle w:val="Caption"/>
        <w:keepNext/>
        <w:spacing w:before="200" w:after="0"/>
        <w:ind w:left="284"/>
        <w:rPr>
          <w:color w:val="1F497D" w:themeColor="text2"/>
          <w:sz w:val="20"/>
          <w:szCs w:val="20"/>
        </w:rPr>
      </w:pPr>
      <w:bookmarkStart w:id="0" w:name="_Ref506909335"/>
      <w:r w:rsidRPr="00FC517E">
        <w:rPr>
          <w:color w:val="1F497D" w:themeColor="text2"/>
          <w:sz w:val="20"/>
          <w:szCs w:val="20"/>
        </w:rPr>
        <w:t xml:space="preserve">Table </w:t>
      </w:r>
      <w:r w:rsidRPr="00FC517E">
        <w:rPr>
          <w:color w:val="1F497D" w:themeColor="text2"/>
          <w:sz w:val="20"/>
          <w:szCs w:val="20"/>
        </w:rPr>
        <w:fldChar w:fldCharType="begin"/>
      </w:r>
      <w:r w:rsidRPr="00FC517E">
        <w:rPr>
          <w:color w:val="1F497D" w:themeColor="text2"/>
          <w:sz w:val="20"/>
          <w:szCs w:val="20"/>
        </w:rPr>
        <w:instrText xml:space="preserve"> SEQ Table \* ARABIC </w:instrText>
      </w:r>
      <w:r w:rsidRPr="00FC517E">
        <w:rPr>
          <w:color w:val="1F497D" w:themeColor="text2"/>
          <w:sz w:val="20"/>
          <w:szCs w:val="20"/>
        </w:rPr>
        <w:fldChar w:fldCharType="separate"/>
      </w:r>
      <w:r w:rsidRPr="00FC517E">
        <w:rPr>
          <w:noProof/>
          <w:color w:val="1F497D" w:themeColor="text2"/>
          <w:sz w:val="20"/>
          <w:szCs w:val="20"/>
        </w:rPr>
        <w:t>1</w:t>
      </w:r>
      <w:r w:rsidRPr="00FC517E">
        <w:rPr>
          <w:color w:val="1F497D" w:themeColor="text2"/>
          <w:sz w:val="20"/>
          <w:szCs w:val="20"/>
        </w:rPr>
        <w:fldChar w:fldCharType="end"/>
      </w:r>
      <w:bookmarkEnd w:id="0"/>
      <w:r w:rsidRPr="00FC517E">
        <w:rPr>
          <w:b w:val="0"/>
          <w:color w:val="1F497D" w:themeColor="text2"/>
          <w:sz w:val="20"/>
          <w:szCs w:val="20"/>
        </w:rPr>
        <w:t xml:space="preserve">: Types of reef intervention activities and their likely assessment approach (refer to the </w:t>
      </w:r>
      <w:hyperlink r:id="rId13" w:history="1">
        <w:r w:rsidRPr="00FC517E">
          <w:rPr>
            <w:rStyle w:val="Hyperlink"/>
            <w:b w:val="0"/>
            <w:sz w:val="20"/>
            <w:szCs w:val="20"/>
          </w:rPr>
          <w:t>application guidelines</w:t>
        </w:r>
      </w:hyperlink>
      <w:r w:rsidRPr="00FC517E">
        <w:rPr>
          <w:b w:val="0"/>
          <w:color w:val="1F497D" w:themeColor="text2"/>
          <w:sz w:val="20"/>
          <w:szCs w:val="20"/>
        </w:rPr>
        <w:t xml:space="preserve">), based on risk. Risk is determined using the Authority's </w:t>
      </w:r>
      <w:hyperlink r:id="rId14" w:history="1">
        <w:r w:rsidRPr="00FC517E">
          <w:rPr>
            <w:rStyle w:val="Hyperlink"/>
            <w:b w:val="0"/>
            <w:sz w:val="20"/>
            <w:szCs w:val="20"/>
          </w:rPr>
          <w:t>risk assessment procedure for the permissions system</w:t>
        </w:r>
      </w:hyperlink>
      <w:r>
        <w:rPr>
          <w:b w:val="0"/>
          <w:color w:val="1F497D" w:themeColor="text2"/>
          <w:sz w:val="20"/>
          <w:szCs w:val="20"/>
        </w:rPr>
        <w:t>.</w:t>
      </w:r>
    </w:p>
    <w:tbl>
      <w:tblPr>
        <w:tblStyle w:val="TableGrid"/>
        <w:tblW w:w="0" w:type="auto"/>
        <w:tblInd w:w="360" w:type="dxa"/>
        <w:tblLook w:val="04A0" w:firstRow="1" w:lastRow="0" w:firstColumn="1" w:lastColumn="0" w:noHBand="0" w:noVBand="1"/>
        <w:tblDescription w:val="A table outlining types of reef intervention activities and their likely assessment approach."/>
      </w:tblPr>
      <w:tblGrid>
        <w:gridCol w:w="4710"/>
        <w:gridCol w:w="4892"/>
      </w:tblGrid>
      <w:tr w:rsidR="00042631" w14:paraId="4166D780" w14:textId="77777777" w:rsidTr="00192E35">
        <w:trPr>
          <w:tblHeader/>
        </w:trPr>
        <w:tc>
          <w:tcPr>
            <w:tcW w:w="4710" w:type="dxa"/>
            <w:shd w:val="clear" w:color="auto" w:fill="C6D9F1" w:themeFill="text2" w:themeFillTint="33"/>
          </w:tcPr>
          <w:p w14:paraId="1730AA41" w14:textId="21661A6D" w:rsidR="00042631" w:rsidRDefault="00042631" w:rsidP="00E2716E">
            <w:pPr>
              <w:pStyle w:val="BodyTextNumbering"/>
              <w:numPr>
                <w:ilvl w:val="0"/>
                <w:numId w:val="0"/>
              </w:numPr>
              <w:spacing w:before="0" w:after="0"/>
            </w:pPr>
            <w:r>
              <w:t>Activity type (general guidance only)</w:t>
            </w:r>
          </w:p>
        </w:tc>
        <w:tc>
          <w:tcPr>
            <w:tcW w:w="4892" w:type="dxa"/>
            <w:shd w:val="clear" w:color="auto" w:fill="C6D9F1" w:themeFill="text2" w:themeFillTint="33"/>
          </w:tcPr>
          <w:p w14:paraId="41003E67" w14:textId="651081AA" w:rsidR="00042631" w:rsidRDefault="00042631" w:rsidP="00E2716E">
            <w:pPr>
              <w:pStyle w:val="BodyTextNumbering"/>
              <w:numPr>
                <w:ilvl w:val="0"/>
                <w:numId w:val="0"/>
              </w:numPr>
              <w:spacing w:before="0" w:after="0"/>
            </w:pPr>
            <w:r>
              <w:t>Likely assessment approach</w:t>
            </w:r>
          </w:p>
        </w:tc>
      </w:tr>
      <w:tr w:rsidR="00042631" w14:paraId="56B59F98" w14:textId="77777777" w:rsidTr="00192E35">
        <w:tc>
          <w:tcPr>
            <w:tcW w:w="4710" w:type="dxa"/>
          </w:tcPr>
          <w:p w14:paraId="57F08BD3" w14:textId="33586319" w:rsidR="005D1B73" w:rsidRPr="00106860" w:rsidRDefault="00042631" w:rsidP="00E2716E">
            <w:pPr>
              <w:pStyle w:val="BodyTextNumbering"/>
              <w:numPr>
                <w:ilvl w:val="0"/>
                <w:numId w:val="0"/>
              </w:numPr>
              <w:spacing w:before="0" w:after="0"/>
              <w:rPr>
                <w:b/>
              </w:rPr>
            </w:pPr>
            <w:r w:rsidRPr="00106860">
              <w:rPr>
                <w:b/>
              </w:rPr>
              <w:t xml:space="preserve">Low risk </w:t>
            </w:r>
          </w:p>
          <w:p w14:paraId="6A7D6F6D" w14:textId="0B0E7E5B" w:rsidR="00042631" w:rsidRDefault="005D1B73" w:rsidP="00E2716E">
            <w:pPr>
              <w:pStyle w:val="BodyTextNumbering"/>
              <w:numPr>
                <w:ilvl w:val="0"/>
                <w:numId w:val="0"/>
              </w:numPr>
              <w:spacing w:before="0" w:after="0"/>
            </w:pPr>
            <w:r>
              <w:t>Examples: small-scale removal of  sediments and/or smothering algae from coral or bare rock surfaces</w:t>
            </w:r>
            <w:r w:rsidR="00161F0F">
              <w:t xml:space="preserve">; </w:t>
            </w:r>
            <w:r w:rsidR="00042631">
              <w:t xml:space="preserve">reorienting coral colonies </w:t>
            </w:r>
            <w:r>
              <w:t xml:space="preserve">and/or affixing broken </w:t>
            </w:r>
            <w:r w:rsidR="00A116F4">
              <w:t xml:space="preserve">coral fragments </w:t>
            </w:r>
            <w:r>
              <w:t>back onto the substrate after a disturbance such as a cyclone</w:t>
            </w:r>
          </w:p>
        </w:tc>
        <w:tc>
          <w:tcPr>
            <w:tcW w:w="4892" w:type="dxa"/>
          </w:tcPr>
          <w:p w14:paraId="6928A101" w14:textId="7A5038B1" w:rsidR="00042631" w:rsidRDefault="00634F56" w:rsidP="00E2716E">
            <w:pPr>
              <w:pStyle w:val="BodyTextNumbering"/>
              <w:numPr>
                <w:ilvl w:val="0"/>
                <w:numId w:val="0"/>
              </w:numPr>
              <w:spacing w:before="0" w:after="0"/>
            </w:pPr>
            <w:r>
              <w:t>T</w:t>
            </w:r>
            <w:r w:rsidR="0071599B">
              <w:t xml:space="preserve">ailored assessment </w:t>
            </w:r>
          </w:p>
        </w:tc>
      </w:tr>
      <w:tr w:rsidR="00042631" w14:paraId="5D391AAF" w14:textId="77777777" w:rsidTr="00192E35">
        <w:tc>
          <w:tcPr>
            <w:tcW w:w="4710" w:type="dxa"/>
          </w:tcPr>
          <w:p w14:paraId="772BBE0A" w14:textId="34B5AE55" w:rsidR="00C84E50" w:rsidRPr="00106860" w:rsidRDefault="00042631" w:rsidP="00E2716E">
            <w:pPr>
              <w:pStyle w:val="BodyTextNumbering"/>
              <w:numPr>
                <w:ilvl w:val="0"/>
                <w:numId w:val="0"/>
              </w:numPr>
              <w:spacing w:before="0" w:after="0"/>
              <w:rPr>
                <w:b/>
              </w:rPr>
            </w:pPr>
            <w:r w:rsidRPr="00106860">
              <w:rPr>
                <w:b/>
              </w:rPr>
              <w:t xml:space="preserve">Low risk </w:t>
            </w:r>
          </w:p>
          <w:p w14:paraId="10B86A35" w14:textId="51E547DA" w:rsidR="00042631" w:rsidRDefault="00C84E50" w:rsidP="00E2716E">
            <w:pPr>
              <w:pStyle w:val="BodyTextNumbering"/>
              <w:numPr>
                <w:ilvl w:val="0"/>
                <w:numId w:val="0"/>
              </w:numPr>
              <w:spacing w:before="0" w:after="0"/>
            </w:pPr>
            <w:r>
              <w:t>Example:</w:t>
            </w:r>
            <w:r w:rsidR="00042631">
              <w:t xml:space="preserve"> </w:t>
            </w:r>
            <w:r w:rsidR="00655B50">
              <w:t xml:space="preserve">taking fragments of coral </w:t>
            </w:r>
            <w:r w:rsidR="005D1B73">
              <w:t xml:space="preserve">from healthy colonies </w:t>
            </w:r>
            <w:r w:rsidR="00655B50">
              <w:t>(limits</w:t>
            </w:r>
            <w:r w:rsidR="005D1B73">
              <w:t xml:space="preserve"> apply</w:t>
            </w:r>
            <w:r w:rsidR="0071599B">
              <w:t xml:space="preserve">- see </w:t>
            </w:r>
            <w:hyperlink r:id="rId15" w:history="1">
              <w:r w:rsidR="0071599B" w:rsidRPr="002F77BC">
                <w:rPr>
                  <w:rStyle w:val="Hyperlink"/>
                </w:rPr>
                <w:t>research guidelines</w:t>
              </w:r>
            </w:hyperlink>
            <w:r w:rsidR="00655B50">
              <w:t xml:space="preserve">) for </w:t>
            </w:r>
            <w:r w:rsidR="00A116F4">
              <w:t xml:space="preserve">direct </w:t>
            </w:r>
            <w:hyperlink r:id="rId16" w:history="1">
              <w:r w:rsidR="00A116F4" w:rsidRPr="002F77BC">
                <w:rPr>
                  <w:rStyle w:val="Hyperlink"/>
                </w:rPr>
                <w:t>transplantation</w:t>
              </w:r>
            </w:hyperlink>
            <w:r w:rsidR="00A116F4">
              <w:t xml:space="preserve"> </w:t>
            </w:r>
            <w:r w:rsidR="00655B50">
              <w:t>within the same reef</w:t>
            </w:r>
            <w:r w:rsidR="00A116F4">
              <w:t xml:space="preserve"> complex</w:t>
            </w:r>
            <w:r>
              <w:t xml:space="preserve"> </w:t>
            </w:r>
            <w:r w:rsidR="005D1B73">
              <w:t>(</w:t>
            </w:r>
            <w:r>
              <w:t>i.e. no grow out step prior to planting</w:t>
            </w:r>
            <w:r w:rsidR="00655B50">
              <w:t>)</w:t>
            </w:r>
          </w:p>
        </w:tc>
        <w:tc>
          <w:tcPr>
            <w:tcW w:w="4892" w:type="dxa"/>
          </w:tcPr>
          <w:p w14:paraId="2962D9AF" w14:textId="77777777" w:rsidR="00042631" w:rsidRDefault="00CB2CFE" w:rsidP="00E2716E">
            <w:pPr>
              <w:pStyle w:val="BodyTextNumbering"/>
              <w:numPr>
                <w:ilvl w:val="0"/>
                <w:numId w:val="0"/>
              </w:numPr>
              <w:spacing w:before="0" w:after="0"/>
            </w:pPr>
            <w:r>
              <w:t xml:space="preserve">No pilot study required. </w:t>
            </w:r>
          </w:p>
          <w:p w14:paraId="0DCF1A85" w14:textId="119D9104" w:rsidR="00CB2CFE" w:rsidRDefault="00E22233" w:rsidP="00E2716E">
            <w:pPr>
              <w:pStyle w:val="BodyTextNumbering"/>
              <w:numPr>
                <w:ilvl w:val="0"/>
                <w:numId w:val="0"/>
              </w:numPr>
              <w:spacing w:before="0" w:after="0"/>
            </w:pPr>
            <w:r>
              <w:t xml:space="preserve">Tailored assessment </w:t>
            </w:r>
          </w:p>
        </w:tc>
      </w:tr>
      <w:tr w:rsidR="00042631" w14:paraId="437F094B" w14:textId="77777777" w:rsidTr="00192E35">
        <w:tc>
          <w:tcPr>
            <w:tcW w:w="4710" w:type="dxa"/>
          </w:tcPr>
          <w:p w14:paraId="71988014" w14:textId="4EE90808" w:rsidR="00C84E50" w:rsidRPr="00106860" w:rsidRDefault="00042631" w:rsidP="00E2716E">
            <w:pPr>
              <w:pStyle w:val="BodyTextNumbering"/>
              <w:numPr>
                <w:ilvl w:val="0"/>
                <w:numId w:val="0"/>
              </w:numPr>
              <w:spacing w:before="0" w:after="0"/>
              <w:rPr>
                <w:b/>
              </w:rPr>
            </w:pPr>
            <w:r w:rsidRPr="00106860">
              <w:rPr>
                <w:b/>
              </w:rPr>
              <w:t>M</w:t>
            </w:r>
            <w:r w:rsidR="007571A2" w:rsidRPr="00106860">
              <w:rPr>
                <w:b/>
              </w:rPr>
              <w:t>edium</w:t>
            </w:r>
            <w:r w:rsidRPr="00106860">
              <w:rPr>
                <w:b/>
              </w:rPr>
              <w:t xml:space="preserve"> risk </w:t>
            </w:r>
          </w:p>
          <w:p w14:paraId="7B86A5E5" w14:textId="77777777" w:rsidR="00042631" w:rsidRDefault="00C84E50" w:rsidP="00E2716E">
            <w:pPr>
              <w:pStyle w:val="BodyTextNumbering"/>
              <w:numPr>
                <w:ilvl w:val="0"/>
                <w:numId w:val="0"/>
              </w:numPr>
              <w:spacing w:before="0" w:after="0"/>
            </w:pPr>
            <w:r>
              <w:t>Examples:</w:t>
            </w:r>
            <w:r w:rsidR="00655B50">
              <w:t xml:space="preserve"> installation of </w:t>
            </w:r>
            <w:r w:rsidR="00C9390C">
              <w:t xml:space="preserve">research </w:t>
            </w:r>
            <w:r w:rsidR="00161F0F">
              <w:t xml:space="preserve">equipment such as coral racks </w:t>
            </w:r>
            <w:r w:rsidR="00E22233">
              <w:t xml:space="preserve">or trees </w:t>
            </w:r>
            <w:r w:rsidR="00655B50">
              <w:t>to support coral fragment and colony grow out</w:t>
            </w:r>
            <w:r>
              <w:t>; substrate stabilisation using racks/frames and other materials that are anticipated to be incorporated into the reef structure over time; coral growth enhancement using electrolysis (</w:t>
            </w:r>
            <w:proofErr w:type="spellStart"/>
            <w:r>
              <w:t>biorock</w:t>
            </w:r>
            <w:proofErr w:type="spellEnd"/>
            <w:r w:rsidR="00655B50">
              <w:t>)</w:t>
            </w:r>
          </w:p>
          <w:p w14:paraId="28BA462D" w14:textId="77777777" w:rsidR="00E2716E" w:rsidRDefault="00E2716E" w:rsidP="00E2716E">
            <w:pPr>
              <w:pStyle w:val="BodyTextNumbering"/>
              <w:numPr>
                <w:ilvl w:val="0"/>
                <w:numId w:val="0"/>
              </w:numPr>
              <w:spacing w:before="0" w:after="0"/>
            </w:pPr>
          </w:p>
          <w:p w14:paraId="72C19884" w14:textId="72E92E92" w:rsidR="00A854B1" w:rsidRDefault="00400A64" w:rsidP="00400A64">
            <w:pPr>
              <w:pStyle w:val="BodyTextNumbering"/>
              <w:numPr>
                <w:ilvl w:val="0"/>
                <w:numId w:val="0"/>
              </w:numPr>
              <w:spacing w:before="0" w:after="0"/>
            </w:pPr>
            <w:r>
              <w:t>Low risk a</w:t>
            </w:r>
            <w:r w:rsidR="00A854B1">
              <w:t>pplications that are proposed within sensitive environments</w:t>
            </w:r>
          </w:p>
        </w:tc>
        <w:tc>
          <w:tcPr>
            <w:tcW w:w="4892" w:type="dxa"/>
          </w:tcPr>
          <w:p w14:paraId="1C586DD3" w14:textId="688746F6" w:rsidR="00E22233" w:rsidRDefault="00E22233" w:rsidP="00E2716E">
            <w:pPr>
              <w:pStyle w:val="BodyTextNumbering"/>
              <w:numPr>
                <w:ilvl w:val="0"/>
                <w:numId w:val="0"/>
              </w:numPr>
              <w:spacing w:before="0" w:after="0"/>
            </w:pPr>
            <w:r>
              <w:t>Applicant to provide proof of concept</w:t>
            </w:r>
            <w:r w:rsidR="00470D7E">
              <w:t xml:space="preserve"> or</w:t>
            </w:r>
            <w:r>
              <w:t xml:space="preserve"> supporting rationale</w:t>
            </w:r>
            <w:r w:rsidR="000C6D92">
              <w:t xml:space="preserve"> for likely success in the </w:t>
            </w:r>
            <w:r w:rsidR="00E2716E">
              <w:t>Marine Park</w:t>
            </w:r>
            <w:r>
              <w:t>.</w:t>
            </w:r>
          </w:p>
          <w:p w14:paraId="4725DC47" w14:textId="24373CF6" w:rsidR="00470D7E" w:rsidRDefault="00634F56" w:rsidP="00E2716E">
            <w:pPr>
              <w:pStyle w:val="BodyTextNumbering"/>
              <w:numPr>
                <w:ilvl w:val="0"/>
                <w:numId w:val="0"/>
              </w:numPr>
              <w:spacing w:before="0" w:after="0"/>
            </w:pPr>
            <w:r>
              <w:t xml:space="preserve">Pilot Study - </w:t>
            </w:r>
            <w:r w:rsidR="007D45E9">
              <w:t xml:space="preserve">Tailored assessment. </w:t>
            </w:r>
            <w:r w:rsidR="00470D7E">
              <w:t xml:space="preserve">Pilot study may require a deed of agreement. </w:t>
            </w:r>
          </w:p>
          <w:p w14:paraId="08050435" w14:textId="28B4BCC7" w:rsidR="00CB2CFE" w:rsidRDefault="00E22233" w:rsidP="00E2716E">
            <w:pPr>
              <w:pStyle w:val="BodyTextNumbering"/>
              <w:numPr>
                <w:ilvl w:val="0"/>
                <w:numId w:val="0"/>
              </w:numPr>
              <w:spacing w:before="0" w:after="0"/>
            </w:pPr>
            <w:r>
              <w:t>If pilot study found to be successful</w:t>
            </w:r>
            <w:r w:rsidR="000C6D92">
              <w:t>,</w:t>
            </w:r>
            <w:r>
              <w:t xml:space="preserve"> then applicant </w:t>
            </w:r>
            <w:r w:rsidR="000C6D92">
              <w:t>may</w:t>
            </w:r>
            <w:r>
              <w:t xml:space="preserve"> apply for</w:t>
            </w:r>
            <w:r w:rsidR="00CB2CFE">
              <w:t xml:space="preserve"> </w:t>
            </w:r>
            <w:r w:rsidR="009C49DC">
              <w:t xml:space="preserve">a permit to conduct the activity as an </w:t>
            </w:r>
            <w:r w:rsidR="00332C6D">
              <w:t>intervention</w:t>
            </w:r>
            <w:r w:rsidR="009C49DC">
              <w:t xml:space="preserve"> program, i.e. not as a research program</w:t>
            </w:r>
            <w:r>
              <w:t>.</w:t>
            </w:r>
            <w:r w:rsidR="00634F56">
              <w:t xml:space="preserve">  </w:t>
            </w:r>
            <w:r>
              <w:t>Depending on scale and risk involved</w:t>
            </w:r>
            <w:r w:rsidR="00634F56">
              <w:t>, the operational application may require</w:t>
            </w:r>
            <w:r>
              <w:t xml:space="preserve"> a Tailored or Public Information Package (PIP) assessment. </w:t>
            </w:r>
            <w:r w:rsidR="000C6D92">
              <w:t xml:space="preserve">This may require a deed/bond, public advertising and/or an Environmental Management Plan. </w:t>
            </w:r>
          </w:p>
        </w:tc>
      </w:tr>
      <w:tr w:rsidR="00042631" w14:paraId="71B3458E" w14:textId="77777777" w:rsidTr="00192E35">
        <w:tc>
          <w:tcPr>
            <w:tcW w:w="4710" w:type="dxa"/>
          </w:tcPr>
          <w:p w14:paraId="5C701B43" w14:textId="7302CEA7" w:rsidR="00BD16E3" w:rsidRPr="00106860" w:rsidRDefault="00042631" w:rsidP="00E2716E">
            <w:pPr>
              <w:pStyle w:val="BodyTextNumbering"/>
              <w:numPr>
                <w:ilvl w:val="0"/>
                <w:numId w:val="0"/>
              </w:numPr>
              <w:spacing w:before="0" w:after="0"/>
              <w:rPr>
                <w:b/>
              </w:rPr>
            </w:pPr>
            <w:r w:rsidRPr="00106860">
              <w:rPr>
                <w:b/>
              </w:rPr>
              <w:t>High risk</w:t>
            </w:r>
          </w:p>
          <w:p w14:paraId="62D4335B" w14:textId="6A6864B2" w:rsidR="00C9390C" w:rsidRDefault="00BD16E3" w:rsidP="00E2716E">
            <w:pPr>
              <w:pStyle w:val="BodyTextNumbering"/>
              <w:numPr>
                <w:ilvl w:val="0"/>
                <w:numId w:val="0"/>
              </w:numPr>
              <w:spacing w:before="0" w:after="0"/>
            </w:pPr>
            <w:r>
              <w:t xml:space="preserve">Examples: </w:t>
            </w:r>
            <w:r w:rsidR="00C9390C">
              <w:t>assisted gene flow, assisted evolution, synthetic biology, habitat engineering</w:t>
            </w:r>
            <w:r w:rsidR="00470D7E">
              <w:t>, large scale translocation of coral</w:t>
            </w:r>
            <w:r w:rsidR="00C9390C">
              <w:t xml:space="preserve"> and the installation of large infrastructure </w:t>
            </w:r>
            <w:r w:rsidR="00470D7E">
              <w:t>facilities.</w:t>
            </w:r>
          </w:p>
          <w:p w14:paraId="60BA36DA" w14:textId="77777777" w:rsidR="00E2716E" w:rsidRDefault="00E2716E" w:rsidP="00E2716E">
            <w:pPr>
              <w:pStyle w:val="BodyTextNumbering"/>
              <w:numPr>
                <w:ilvl w:val="0"/>
                <w:numId w:val="0"/>
              </w:numPr>
              <w:spacing w:before="0" w:after="0"/>
            </w:pPr>
          </w:p>
          <w:p w14:paraId="7B946A3E" w14:textId="76AC7958" w:rsidR="00042631" w:rsidRDefault="00400A64" w:rsidP="00400A64">
            <w:pPr>
              <w:pStyle w:val="BodyTextNumbering"/>
              <w:numPr>
                <w:ilvl w:val="0"/>
                <w:numId w:val="0"/>
              </w:numPr>
              <w:spacing w:before="0" w:after="0"/>
            </w:pPr>
            <w:r>
              <w:t>Medium risk a</w:t>
            </w:r>
            <w:r w:rsidR="00A854B1">
              <w:t>pplications that are proposed within sensitive environments</w:t>
            </w:r>
          </w:p>
        </w:tc>
        <w:tc>
          <w:tcPr>
            <w:tcW w:w="4892" w:type="dxa"/>
          </w:tcPr>
          <w:p w14:paraId="66FFE045" w14:textId="7D0C1AED" w:rsidR="00470D7E" w:rsidRDefault="00470D7E" w:rsidP="00E2716E">
            <w:pPr>
              <w:pStyle w:val="BodyTextNumbering"/>
              <w:numPr>
                <w:ilvl w:val="0"/>
                <w:numId w:val="0"/>
              </w:numPr>
              <w:spacing w:before="0" w:after="0"/>
            </w:pPr>
            <w:r>
              <w:t>Applicant to provide proof of concept and supporting rationale</w:t>
            </w:r>
            <w:r w:rsidR="000C6D92">
              <w:t xml:space="preserve"> for likely success in the GBR</w:t>
            </w:r>
            <w:r w:rsidR="00CC2DD3">
              <w:t>MP</w:t>
            </w:r>
            <w:r>
              <w:t xml:space="preserve">. </w:t>
            </w:r>
          </w:p>
          <w:p w14:paraId="5DF49B6C" w14:textId="00604EAA" w:rsidR="00470D7E" w:rsidRDefault="00634F56" w:rsidP="00E2716E">
            <w:pPr>
              <w:pStyle w:val="BodyTextNumbering"/>
              <w:numPr>
                <w:ilvl w:val="0"/>
                <w:numId w:val="0"/>
              </w:numPr>
              <w:spacing w:before="0" w:after="0"/>
            </w:pPr>
            <w:r>
              <w:t xml:space="preserve">Pilot Study - </w:t>
            </w:r>
            <w:r w:rsidR="007D45E9">
              <w:t xml:space="preserve">Tailored assessment or Public Information Package. </w:t>
            </w:r>
            <w:r w:rsidR="00470D7E">
              <w:t>Pilot study may require</w:t>
            </w:r>
            <w:r w:rsidR="007D45E9">
              <w:t xml:space="preserve"> a deed of agreement and a bond.</w:t>
            </w:r>
          </w:p>
          <w:p w14:paraId="07BCD13A" w14:textId="673E24E1" w:rsidR="00042631" w:rsidRDefault="00634F56" w:rsidP="00E2716E">
            <w:pPr>
              <w:pStyle w:val="BodyTextNumbering"/>
              <w:numPr>
                <w:ilvl w:val="0"/>
                <w:numId w:val="0"/>
              </w:numPr>
              <w:spacing w:before="0" w:after="0"/>
            </w:pPr>
            <w:r>
              <w:t xml:space="preserve">If pilot study found to be successful then applicant </w:t>
            </w:r>
            <w:r w:rsidR="000C6D92">
              <w:t>may</w:t>
            </w:r>
            <w:r>
              <w:t xml:space="preserve"> apply for </w:t>
            </w:r>
            <w:r w:rsidR="00332C6D">
              <w:t>a permit to conduct the activity as an intervention program, i.e. not as a research program.</w:t>
            </w:r>
            <w:r>
              <w:t xml:space="preserve">  Depending on scale and risk involved, the operational application may require </w:t>
            </w:r>
            <w:r w:rsidR="00470D7E">
              <w:t xml:space="preserve">a Public Information Package (PIP), Public Environment Report (PER) or Environmental Impact Statement (EIS) assessment may be required. </w:t>
            </w:r>
            <w:r w:rsidR="000C6D92">
              <w:t>This</w:t>
            </w:r>
            <w:r w:rsidR="00470D7E">
              <w:t xml:space="preserve"> may require a deed/bond, public advertising and/or an Environmental Management Plan.</w:t>
            </w:r>
          </w:p>
        </w:tc>
      </w:tr>
      <w:tr w:rsidR="00042631" w14:paraId="5D1AD2A2" w14:textId="77777777" w:rsidTr="00192E35">
        <w:tc>
          <w:tcPr>
            <w:tcW w:w="4710" w:type="dxa"/>
          </w:tcPr>
          <w:p w14:paraId="74806EC4" w14:textId="5619AABF" w:rsidR="00042631" w:rsidRDefault="007571A2" w:rsidP="00E2716E">
            <w:pPr>
              <w:pStyle w:val="BodyTextNumbering"/>
              <w:numPr>
                <w:ilvl w:val="0"/>
                <w:numId w:val="0"/>
              </w:numPr>
              <w:spacing w:before="0" w:after="0"/>
            </w:pPr>
            <w:r w:rsidRPr="00106860">
              <w:rPr>
                <w:b/>
              </w:rPr>
              <w:t xml:space="preserve">Very </w:t>
            </w:r>
            <w:r w:rsidR="00042631" w:rsidRPr="00106860">
              <w:rPr>
                <w:b/>
              </w:rPr>
              <w:t>High risk</w:t>
            </w:r>
            <w:r w:rsidR="00CB2CFE">
              <w:t xml:space="preserve"> – risk to</w:t>
            </w:r>
            <w:r w:rsidR="00655B50">
              <w:t>o</w:t>
            </w:r>
            <w:r w:rsidR="00CB2CFE">
              <w:t xml:space="preserve"> high to support in</w:t>
            </w:r>
            <w:r w:rsidR="00655B50">
              <w:t>-</w:t>
            </w:r>
            <w:r w:rsidR="00CB2CFE">
              <w:t xml:space="preserve">water pilot study and Agency unlikely to support </w:t>
            </w:r>
            <w:r w:rsidR="00CC2DD3">
              <w:t xml:space="preserve">granting </w:t>
            </w:r>
            <w:r w:rsidR="00CB2CFE">
              <w:t xml:space="preserve">a permit. </w:t>
            </w:r>
          </w:p>
          <w:p w14:paraId="69D34B2C" w14:textId="77777777" w:rsidR="00E2716E" w:rsidRDefault="00E2716E" w:rsidP="00E2716E">
            <w:pPr>
              <w:pStyle w:val="BodyTextNumbering"/>
              <w:numPr>
                <w:ilvl w:val="0"/>
                <w:numId w:val="0"/>
              </w:numPr>
              <w:spacing w:before="0" w:after="0"/>
            </w:pPr>
          </w:p>
          <w:p w14:paraId="08E3D08D" w14:textId="39D6D5F2" w:rsidR="00776AF8" w:rsidRDefault="00BD16E3" w:rsidP="00E2716E">
            <w:pPr>
              <w:pStyle w:val="BodyTextNumbering"/>
              <w:numPr>
                <w:ilvl w:val="0"/>
                <w:numId w:val="0"/>
              </w:numPr>
              <w:spacing w:before="0" w:after="0"/>
            </w:pPr>
            <w:r>
              <w:t>Examples: i</w:t>
            </w:r>
            <w:r w:rsidR="00655B50">
              <w:t>ntroduction of a</w:t>
            </w:r>
            <w:r>
              <w:t>ny</w:t>
            </w:r>
            <w:r w:rsidR="00655B50">
              <w:t xml:space="preserve"> species </w:t>
            </w:r>
            <w:r>
              <w:t>th</w:t>
            </w:r>
            <w:r w:rsidR="00655B50">
              <w:t>at is non-native, or originating from outside the Great Barrier Reef</w:t>
            </w:r>
            <w:r>
              <w:t xml:space="preserve">, employing the </w:t>
            </w:r>
            <w:r w:rsidR="00151637">
              <w:t xml:space="preserve">use of </w:t>
            </w:r>
            <w:r w:rsidR="006E093B">
              <w:t>potentially toxic</w:t>
            </w:r>
            <w:r w:rsidR="00470D7E">
              <w:t xml:space="preserve"> </w:t>
            </w:r>
            <w:r w:rsidR="00151637">
              <w:t>chemicals</w:t>
            </w:r>
            <w:r w:rsidR="00776AF8">
              <w:t xml:space="preserve"> or introduction of natural or bioengineered pathogens, use of materials that may introduce marine pests or artificially increase endemic species to outbreak levels, increased risk to protected species.</w:t>
            </w:r>
          </w:p>
          <w:p w14:paraId="1933B754" w14:textId="77777777" w:rsidR="00E2716E" w:rsidRDefault="00E2716E" w:rsidP="00E2716E">
            <w:pPr>
              <w:pStyle w:val="BodyTextNumbering"/>
              <w:numPr>
                <w:ilvl w:val="0"/>
                <w:numId w:val="0"/>
              </w:numPr>
              <w:spacing w:before="0" w:after="0"/>
            </w:pPr>
          </w:p>
          <w:p w14:paraId="05804E3A" w14:textId="1C830842" w:rsidR="00A854B1" w:rsidRDefault="00400A64" w:rsidP="00400A64">
            <w:pPr>
              <w:pStyle w:val="BodyTextNumbering"/>
              <w:numPr>
                <w:ilvl w:val="0"/>
                <w:numId w:val="0"/>
              </w:numPr>
              <w:spacing w:before="0" w:after="0"/>
            </w:pPr>
            <w:r>
              <w:t>High risk a</w:t>
            </w:r>
            <w:r w:rsidR="00A854B1">
              <w:t>pplications that are proposed within sensitive environments</w:t>
            </w:r>
          </w:p>
        </w:tc>
        <w:tc>
          <w:tcPr>
            <w:tcW w:w="4892" w:type="dxa"/>
          </w:tcPr>
          <w:p w14:paraId="2645C171" w14:textId="549BB9AC" w:rsidR="00042631" w:rsidRDefault="007571A2" w:rsidP="00E2716E">
            <w:pPr>
              <w:pStyle w:val="BodyTextNumbering"/>
              <w:numPr>
                <w:ilvl w:val="0"/>
                <w:numId w:val="0"/>
              </w:numPr>
              <w:spacing w:before="0" w:after="0"/>
            </w:pPr>
            <w:r>
              <w:t>Very h</w:t>
            </w:r>
            <w:r w:rsidR="00470D7E">
              <w:t>igh risk applications without proof of concept in the Great Barrier R</w:t>
            </w:r>
            <w:r>
              <w:t xml:space="preserve">eef are unlikely to be approved because they have the potential to cause irreversible damage to the values of the Marine Park. </w:t>
            </w:r>
            <w:r w:rsidR="00470D7E">
              <w:t xml:space="preserve"> </w:t>
            </w:r>
          </w:p>
        </w:tc>
      </w:tr>
    </w:tbl>
    <w:p w14:paraId="3848B6FE" w14:textId="29BEE860" w:rsidR="00332C6D" w:rsidRPr="00192E35" w:rsidRDefault="00332C6D" w:rsidP="00192E35">
      <w:pPr>
        <w:pStyle w:val="Heading2"/>
      </w:pPr>
      <w:r w:rsidRPr="00192E35">
        <w:lastRenderedPageBreak/>
        <w:t>Potential permit conditions</w:t>
      </w:r>
    </w:p>
    <w:p w14:paraId="58A0F7DA" w14:textId="77777777" w:rsidR="00332C6D" w:rsidRPr="00D70697" w:rsidRDefault="00332C6D" w:rsidP="00192E35">
      <w:pPr>
        <w:pStyle w:val="BodyTextNumbering"/>
        <w:spacing w:before="80"/>
      </w:pPr>
      <w:r>
        <w:rPr>
          <w:color w:val="auto"/>
        </w:rPr>
        <w:t>Permit conditions for reef intervention activities are likely to include:</w:t>
      </w:r>
    </w:p>
    <w:p w14:paraId="32514E46" w14:textId="77777777" w:rsidR="00332C6D" w:rsidRPr="00D70697" w:rsidRDefault="00332C6D" w:rsidP="00192E35">
      <w:pPr>
        <w:pStyle w:val="BodyTextNumbering"/>
        <w:numPr>
          <w:ilvl w:val="1"/>
          <w:numId w:val="3"/>
        </w:numPr>
        <w:spacing w:before="80"/>
        <w:ind w:left="1134" w:hanging="567"/>
      </w:pPr>
      <w:r>
        <w:rPr>
          <w:color w:val="auto"/>
        </w:rPr>
        <w:t xml:space="preserve">an associated monitoring and evaluation program to </w:t>
      </w:r>
      <w:r>
        <w:t>monitor the health of the reef in the area of the intervention, ensure there are no adverse impacts from the activity, and to enable</w:t>
      </w:r>
      <w:r>
        <w:rPr>
          <w:color w:val="auto"/>
        </w:rPr>
        <w:t xml:space="preserve"> assessment of the effectiveness of reef intervention activities </w:t>
      </w:r>
    </w:p>
    <w:p w14:paraId="7434925E" w14:textId="448B3A29" w:rsidR="00332C6D" w:rsidRPr="00D70697" w:rsidRDefault="00332C6D" w:rsidP="00192E35">
      <w:pPr>
        <w:pStyle w:val="BodyTextNumbering"/>
        <w:numPr>
          <w:ilvl w:val="1"/>
          <w:numId w:val="3"/>
        </w:numPr>
        <w:spacing w:before="80"/>
        <w:ind w:left="1134" w:hanging="567"/>
      </w:pPr>
      <w:r>
        <w:t xml:space="preserve">regular reporting on the </w:t>
      </w:r>
      <w:r w:rsidR="00E2716E">
        <w:t>progress of the program as outlined in (a) above</w:t>
      </w:r>
      <w:r>
        <w:t>, and</w:t>
      </w:r>
      <w:r w:rsidDel="00D70697">
        <w:rPr>
          <w:color w:val="auto"/>
        </w:rPr>
        <w:t xml:space="preserve"> </w:t>
      </w:r>
    </w:p>
    <w:p w14:paraId="1FE0102B" w14:textId="77777777" w:rsidR="00332C6D" w:rsidRPr="00B34D5A" w:rsidRDefault="00332C6D" w:rsidP="00192E35">
      <w:pPr>
        <w:pStyle w:val="BodyTextNumbering"/>
        <w:numPr>
          <w:ilvl w:val="1"/>
          <w:numId w:val="3"/>
        </w:numPr>
        <w:spacing w:before="80"/>
        <w:ind w:left="1134" w:hanging="567"/>
      </w:pPr>
      <w:proofErr w:type="gramStart"/>
      <w:r>
        <w:rPr>
          <w:color w:val="auto"/>
        </w:rPr>
        <w:t>a</w:t>
      </w:r>
      <w:proofErr w:type="gramEnd"/>
      <w:r>
        <w:rPr>
          <w:color w:val="auto"/>
        </w:rPr>
        <w:t xml:space="preserve"> deed of agreement with GBRMPA for data sharing and for making good the environment in the case of unintended impacts/harm. This may involve the lodgement of a bond/bank guarantee.</w:t>
      </w:r>
    </w:p>
    <w:p w14:paraId="1A6637AD" w14:textId="77777777" w:rsidR="00040501" w:rsidRPr="008D6410" w:rsidRDefault="00040501" w:rsidP="00FC517E">
      <w:pPr>
        <w:pStyle w:val="Heading1"/>
      </w:pPr>
      <w:r w:rsidRPr="008D6410">
        <w:t>Implementation</w:t>
      </w:r>
      <w:r>
        <w:t xml:space="preserve"> </w:t>
      </w:r>
    </w:p>
    <w:p w14:paraId="5E72A836" w14:textId="77777777" w:rsidR="00040501" w:rsidRDefault="00040501" w:rsidP="00040501">
      <w:pPr>
        <w:pStyle w:val="BodyTextNumbering"/>
        <w:ind w:left="426" w:hanging="426"/>
      </w:pPr>
      <w:r>
        <w:t xml:space="preserve">This Policy will take effect from the date it is approved. </w:t>
      </w:r>
    </w:p>
    <w:p w14:paraId="6FABFA94" w14:textId="77777777" w:rsidR="00040501" w:rsidRDefault="00040501" w:rsidP="00040501">
      <w:pPr>
        <w:pStyle w:val="BodyTextNumbering"/>
        <w:ind w:left="426" w:hanging="426"/>
      </w:pPr>
      <w:r>
        <w:t xml:space="preserve">The Authority will consider this policy in all relevant applications for permissions for reef intervention activities. </w:t>
      </w:r>
    </w:p>
    <w:p w14:paraId="4367E891" w14:textId="64EDB300" w:rsidR="00CC2DD3" w:rsidRPr="00AD1107" w:rsidRDefault="00040501" w:rsidP="003162E4">
      <w:pPr>
        <w:pStyle w:val="BodyTextNumbering"/>
        <w:ind w:left="426" w:hanging="426"/>
      </w:pPr>
      <w:r>
        <w:t>The Authority will develop supporting information to provide further clarity to applicants considering specific reef intervention activities.</w:t>
      </w:r>
      <w:r w:rsidR="00B129EF">
        <w:t xml:space="preserve"> This is likely to include a c</w:t>
      </w:r>
      <w:r w:rsidR="00CC2DD3">
        <w:t>hecklist of information to accompany applications</w:t>
      </w:r>
      <w:r w:rsidR="00B129EF">
        <w:t>.</w:t>
      </w:r>
    </w:p>
    <w:p w14:paraId="1E1D843B" w14:textId="77777777" w:rsidR="00CE5061" w:rsidRPr="008D6410" w:rsidRDefault="00886B36" w:rsidP="00FC517E">
      <w:pPr>
        <w:pStyle w:val="Heading1"/>
      </w:pPr>
      <w:r w:rsidRPr="008D6410">
        <w:t>Definitions</w:t>
      </w:r>
    </w:p>
    <w:p w14:paraId="14BB7E58" w14:textId="77777777" w:rsidR="004C2EA6" w:rsidRPr="00202A53" w:rsidRDefault="00B34D5A" w:rsidP="00192E35">
      <w:pPr>
        <w:pStyle w:val="DefinitionHeadings"/>
        <w:spacing w:after="0"/>
        <w:rPr>
          <w:b w:val="0"/>
        </w:rPr>
      </w:pPr>
      <w:r>
        <w:t>Aquaculture operation</w:t>
      </w:r>
      <w:r w:rsidR="004C2EA6">
        <w:t xml:space="preserve"> </w:t>
      </w:r>
    </w:p>
    <w:p w14:paraId="7EBD8F77" w14:textId="4AB3FA5A" w:rsidR="00334183" w:rsidRPr="00334183" w:rsidRDefault="002F77BC" w:rsidP="00192E35">
      <w:pPr>
        <w:pStyle w:val="DefinitionHeadings"/>
        <w:tabs>
          <w:tab w:val="left" w:pos="6600"/>
        </w:tabs>
        <w:spacing w:before="0" w:after="200"/>
        <w:ind w:left="284"/>
        <w:rPr>
          <w:b w:val="0"/>
          <w:iCs/>
        </w:rPr>
      </w:pPr>
      <w:r>
        <w:rPr>
          <w:b w:val="0"/>
          <w:iCs/>
        </w:rPr>
        <w:t xml:space="preserve">Has the meaning as defined in the </w:t>
      </w:r>
      <w:r w:rsidRPr="00192E35">
        <w:rPr>
          <w:b w:val="0"/>
          <w:iCs/>
        </w:rPr>
        <w:t>Great Barrier Reef Marine Park Zoning Plan 2003</w:t>
      </w:r>
      <w:r w:rsidR="00B129EF">
        <w:rPr>
          <w:b w:val="0"/>
          <w:iCs/>
        </w:rPr>
        <w:t xml:space="preserve">. In the context of reef interventions, this means the activity is </w:t>
      </w:r>
      <w:r w:rsidR="00334183" w:rsidRPr="00B129EF">
        <w:rPr>
          <w:b w:val="0"/>
          <w:iCs/>
        </w:rPr>
        <w:t xml:space="preserve">primarily for commercial </w:t>
      </w:r>
      <w:r w:rsidR="00B129EF">
        <w:rPr>
          <w:b w:val="0"/>
          <w:iCs/>
        </w:rPr>
        <w:t>use.</w:t>
      </w:r>
    </w:p>
    <w:p w14:paraId="03B4B186" w14:textId="02BF02D1" w:rsidR="00334183" w:rsidRDefault="00334183" w:rsidP="00192E35">
      <w:pPr>
        <w:pStyle w:val="DefinitionHeadings"/>
        <w:spacing w:after="0"/>
      </w:pPr>
      <w:r>
        <w:t>Coral Nursery</w:t>
      </w:r>
    </w:p>
    <w:p w14:paraId="57FF9333" w14:textId="019409A9" w:rsidR="00334183" w:rsidRPr="00192E35" w:rsidRDefault="00334183" w:rsidP="00192E35">
      <w:pPr>
        <w:pStyle w:val="DefinitionHeadings"/>
        <w:tabs>
          <w:tab w:val="left" w:pos="6600"/>
        </w:tabs>
        <w:spacing w:before="0" w:after="200"/>
        <w:ind w:left="284"/>
        <w:rPr>
          <w:b w:val="0"/>
          <w:iCs/>
        </w:rPr>
      </w:pPr>
      <w:r w:rsidRPr="00192E35">
        <w:rPr>
          <w:b w:val="0"/>
          <w:iCs/>
        </w:rPr>
        <w:t>A</w:t>
      </w:r>
      <w:r w:rsidRPr="00FC517E">
        <w:rPr>
          <w:b w:val="0"/>
          <w:iCs/>
        </w:rPr>
        <w:t xml:space="preserve"> coral propagation activity </w:t>
      </w:r>
      <w:r w:rsidRPr="00B129EF">
        <w:rPr>
          <w:b w:val="0"/>
          <w:iCs/>
        </w:rPr>
        <w:t>done</w:t>
      </w:r>
      <w:r w:rsidRPr="00FC517E">
        <w:rPr>
          <w:b w:val="0"/>
          <w:iCs/>
        </w:rPr>
        <w:t xml:space="preserve"> for the primary purpose of non-commercial coral reef conservation/restoration.</w:t>
      </w:r>
    </w:p>
    <w:p w14:paraId="1E1D843C" w14:textId="68237C23" w:rsidR="007A4213" w:rsidRPr="00AB4520" w:rsidRDefault="007A4213" w:rsidP="00192E35">
      <w:pPr>
        <w:pStyle w:val="DefinitionHeadings"/>
        <w:spacing w:after="0"/>
      </w:pPr>
      <w:r>
        <w:t>Facility</w:t>
      </w:r>
    </w:p>
    <w:p w14:paraId="1E1D843D" w14:textId="3C62C4D7" w:rsidR="007A4213" w:rsidRPr="00192E35" w:rsidRDefault="00B34D5A" w:rsidP="00192E35">
      <w:pPr>
        <w:pStyle w:val="DefinitionHeadings"/>
        <w:tabs>
          <w:tab w:val="left" w:pos="6600"/>
        </w:tabs>
        <w:spacing w:before="0" w:after="200"/>
        <w:ind w:left="284"/>
        <w:rPr>
          <w:b w:val="0"/>
          <w:iCs/>
        </w:rPr>
      </w:pPr>
      <w:r w:rsidRPr="00192E35">
        <w:rPr>
          <w:b w:val="0"/>
          <w:iCs/>
        </w:rPr>
        <w:t>Has the meaning a</w:t>
      </w:r>
      <w:r w:rsidR="007A4213" w:rsidRPr="00192E35">
        <w:rPr>
          <w:b w:val="0"/>
          <w:iCs/>
        </w:rPr>
        <w:t xml:space="preserve">s defined in </w:t>
      </w:r>
      <w:r w:rsidR="007A4213" w:rsidRPr="00B129EF">
        <w:rPr>
          <w:b w:val="0"/>
          <w:iCs/>
        </w:rPr>
        <w:t>subsection</w:t>
      </w:r>
      <w:r w:rsidR="007A4213" w:rsidRPr="00192E35">
        <w:rPr>
          <w:b w:val="0"/>
          <w:iCs/>
        </w:rPr>
        <w:t xml:space="preserve"> 3(A</w:t>
      </w:r>
      <w:proofErr w:type="gramStart"/>
      <w:r w:rsidR="007A4213" w:rsidRPr="00192E35">
        <w:rPr>
          <w:b w:val="0"/>
          <w:iCs/>
        </w:rPr>
        <w:t>)(</w:t>
      </w:r>
      <w:proofErr w:type="gramEnd"/>
      <w:r w:rsidR="007A4213" w:rsidRPr="00192E35">
        <w:rPr>
          <w:b w:val="0"/>
          <w:iCs/>
        </w:rPr>
        <w:t xml:space="preserve">9) of the </w:t>
      </w:r>
      <w:r w:rsidR="007A4213" w:rsidRPr="00192E35">
        <w:rPr>
          <w:b w:val="0"/>
          <w:i/>
          <w:iCs/>
        </w:rPr>
        <w:t>Great Barrier Reef Marine Park Act 1975</w:t>
      </w:r>
      <w:r w:rsidR="00192E35">
        <w:rPr>
          <w:b w:val="0"/>
          <w:i/>
          <w:iCs/>
        </w:rPr>
        <w:t>.</w:t>
      </w:r>
    </w:p>
    <w:p w14:paraId="1E1D8442" w14:textId="77777777" w:rsidR="005579F0" w:rsidRPr="00AB4520" w:rsidRDefault="00627E60" w:rsidP="00192E35">
      <w:pPr>
        <w:pStyle w:val="DefinitionHeadings"/>
        <w:spacing w:after="0"/>
      </w:pPr>
      <w:r>
        <w:t>Reef interventions</w:t>
      </w:r>
    </w:p>
    <w:p w14:paraId="1E1D8443" w14:textId="29D84570" w:rsidR="005579F0" w:rsidRPr="00192E35" w:rsidRDefault="00733897" w:rsidP="00192E35">
      <w:pPr>
        <w:pStyle w:val="DefinitionHeadings"/>
        <w:tabs>
          <w:tab w:val="left" w:pos="6600"/>
        </w:tabs>
        <w:spacing w:before="0" w:after="200"/>
        <w:ind w:left="284"/>
        <w:rPr>
          <w:rStyle w:val="CommentReference"/>
          <w:b w:val="0"/>
          <w:color w:val="auto"/>
          <w:sz w:val="18"/>
          <w:szCs w:val="18"/>
        </w:rPr>
      </w:pPr>
      <w:r w:rsidRPr="00192E35">
        <w:rPr>
          <w:b w:val="0"/>
          <w:iCs/>
        </w:rPr>
        <w:t>An action or set of actions deliberately undertaken in order to change the health status (prevent decline, enhance recovery or restore degradation) of one or more species or coral reef habitat locations</w:t>
      </w:r>
      <w:r w:rsidRPr="00192E35">
        <w:rPr>
          <w:rStyle w:val="CommentReference"/>
          <w:b w:val="0"/>
          <w:sz w:val="18"/>
          <w:szCs w:val="18"/>
        </w:rPr>
        <w:t>.</w:t>
      </w:r>
      <w:r w:rsidRPr="00192E35">
        <w:rPr>
          <w:rStyle w:val="CommentReference"/>
          <w:b w:val="0"/>
          <w:color w:val="auto"/>
          <w:sz w:val="18"/>
          <w:szCs w:val="18"/>
        </w:rPr>
        <w:t xml:space="preserve"> </w:t>
      </w:r>
    </w:p>
    <w:p w14:paraId="1E1D8444" w14:textId="77777777" w:rsidR="007A4213" w:rsidRDefault="007A4213" w:rsidP="00192E35">
      <w:pPr>
        <w:pStyle w:val="DefinitionHeadings"/>
        <w:spacing w:after="0"/>
      </w:pPr>
      <w:r>
        <w:t>Sensitive environments</w:t>
      </w:r>
    </w:p>
    <w:p w14:paraId="1E1D8445" w14:textId="3D2FBB2E" w:rsidR="007A4213" w:rsidRPr="00192E35" w:rsidRDefault="007A4213" w:rsidP="00192E35">
      <w:pPr>
        <w:pStyle w:val="DefinitionHeadings"/>
        <w:tabs>
          <w:tab w:val="left" w:pos="6600"/>
        </w:tabs>
        <w:spacing w:before="0" w:after="200"/>
        <w:ind w:left="284"/>
        <w:rPr>
          <w:b w:val="0"/>
          <w:iCs/>
        </w:rPr>
      </w:pPr>
      <w:r w:rsidRPr="00192E35">
        <w:rPr>
          <w:b w:val="0"/>
          <w:iCs/>
        </w:rPr>
        <w:t xml:space="preserve">Sensitive environments are areas that contain populations or assemblages of organisms, or habitats, that are considered to have significant conservation and\or cultural heritage values. Examples may include dugong protection areas, fish spawning </w:t>
      </w:r>
      <w:r w:rsidRPr="00192E35">
        <w:rPr>
          <w:iCs/>
        </w:rPr>
        <w:t>aggregation</w:t>
      </w:r>
      <w:r w:rsidRPr="00192E35">
        <w:rPr>
          <w:b w:val="0"/>
          <w:iCs/>
        </w:rPr>
        <w:t xml:space="preserve"> sites, seagrass beds, breeding areas, and diverse, rare or very old coral assemblages. </w:t>
      </w:r>
    </w:p>
    <w:p w14:paraId="2D67D5D5" w14:textId="2AACADB8" w:rsidR="00B34D5A" w:rsidRPr="00192E35" w:rsidRDefault="00B34D5A" w:rsidP="00192E35">
      <w:pPr>
        <w:pStyle w:val="DefinitionHeadings"/>
        <w:spacing w:after="0"/>
      </w:pPr>
      <w:r>
        <w:t>Tourist facility</w:t>
      </w:r>
    </w:p>
    <w:p w14:paraId="75326DD6" w14:textId="5623F45F" w:rsidR="00B34D5A" w:rsidRPr="00B129EF" w:rsidRDefault="00B34D5A" w:rsidP="00192E35">
      <w:pPr>
        <w:pStyle w:val="DefinitionHeadings"/>
        <w:tabs>
          <w:tab w:val="left" w:pos="6600"/>
        </w:tabs>
        <w:spacing w:before="0" w:after="200"/>
        <w:ind w:left="284"/>
        <w:rPr>
          <w:b w:val="0"/>
          <w:iCs/>
        </w:rPr>
      </w:pPr>
      <w:r w:rsidRPr="00B129EF">
        <w:rPr>
          <w:b w:val="0"/>
          <w:iCs/>
        </w:rPr>
        <w:t>Has the meaning as defined in subsection 3(A</w:t>
      </w:r>
      <w:proofErr w:type="gramStart"/>
      <w:r w:rsidRPr="00B129EF">
        <w:rPr>
          <w:b w:val="0"/>
          <w:iCs/>
        </w:rPr>
        <w:t>)(</w:t>
      </w:r>
      <w:proofErr w:type="gramEnd"/>
      <w:r w:rsidRPr="00B129EF">
        <w:rPr>
          <w:b w:val="0"/>
          <w:iCs/>
        </w:rPr>
        <w:t xml:space="preserve">9) of the </w:t>
      </w:r>
      <w:r w:rsidRPr="00192E35">
        <w:rPr>
          <w:b w:val="0"/>
          <w:i/>
          <w:iCs/>
        </w:rPr>
        <w:t>Great Barrier Reef Marine Park Act 1975</w:t>
      </w:r>
      <w:r w:rsidR="00192E35">
        <w:rPr>
          <w:b w:val="0"/>
          <w:i/>
          <w:iCs/>
        </w:rPr>
        <w:t>.</w:t>
      </w:r>
    </w:p>
    <w:p w14:paraId="1E1D8451" w14:textId="34212CF3" w:rsidR="00CE5061" w:rsidRPr="008D6410" w:rsidRDefault="00380B59" w:rsidP="00FC517E">
      <w:pPr>
        <w:pStyle w:val="Heading1"/>
      </w:pPr>
      <w:r w:rsidRPr="008D6410">
        <w:t>Further i</w:t>
      </w:r>
      <w:r w:rsidR="00CE5061" w:rsidRPr="008D6410">
        <w:t xml:space="preserve">nformation </w:t>
      </w:r>
    </w:p>
    <w:p w14:paraId="1E1D8452" w14:textId="40062E91" w:rsidR="005579F0" w:rsidRPr="00C53E2A" w:rsidRDefault="00B36AE1" w:rsidP="00C53E2A">
      <w:pPr>
        <w:pStyle w:val="FurtherInformationText"/>
      </w:pPr>
      <w:r>
        <w:t xml:space="preserve">Refer to </w:t>
      </w:r>
      <w:r w:rsidRPr="00B36AE1">
        <w:rPr>
          <w:i/>
        </w:rPr>
        <w:t>Supporting Information for Interventions to Improve Resilience of Coral Reef Habitat in the Great Barrier Reef Marine Park Policy</w:t>
      </w:r>
      <w:r>
        <w:rPr>
          <w:i/>
        </w:rPr>
        <w:t>.</w:t>
      </w:r>
    </w:p>
    <w:p w14:paraId="1E1D8453" w14:textId="77777777" w:rsidR="00A44480" w:rsidRPr="00C53E2A" w:rsidRDefault="00A44480" w:rsidP="00C53E2A">
      <w:pPr>
        <w:pStyle w:val="FurtherInformationText"/>
      </w:pPr>
    </w:p>
    <w:p w14:paraId="1E1D8454" w14:textId="77777777" w:rsidR="005579F0" w:rsidRPr="00C53E2A" w:rsidRDefault="005579F0" w:rsidP="00C53E2A">
      <w:pPr>
        <w:pStyle w:val="FurtherInformationText"/>
        <w:rPr>
          <w:b/>
        </w:rPr>
      </w:pPr>
      <w:r w:rsidRPr="00C53E2A">
        <w:rPr>
          <w:b/>
        </w:rPr>
        <w:t>Great Barrier Reef Marine Park Authority</w:t>
      </w:r>
    </w:p>
    <w:p w14:paraId="1E1D8455" w14:textId="77777777" w:rsidR="005579F0" w:rsidRPr="00C53E2A" w:rsidRDefault="005579F0" w:rsidP="00C53E2A">
      <w:pPr>
        <w:pStyle w:val="FurtherInformationText"/>
      </w:pPr>
      <w:r w:rsidRPr="00C53E2A">
        <w:t xml:space="preserve">2 - 68 Flinders Street </w:t>
      </w:r>
    </w:p>
    <w:p w14:paraId="1E1D8456" w14:textId="77777777" w:rsidR="005579F0" w:rsidRPr="00C53E2A" w:rsidRDefault="005579F0" w:rsidP="00C53E2A">
      <w:pPr>
        <w:pStyle w:val="FurtherInformationText"/>
      </w:pPr>
      <w:r w:rsidRPr="00C53E2A">
        <w:t>PO box 1379</w:t>
      </w:r>
    </w:p>
    <w:p w14:paraId="1E1D8457" w14:textId="77777777" w:rsidR="005579F0" w:rsidRPr="00C53E2A" w:rsidRDefault="005579F0" w:rsidP="00C53E2A">
      <w:pPr>
        <w:pStyle w:val="FurtherInformationText"/>
      </w:pPr>
      <w:r w:rsidRPr="00C53E2A">
        <w:t>Townsville Qld 4810</w:t>
      </w:r>
    </w:p>
    <w:p w14:paraId="1E1D8458" w14:textId="77777777" w:rsidR="005579F0" w:rsidRPr="00C53E2A" w:rsidRDefault="005579F0" w:rsidP="00C53E2A">
      <w:pPr>
        <w:pStyle w:val="FurtherInformationText"/>
      </w:pPr>
      <w:r w:rsidRPr="00C53E2A">
        <w:t>Australia</w:t>
      </w:r>
    </w:p>
    <w:p w14:paraId="1E1D8459" w14:textId="77777777" w:rsidR="00A44480" w:rsidRPr="00C53E2A" w:rsidRDefault="00A44480" w:rsidP="00C53E2A">
      <w:pPr>
        <w:pStyle w:val="FurtherInformationText"/>
      </w:pPr>
    </w:p>
    <w:p w14:paraId="1E1D845A" w14:textId="77777777" w:rsidR="005579F0" w:rsidRPr="00C53E2A" w:rsidRDefault="005579F0" w:rsidP="00C53E2A">
      <w:pPr>
        <w:pStyle w:val="FurtherInformationText"/>
      </w:pPr>
      <w:r w:rsidRPr="00C53E2A">
        <w:t>Phone + 61 7 4750 0700</w:t>
      </w:r>
    </w:p>
    <w:p w14:paraId="1E1D845B" w14:textId="77777777" w:rsidR="00A44480" w:rsidRPr="00C53E2A" w:rsidRDefault="005579F0" w:rsidP="00C53E2A">
      <w:pPr>
        <w:pStyle w:val="FurtherInformationText"/>
      </w:pPr>
      <w:r w:rsidRPr="00C53E2A">
        <w:t>Fax + 61 7 4772 6093</w:t>
      </w:r>
    </w:p>
    <w:p w14:paraId="1E1D845C" w14:textId="49177FD6" w:rsidR="005579F0" w:rsidRPr="00C53E2A" w:rsidRDefault="00B52BD2" w:rsidP="00C53E2A">
      <w:pPr>
        <w:pStyle w:val="FurtherInformationText"/>
      </w:pPr>
      <w:r w:rsidRPr="00C53E2A">
        <w:t>Email</w:t>
      </w:r>
      <w:r w:rsidR="005579F0" w:rsidRPr="00C53E2A">
        <w:t xml:space="preserve"> info@gbrmpa.gov.au</w:t>
      </w:r>
    </w:p>
    <w:p w14:paraId="7175DDB2" w14:textId="77777777" w:rsidR="00B52BD2" w:rsidRDefault="00B9550E" w:rsidP="00B52BD2">
      <w:pPr>
        <w:pStyle w:val="FurtherInformationText"/>
        <w:spacing w:before="0" w:after="160"/>
      </w:pPr>
      <w:hyperlink r:id="rId17" w:tooltip="GBRMPA's web address" w:history="1">
        <w:r w:rsidR="00B52BD2" w:rsidRPr="00F35A44">
          <w:rPr>
            <w:rStyle w:val="Hyperlink"/>
          </w:rPr>
          <w:t>www.gbrmpa.gov.au</w:t>
        </w:r>
      </w:hyperlink>
    </w:p>
    <w:p w14:paraId="1E1D845F" w14:textId="77777777" w:rsidR="00D22478" w:rsidRPr="00C53E2A" w:rsidRDefault="00D22478" w:rsidP="00C53E2A">
      <w:pPr>
        <w:pStyle w:val="FurtherInformationText"/>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2099"/>
        <w:gridCol w:w="5031"/>
        <w:gridCol w:w="1435"/>
        <w:gridCol w:w="1397"/>
      </w:tblGrid>
      <w:tr w:rsidR="00B52BD2" w:rsidRPr="00A44480" w14:paraId="78016655" w14:textId="77777777" w:rsidTr="005A740F">
        <w:trPr>
          <w:trHeight w:val="283"/>
        </w:trPr>
        <w:tc>
          <w:tcPr>
            <w:tcW w:w="5000" w:type="pct"/>
            <w:gridSpan w:val="4"/>
            <w:shd w:val="clear" w:color="auto" w:fill="C6D9F1" w:themeFill="text2" w:themeFillTint="33"/>
            <w:vAlign w:val="center"/>
            <w:hideMark/>
          </w:tcPr>
          <w:p w14:paraId="14CF83D6" w14:textId="77777777" w:rsidR="00B52BD2" w:rsidRPr="0055149A" w:rsidRDefault="00B52BD2" w:rsidP="005A740F">
            <w:pPr>
              <w:rPr>
                <w:rFonts w:ascii="Arial" w:hAnsi="Arial" w:cs="Arial"/>
                <w:b/>
                <w:i/>
                <w:color w:val="005782"/>
                <w:sz w:val="18"/>
                <w:szCs w:val="18"/>
              </w:rPr>
            </w:pPr>
            <w:r w:rsidRPr="0055149A">
              <w:rPr>
                <w:rFonts w:ascii="Arial" w:hAnsi="Arial" w:cs="Arial"/>
                <w:b/>
                <w:i/>
                <w:color w:val="005782"/>
                <w:sz w:val="18"/>
                <w:szCs w:val="18"/>
              </w:rPr>
              <w:t xml:space="preserve">Document </w:t>
            </w:r>
            <w:r>
              <w:rPr>
                <w:rFonts w:ascii="Arial" w:hAnsi="Arial" w:cs="Arial"/>
                <w:b/>
                <w:i/>
                <w:color w:val="005782"/>
                <w:sz w:val="18"/>
                <w:szCs w:val="18"/>
              </w:rPr>
              <w:t>c</w:t>
            </w:r>
            <w:r w:rsidRPr="0055149A">
              <w:rPr>
                <w:rFonts w:ascii="Arial" w:hAnsi="Arial" w:cs="Arial"/>
                <w:b/>
                <w:i/>
                <w:color w:val="005782"/>
                <w:sz w:val="18"/>
                <w:szCs w:val="18"/>
              </w:rPr>
              <w:t xml:space="preserve">ontrol </w:t>
            </w:r>
            <w:r>
              <w:rPr>
                <w:rFonts w:ascii="Arial" w:hAnsi="Arial" w:cs="Arial"/>
                <w:b/>
                <w:i/>
                <w:color w:val="005782"/>
                <w:sz w:val="18"/>
                <w:szCs w:val="18"/>
              </w:rPr>
              <w:t>i</w:t>
            </w:r>
            <w:r w:rsidRPr="0055149A">
              <w:rPr>
                <w:rFonts w:ascii="Arial" w:hAnsi="Arial" w:cs="Arial"/>
                <w:b/>
                <w:i/>
                <w:color w:val="005782"/>
                <w:sz w:val="18"/>
                <w:szCs w:val="18"/>
              </w:rPr>
              <w:t>nformation</w:t>
            </w:r>
          </w:p>
        </w:tc>
      </w:tr>
      <w:tr w:rsidR="00B52BD2" w:rsidRPr="00A44480" w14:paraId="0DA10D6D" w14:textId="77777777" w:rsidTr="00B52BD2">
        <w:trPr>
          <w:trHeight w:val="255"/>
        </w:trPr>
        <w:tc>
          <w:tcPr>
            <w:tcW w:w="1054" w:type="pct"/>
            <w:shd w:val="clear" w:color="auto" w:fill="DBE5F1" w:themeFill="accent1" w:themeFillTint="33"/>
            <w:hideMark/>
          </w:tcPr>
          <w:p w14:paraId="68BFB08E" w14:textId="77777777" w:rsidR="00B52BD2" w:rsidRPr="00B52BD2" w:rsidRDefault="00B52BD2" w:rsidP="00B52BD2">
            <w:pPr>
              <w:jc w:val="right"/>
              <w:rPr>
                <w:rFonts w:ascii="Arial" w:hAnsi="Arial" w:cs="Arial"/>
                <w:color w:val="005782"/>
                <w:sz w:val="16"/>
                <w:szCs w:val="16"/>
              </w:rPr>
            </w:pPr>
            <w:r w:rsidRPr="00B52BD2">
              <w:rPr>
                <w:rFonts w:ascii="Arial" w:hAnsi="Arial" w:cs="Arial"/>
                <w:color w:val="005782"/>
                <w:sz w:val="16"/>
                <w:szCs w:val="16"/>
              </w:rPr>
              <w:t>Approved by:</w:t>
            </w:r>
          </w:p>
        </w:tc>
        <w:tc>
          <w:tcPr>
            <w:tcW w:w="2525" w:type="pct"/>
            <w:shd w:val="clear" w:color="auto" w:fill="DBE5F1" w:themeFill="accent1" w:themeFillTint="33"/>
            <w:hideMark/>
          </w:tcPr>
          <w:p w14:paraId="1CE52429" w14:textId="3CC6AF5A" w:rsidR="00B52BD2" w:rsidRPr="00B52BD2" w:rsidRDefault="00B9550E" w:rsidP="00B52BD2">
            <w:pPr>
              <w:rPr>
                <w:rFonts w:ascii="Arial" w:hAnsi="Arial" w:cs="Arial"/>
                <w:b/>
                <w:color w:val="005782"/>
                <w:sz w:val="16"/>
                <w:szCs w:val="16"/>
              </w:rPr>
            </w:pPr>
            <w:sdt>
              <w:sdtPr>
                <w:rPr>
                  <w:rFonts w:ascii="Arial" w:hAnsi="Arial" w:cs="Arial"/>
                  <w:b/>
                  <w:color w:val="005782"/>
                  <w:sz w:val="16"/>
                  <w:szCs w:val="16"/>
                </w:rPr>
                <w:id w:val="-2042119429"/>
                <w:text/>
              </w:sdtPr>
              <w:sdtEndPr/>
              <w:sdtContent>
                <w:r w:rsidR="00B52BD2" w:rsidRPr="00B52BD2">
                  <w:rPr>
                    <w:rFonts w:ascii="Arial" w:hAnsi="Arial" w:cs="Arial"/>
                    <w:b/>
                    <w:color w:val="005782"/>
                    <w:sz w:val="16"/>
                    <w:szCs w:val="16"/>
                  </w:rPr>
                  <w:t>Not yet approved – draft for public consultation</w:t>
                </w:r>
              </w:sdtContent>
            </w:sdt>
          </w:p>
        </w:tc>
        <w:tc>
          <w:tcPr>
            <w:tcW w:w="720" w:type="pct"/>
            <w:shd w:val="clear" w:color="auto" w:fill="DBE5F1" w:themeFill="accent1" w:themeFillTint="33"/>
            <w:hideMark/>
          </w:tcPr>
          <w:p w14:paraId="1DA8F3F1" w14:textId="77777777" w:rsidR="00B52BD2" w:rsidRPr="00B52BD2" w:rsidRDefault="00B52BD2" w:rsidP="00B52BD2">
            <w:pPr>
              <w:jc w:val="right"/>
              <w:rPr>
                <w:rFonts w:ascii="Arial" w:hAnsi="Arial" w:cs="Arial"/>
                <w:color w:val="005782"/>
                <w:sz w:val="16"/>
                <w:szCs w:val="16"/>
              </w:rPr>
            </w:pPr>
            <w:r w:rsidRPr="00B52BD2">
              <w:rPr>
                <w:rFonts w:ascii="Arial" w:hAnsi="Arial" w:cs="Arial"/>
                <w:color w:val="005782"/>
                <w:sz w:val="16"/>
                <w:szCs w:val="16"/>
              </w:rPr>
              <w:t>Approved date:</w:t>
            </w:r>
          </w:p>
        </w:tc>
        <w:sdt>
          <w:sdtPr>
            <w:rPr>
              <w:rFonts w:ascii="Arial" w:hAnsi="Arial" w:cs="Arial"/>
              <w:color w:val="005782"/>
              <w:sz w:val="16"/>
              <w:szCs w:val="16"/>
            </w:rPr>
            <w:id w:val="1060912086"/>
            <w:showingPlcHdr/>
            <w:date>
              <w:dateFormat w:val="d-MMM-yy"/>
              <w:lid w:val="en-AU"/>
              <w:storeMappedDataAs w:val="dateTime"/>
              <w:calendar w:val="gregorian"/>
            </w:date>
          </w:sdtPr>
          <w:sdtEndPr/>
          <w:sdtContent>
            <w:tc>
              <w:tcPr>
                <w:tcW w:w="701" w:type="pct"/>
                <w:shd w:val="clear" w:color="auto" w:fill="DBE5F1" w:themeFill="accent1" w:themeFillTint="33"/>
              </w:tcPr>
              <w:p w14:paraId="75A31D1E" w14:textId="6E1BC42E" w:rsidR="00B52BD2" w:rsidRPr="00B52BD2" w:rsidRDefault="00B52BD2" w:rsidP="00B52BD2">
                <w:pPr>
                  <w:rPr>
                    <w:rFonts w:ascii="Arial" w:hAnsi="Arial" w:cs="Arial"/>
                    <w:color w:val="005782"/>
                    <w:sz w:val="16"/>
                    <w:szCs w:val="16"/>
                  </w:rPr>
                </w:pPr>
                <w:r w:rsidRPr="00B52BD2">
                  <w:rPr>
                    <w:rFonts w:ascii="Arial" w:hAnsi="Arial" w:cs="Arial"/>
                    <w:color w:val="005782"/>
                    <w:sz w:val="16"/>
                    <w:szCs w:val="16"/>
                  </w:rPr>
                  <w:t>Click for date.</w:t>
                </w:r>
              </w:p>
            </w:tc>
          </w:sdtContent>
        </w:sdt>
      </w:tr>
      <w:tr w:rsidR="00B52BD2" w:rsidRPr="00A44480" w14:paraId="14CBC670" w14:textId="77777777" w:rsidTr="00B52BD2">
        <w:trPr>
          <w:trHeight w:val="255"/>
        </w:trPr>
        <w:tc>
          <w:tcPr>
            <w:tcW w:w="1054" w:type="pct"/>
            <w:shd w:val="clear" w:color="auto" w:fill="DBE5F1" w:themeFill="accent1" w:themeFillTint="33"/>
            <w:hideMark/>
          </w:tcPr>
          <w:p w14:paraId="768CB615" w14:textId="77777777" w:rsidR="00B52BD2" w:rsidRPr="00B52BD2" w:rsidRDefault="00B52BD2" w:rsidP="00B52BD2">
            <w:pPr>
              <w:jc w:val="right"/>
              <w:rPr>
                <w:rFonts w:ascii="Arial" w:hAnsi="Arial" w:cs="Arial"/>
                <w:color w:val="005782"/>
                <w:sz w:val="16"/>
                <w:szCs w:val="16"/>
              </w:rPr>
            </w:pPr>
            <w:r w:rsidRPr="00B52BD2">
              <w:rPr>
                <w:rFonts w:ascii="Arial" w:hAnsi="Arial" w:cs="Arial"/>
                <w:color w:val="005782"/>
                <w:sz w:val="16"/>
                <w:szCs w:val="16"/>
              </w:rPr>
              <w:t>Last reviewed:</w:t>
            </w:r>
          </w:p>
        </w:tc>
        <w:tc>
          <w:tcPr>
            <w:tcW w:w="3946" w:type="pct"/>
            <w:gridSpan w:val="3"/>
            <w:shd w:val="clear" w:color="auto" w:fill="DBE5F1" w:themeFill="accent1" w:themeFillTint="33"/>
            <w:hideMark/>
          </w:tcPr>
          <w:p w14:paraId="0F323945" w14:textId="1DB5B733" w:rsidR="00B52BD2" w:rsidRPr="00B52BD2" w:rsidRDefault="00B9550E" w:rsidP="00B52BD2">
            <w:pPr>
              <w:rPr>
                <w:rFonts w:ascii="Arial" w:hAnsi="Arial" w:cs="Arial"/>
                <w:color w:val="005782"/>
                <w:sz w:val="16"/>
                <w:szCs w:val="16"/>
              </w:rPr>
            </w:pPr>
            <w:sdt>
              <w:sdtPr>
                <w:rPr>
                  <w:rFonts w:ascii="Arial" w:hAnsi="Arial" w:cs="Arial"/>
                  <w:color w:val="005782"/>
                  <w:sz w:val="16"/>
                  <w:szCs w:val="16"/>
                </w:rPr>
                <w:id w:val="-2056452304"/>
                <w:showingPlcHdr/>
                <w:date>
                  <w:dateFormat w:val="d-MMM-yy"/>
                  <w:lid w:val="en-AU"/>
                  <w:storeMappedDataAs w:val="dateTime"/>
                  <w:calendar w:val="gregorian"/>
                </w:date>
              </w:sdtPr>
              <w:sdtEndPr/>
              <w:sdtContent>
                <w:r w:rsidR="00B52BD2" w:rsidRPr="00B52BD2">
                  <w:rPr>
                    <w:rFonts w:ascii="Arial" w:hAnsi="Arial" w:cs="Arial"/>
                    <w:color w:val="005782"/>
                    <w:sz w:val="16"/>
                    <w:szCs w:val="16"/>
                  </w:rPr>
                  <w:t>Click to insert date.</w:t>
                </w:r>
              </w:sdtContent>
            </w:sdt>
          </w:p>
        </w:tc>
      </w:tr>
      <w:tr w:rsidR="00B52BD2" w:rsidRPr="00A44480" w14:paraId="7ECA63F7" w14:textId="77777777" w:rsidTr="00B52BD2">
        <w:trPr>
          <w:trHeight w:val="255"/>
        </w:trPr>
        <w:tc>
          <w:tcPr>
            <w:tcW w:w="1054" w:type="pct"/>
            <w:shd w:val="clear" w:color="auto" w:fill="DBE5F1" w:themeFill="accent1" w:themeFillTint="33"/>
            <w:hideMark/>
          </w:tcPr>
          <w:p w14:paraId="68887D45" w14:textId="77777777" w:rsidR="00B52BD2" w:rsidRPr="00B52BD2" w:rsidRDefault="00B52BD2" w:rsidP="00B52BD2">
            <w:pPr>
              <w:jc w:val="right"/>
              <w:rPr>
                <w:rFonts w:ascii="Arial" w:hAnsi="Arial" w:cs="Arial"/>
                <w:color w:val="005782"/>
                <w:sz w:val="16"/>
                <w:szCs w:val="16"/>
              </w:rPr>
            </w:pPr>
            <w:r w:rsidRPr="00B52BD2">
              <w:rPr>
                <w:rFonts w:ascii="Arial" w:hAnsi="Arial" w:cs="Arial"/>
                <w:color w:val="005782"/>
                <w:sz w:val="16"/>
                <w:szCs w:val="16"/>
              </w:rPr>
              <w:t>Next review:</w:t>
            </w:r>
          </w:p>
        </w:tc>
        <w:tc>
          <w:tcPr>
            <w:tcW w:w="3946" w:type="pct"/>
            <w:gridSpan w:val="3"/>
            <w:shd w:val="clear" w:color="auto" w:fill="DBE5F1" w:themeFill="accent1" w:themeFillTint="33"/>
            <w:hideMark/>
          </w:tcPr>
          <w:p w14:paraId="573A9DF3" w14:textId="1A23E1F6" w:rsidR="00B52BD2" w:rsidRPr="00B52BD2" w:rsidRDefault="00B9550E" w:rsidP="00B52BD2">
            <w:pPr>
              <w:rPr>
                <w:rFonts w:ascii="Arial" w:hAnsi="Arial" w:cs="Arial"/>
                <w:color w:val="005782"/>
                <w:sz w:val="16"/>
                <w:szCs w:val="16"/>
              </w:rPr>
            </w:pPr>
            <w:sdt>
              <w:sdtPr>
                <w:rPr>
                  <w:rFonts w:ascii="Arial" w:hAnsi="Arial" w:cs="Arial"/>
                  <w:color w:val="005782"/>
                  <w:sz w:val="16"/>
                  <w:szCs w:val="16"/>
                </w:rPr>
                <w:id w:val="-40819787"/>
                <w:showingPlcHdr/>
                <w:date>
                  <w:dateFormat w:val="d-MMM-yy"/>
                  <w:lid w:val="en-AU"/>
                  <w:storeMappedDataAs w:val="dateTime"/>
                  <w:calendar w:val="gregorian"/>
                </w:date>
              </w:sdtPr>
              <w:sdtEndPr/>
              <w:sdtContent>
                <w:r w:rsidR="00B52BD2" w:rsidRPr="00B52BD2">
                  <w:rPr>
                    <w:rFonts w:ascii="Arial" w:hAnsi="Arial" w:cs="Arial"/>
                    <w:color w:val="005782"/>
                    <w:sz w:val="16"/>
                    <w:szCs w:val="16"/>
                  </w:rPr>
                  <w:t>Click to insert date.</w:t>
                </w:r>
              </w:sdtContent>
            </w:sdt>
          </w:p>
        </w:tc>
      </w:tr>
      <w:tr w:rsidR="00B52BD2" w:rsidRPr="00A44480" w14:paraId="42089AE7" w14:textId="77777777" w:rsidTr="00B52BD2">
        <w:trPr>
          <w:trHeight w:val="255"/>
        </w:trPr>
        <w:tc>
          <w:tcPr>
            <w:tcW w:w="1054" w:type="pct"/>
            <w:shd w:val="clear" w:color="auto" w:fill="DBE5F1" w:themeFill="accent1" w:themeFillTint="33"/>
            <w:hideMark/>
          </w:tcPr>
          <w:p w14:paraId="356A0220" w14:textId="77777777" w:rsidR="00B52BD2" w:rsidRPr="00B52BD2" w:rsidRDefault="00B52BD2" w:rsidP="00B52BD2">
            <w:pPr>
              <w:jc w:val="right"/>
              <w:rPr>
                <w:rFonts w:ascii="Arial" w:hAnsi="Arial" w:cs="Arial"/>
                <w:color w:val="005782"/>
                <w:sz w:val="16"/>
                <w:szCs w:val="16"/>
              </w:rPr>
            </w:pPr>
            <w:r w:rsidRPr="00B52BD2">
              <w:rPr>
                <w:rFonts w:ascii="Arial" w:hAnsi="Arial" w:cs="Arial"/>
                <w:color w:val="005782"/>
                <w:sz w:val="16"/>
                <w:szCs w:val="16"/>
              </w:rPr>
              <w:t>Created:</w:t>
            </w:r>
          </w:p>
        </w:tc>
        <w:tc>
          <w:tcPr>
            <w:tcW w:w="3946" w:type="pct"/>
            <w:gridSpan w:val="3"/>
            <w:shd w:val="clear" w:color="auto" w:fill="DBE5F1" w:themeFill="accent1" w:themeFillTint="33"/>
            <w:hideMark/>
          </w:tcPr>
          <w:p w14:paraId="3EE06828" w14:textId="25B242BD" w:rsidR="00B52BD2" w:rsidRPr="00B52BD2" w:rsidRDefault="00B9550E" w:rsidP="00B52BD2">
            <w:pPr>
              <w:rPr>
                <w:rFonts w:ascii="Arial" w:hAnsi="Arial" w:cs="Arial"/>
                <w:color w:val="005782"/>
                <w:sz w:val="16"/>
                <w:szCs w:val="16"/>
              </w:rPr>
            </w:pPr>
            <w:sdt>
              <w:sdtPr>
                <w:rPr>
                  <w:rFonts w:ascii="Arial" w:hAnsi="Arial" w:cs="Arial"/>
                  <w:color w:val="005782"/>
                  <w:sz w:val="16"/>
                  <w:szCs w:val="16"/>
                </w:rPr>
                <w:id w:val="1974323609"/>
                <w:showingPlcHdr/>
                <w:date>
                  <w:dateFormat w:val="d-MMM-yy"/>
                  <w:lid w:val="en-AU"/>
                  <w:storeMappedDataAs w:val="dateTime"/>
                  <w:calendar w:val="gregorian"/>
                </w:date>
              </w:sdtPr>
              <w:sdtEndPr/>
              <w:sdtContent>
                <w:r w:rsidR="00B52BD2" w:rsidRPr="00B52BD2">
                  <w:rPr>
                    <w:rFonts w:ascii="Arial" w:hAnsi="Arial" w:cs="Arial"/>
                    <w:color w:val="005782"/>
                    <w:sz w:val="16"/>
                    <w:szCs w:val="16"/>
                  </w:rPr>
                  <w:t>Click to insert date.</w:t>
                </w:r>
              </w:sdtContent>
            </w:sdt>
          </w:p>
        </w:tc>
      </w:tr>
      <w:tr w:rsidR="00B52BD2" w:rsidRPr="00A44480" w14:paraId="0F2CB6A8" w14:textId="77777777" w:rsidTr="00B52BD2">
        <w:trPr>
          <w:trHeight w:val="255"/>
        </w:trPr>
        <w:tc>
          <w:tcPr>
            <w:tcW w:w="1054" w:type="pct"/>
            <w:shd w:val="clear" w:color="auto" w:fill="DBE5F1" w:themeFill="accent1" w:themeFillTint="33"/>
            <w:hideMark/>
          </w:tcPr>
          <w:p w14:paraId="5F2B579F" w14:textId="77777777" w:rsidR="00B52BD2" w:rsidRPr="00B52BD2" w:rsidRDefault="00B52BD2" w:rsidP="00B52BD2">
            <w:pPr>
              <w:jc w:val="right"/>
              <w:rPr>
                <w:rFonts w:ascii="Arial" w:hAnsi="Arial" w:cs="Arial"/>
                <w:color w:val="005782"/>
                <w:sz w:val="16"/>
                <w:szCs w:val="16"/>
              </w:rPr>
            </w:pPr>
            <w:r w:rsidRPr="00B52BD2">
              <w:rPr>
                <w:rFonts w:ascii="Arial" w:hAnsi="Arial" w:cs="Arial"/>
                <w:color w:val="005782"/>
                <w:sz w:val="16"/>
                <w:szCs w:val="16"/>
              </w:rPr>
              <w:t>Document custodian:</w:t>
            </w:r>
          </w:p>
        </w:tc>
        <w:tc>
          <w:tcPr>
            <w:tcW w:w="3946" w:type="pct"/>
            <w:gridSpan w:val="3"/>
            <w:shd w:val="clear" w:color="auto" w:fill="DBE5F1" w:themeFill="accent1" w:themeFillTint="33"/>
            <w:hideMark/>
          </w:tcPr>
          <w:p w14:paraId="1CCD6873" w14:textId="689E190D" w:rsidR="00B52BD2" w:rsidRPr="00B52BD2" w:rsidRDefault="00B9550E" w:rsidP="00B52BD2">
            <w:pPr>
              <w:rPr>
                <w:rFonts w:ascii="Arial" w:hAnsi="Arial" w:cs="Arial"/>
                <w:color w:val="005782"/>
                <w:sz w:val="16"/>
                <w:szCs w:val="16"/>
                <w:highlight w:val="yellow"/>
              </w:rPr>
            </w:pPr>
            <w:sdt>
              <w:sdtPr>
                <w:rPr>
                  <w:rFonts w:ascii="Arial" w:hAnsi="Arial" w:cs="Arial"/>
                  <w:color w:val="005782"/>
                  <w:sz w:val="16"/>
                  <w:szCs w:val="16"/>
                </w:rPr>
                <w:id w:val="1640382666"/>
                <w:showingPlcHdr/>
                <w:text/>
              </w:sdtPr>
              <w:sdtEndPr/>
              <w:sdtContent>
                <w:r w:rsidR="00B52BD2" w:rsidRPr="00B52BD2">
                  <w:rPr>
                    <w:rFonts w:ascii="Arial" w:hAnsi="Arial" w:cs="Arial"/>
                    <w:color w:val="005782"/>
                    <w:sz w:val="16"/>
                    <w:szCs w:val="16"/>
                  </w:rPr>
                  <w:t>Enter the position who will be responsible for the maintenance of this document).</w:t>
                </w:r>
              </w:sdtContent>
            </w:sdt>
          </w:p>
        </w:tc>
      </w:tr>
      <w:tr w:rsidR="00B52BD2" w:rsidRPr="00A44480" w14:paraId="0D681640" w14:textId="77777777" w:rsidTr="00B52BD2">
        <w:trPr>
          <w:trHeight w:val="255"/>
        </w:trPr>
        <w:tc>
          <w:tcPr>
            <w:tcW w:w="1054" w:type="pct"/>
            <w:shd w:val="clear" w:color="auto" w:fill="DBE5F1" w:themeFill="accent1" w:themeFillTint="33"/>
            <w:hideMark/>
          </w:tcPr>
          <w:p w14:paraId="41680B52" w14:textId="77777777" w:rsidR="00B52BD2" w:rsidRPr="00B52BD2" w:rsidRDefault="00B52BD2" w:rsidP="00B52BD2">
            <w:pPr>
              <w:jc w:val="right"/>
              <w:rPr>
                <w:rFonts w:ascii="Arial" w:hAnsi="Arial" w:cs="Arial"/>
                <w:color w:val="005782"/>
                <w:sz w:val="16"/>
                <w:szCs w:val="16"/>
              </w:rPr>
            </w:pPr>
            <w:r w:rsidRPr="00B52BD2">
              <w:rPr>
                <w:rFonts w:ascii="Arial" w:hAnsi="Arial" w:cs="Arial"/>
                <w:color w:val="005782"/>
                <w:sz w:val="16"/>
                <w:szCs w:val="16"/>
              </w:rPr>
              <w:t>Replaces:</w:t>
            </w:r>
          </w:p>
        </w:tc>
        <w:tc>
          <w:tcPr>
            <w:tcW w:w="3946" w:type="pct"/>
            <w:gridSpan w:val="3"/>
            <w:shd w:val="clear" w:color="auto" w:fill="DBE5F1" w:themeFill="accent1" w:themeFillTint="33"/>
            <w:hideMark/>
          </w:tcPr>
          <w:p w14:paraId="4F871CC8" w14:textId="2774F976" w:rsidR="00B52BD2" w:rsidRPr="00B52BD2" w:rsidRDefault="00B9550E" w:rsidP="00B52BD2">
            <w:pPr>
              <w:rPr>
                <w:rFonts w:ascii="Arial" w:hAnsi="Arial" w:cs="Arial"/>
                <w:color w:val="005782"/>
                <w:sz w:val="16"/>
                <w:szCs w:val="16"/>
                <w:highlight w:val="yellow"/>
              </w:rPr>
            </w:pPr>
            <w:sdt>
              <w:sdtPr>
                <w:rPr>
                  <w:rFonts w:ascii="Arial" w:hAnsi="Arial" w:cs="Arial"/>
                  <w:color w:val="005782"/>
                  <w:sz w:val="16"/>
                  <w:szCs w:val="16"/>
                </w:rPr>
                <w:id w:val="-1841845946"/>
                <w:showingPlcHdr/>
                <w:text/>
              </w:sdtPr>
              <w:sdtEndPr/>
              <w:sdtContent>
                <w:r w:rsidR="00B52BD2" w:rsidRPr="00B52BD2">
                  <w:rPr>
                    <w:rFonts w:ascii="Arial" w:hAnsi="Arial" w:cs="Arial"/>
                    <w:color w:val="005782"/>
                    <w:sz w:val="16"/>
                    <w:szCs w:val="16"/>
                  </w:rPr>
                  <w:t>Enter the name (and version) of document/s this one supersedes. If new, state “New”</w:t>
                </w:r>
              </w:sdtContent>
            </w:sdt>
          </w:p>
        </w:tc>
      </w:tr>
    </w:tbl>
    <w:p w14:paraId="4A920A3B" w14:textId="77777777" w:rsidR="00753805" w:rsidRDefault="00753805">
      <w:pPr>
        <w:rPr>
          <w:rFonts w:ascii="Arial" w:hAnsi="Arial"/>
          <w:color w:val="000000" w:themeColor="text1"/>
          <w:sz w:val="20"/>
          <w:szCs w:val="32"/>
          <w:vertAlign w:val="superscript"/>
        </w:rPr>
      </w:pPr>
      <w:r>
        <w:br w:type="page"/>
      </w:r>
    </w:p>
    <w:p w14:paraId="400CCA3B" w14:textId="4AD04CDA" w:rsidR="00753805" w:rsidRDefault="00753805" w:rsidP="00FC517E">
      <w:pPr>
        <w:pStyle w:val="Heading1"/>
      </w:pPr>
      <w:bookmarkStart w:id="1" w:name="_Appendix_1._"/>
      <w:bookmarkEnd w:id="1"/>
      <w:r>
        <w:lastRenderedPageBreak/>
        <w:t>Appendix 1</w:t>
      </w:r>
      <w:r w:rsidR="00B34D5A">
        <w:t xml:space="preserve">. </w:t>
      </w:r>
      <w:r>
        <w:t xml:space="preserve"> </w:t>
      </w:r>
      <w:r w:rsidRPr="008D6410">
        <w:t>Related legislation / standards / policy</w:t>
      </w:r>
    </w:p>
    <w:p w14:paraId="352D1687" w14:textId="6CABFF1D" w:rsidR="00577F2F" w:rsidRPr="008D6410" w:rsidRDefault="00577F2F" w:rsidP="00577F2F">
      <w:pPr>
        <w:pStyle w:val="Subheading2"/>
        <w:spacing w:before="96" w:after="96"/>
      </w:pPr>
      <w:r>
        <w:t>Legislation</w:t>
      </w:r>
    </w:p>
    <w:p w14:paraId="30A9A9A3" w14:textId="697F1EDE" w:rsidR="00753805" w:rsidRDefault="00B9550E" w:rsidP="00B129EF">
      <w:pPr>
        <w:pStyle w:val="BodyTextNumbering"/>
        <w:numPr>
          <w:ilvl w:val="0"/>
          <w:numId w:val="0"/>
        </w:numPr>
        <w:spacing w:beforeLines="60" w:before="144" w:afterLines="60" w:after="144"/>
      </w:pPr>
      <w:hyperlink r:id="rId18" w:tooltip="link to the GBRMP Act" w:history="1">
        <w:r w:rsidR="00753805" w:rsidRPr="009F2304">
          <w:rPr>
            <w:rStyle w:val="Hyperlink"/>
            <w:i/>
          </w:rPr>
          <w:t>Great Barrier Reef Marine Park Act 1975</w:t>
        </w:r>
      </w:hyperlink>
      <w:r w:rsidR="00753805" w:rsidRPr="00487009">
        <w:t xml:space="preserve"> (</w:t>
      </w:r>
      <w:r w:rsidR="003B164E">
        <w:t>GBRMP Act)</w:t>
      </w:r>
    </w:p>
    <w:p w14:paraId="77DDA814" w14:textId="1CBE8570" w:rsidR="00753805" w:rsidRDefault="00B9550E" w:rsidP="00B129EF">
      <w:pPr>
        <w:pStyle w:val="BodyTextNumbering"/>
        <w:numPr>
          <w:ilvl w:val="0"/>
          <w:numId w:val="0"/>
        </w:numPr>
        <w:spacing w:beforeLines="60" w:before="144" w:afterLines="60" w:after="144"/>
      </w:pPr>
      <w:hyperlink r:id="rId19" w:tooltip="link to the GBRMP regulations" w:history="1">
        <w:r w:rsidR="00753805" w:rsidRPr="00DB3107">
          <w:rPr>
            <w:rStyle w:val="Hyperlink"/>
            <w:i/>
          </w:rPr>
          <w:t>Great Barrier Reef Marine Park Regulations 1983</w:t>
        </w:r>
      </w:hyperlink>
      <w:r w:rsidR="00753805">
        <w:rPr>
          <w:i/>
        </w:rPr>
        <w:t xml:space="preserve"> </w:t>
      </w:r>
      <w:r w:rsidR="00753805">
        <w:t>(GBRMP Regulations)</w:t>
      </w:r>
    </w:p>
    <w:p w14:paraId="0D860D9E" w14:textId="28EC0182" w:rsidR="00753805" w:rsidRDefault="00B9550E" w:rsidP="00B129EF">
      <w:pPr>
        <w:pStyle w:val="BodyTextNumbering"/>
        <w:numPr>
          <w:ilvl w:val="0"/>
          <w:numId w:val="0"/>
        </w:numPr>
        <w:spacing w:beforeLines="60" w:before="144" w:afterLines="60" w:after="144"/>
        <w:rPr>
          <w:rStyle w:val="Hyperlink"/>
          <w:i/>
        </w:rPr>
      </w:pPr>
      <w:hyperlink r:id="rId20" w:tooltip="link to the GBRMPA zoning plan" w:history="1">
        <w:r w:rsidR="00753805" w:rsidRPr="009F2304">
          <w:rPr>
            <w:rStyle w:val="Hyperlink"/>
            <w:i/>
          </w:rPr>
          <w:t>Great Barrier Reef Marine Park Zoning Plan 2003</w:t>
        </w:r>
      </w:hyperlink>
    </w:p>
    <w:p w14:paraId="4FF07606" w14:textId="7B1C982D" w:rsidR="005313E0" w:rsidRDefault="00B9550E" w:rsidP="00B129EF">
      <w:pPr>
        <w:pStyle w:val="BodyTextNumbering"/>
        <w:numPr>
          <w:ilvl w:val="0"/>
          <w:numId w:val="0"/>
        </w:numPr>
        <w:spacing w:beforeLines="60" w:before="144" w:afterLines="60" w:after="144"/>
      </w:pPr>
      <w:hyperlink r:id="rId21" w:history="1">
        <w:r w:rsidR="005313E0" w:rsidRPr="00404AFA">
          <w:rPr>
            <w:rStyle w:val="Hyperlink"/>
          </w:rPr>
          <w:t>Whitsundays Area Plan of Management</w:t>
        </w:r>
      </w:hyperlink>
    </w:p>
    <w:p w14:paraId="52326F24" w14:textId="43BE4DBA" w:rsidR="005313E0" w:rsidRDefault="00B9550E" w:rsidP="00B129EF">
      <w:pPr>
        <w:pStyle w:val="BodyTextNumbering"/>
        <w:numPr>
          <w:ilvl w:val="0"/>
          <w:numId w:val="0"/>
        </w:numPr>
        <w:spacing w:beforeLines="60" w:before="144" w:afterLines="60" w:after="144"/>
      </w:pPr>
      <w:hyperlink r:id="rId22" w:history="1">
        <w:r w:rsidR="005313E0" w:rsidRPr="00404AFA">
          <w:rPr>
            <w:rStyle w:val="Hyperlink"/>
          </w:rPr>
          <w:t>Hinchinbrook Plan of Management</w:t>
        </w:r>
      </w:hyperlink>
    </w:p>
    <w:p w14:paraId="4205CF97" w14:textId="0CC7086E" w:rsidR="005313E0" w:rsidRDefault="00B9550E" w:rsidP="00B129EF">
      <w:pPr>
        <w:pStyle w:val="BodyTextNumbering"/>
        <w:numPr>
          <w:ilvl w:val="0"/>
          <w:numId w:val="0"/>
        </w:numPr>
        <w:spacing w:beforeLines="60" w:before="144" w:afterLines="60" w:after="144"/>
      </w:pPr>
      <w:hyperlink r:id="rId23" w:history="1">
        <w:r w:rsidR="005313E0" w:rsidRPr="00404AFA">
          <w:rPr>
            <w:rStyle w:val="Hyperlink"/>
          </w:rPr>
          <w:t>Cairns Area Plan of Management</w:t>
        </w:r>
      </w:hyperlink>
    </w:p>
    <w:p w14:paraId="52C1FDAD" w14:textId="12560C6B" w:rsidR="008071C8" w:rsidRDefault="00B9550E" w:rsidP="00B129EF">
      <w:pPr>
        <w:pStyle w:val="BodyTextNumbering"/>
        <w:numPr>
          <w:ilvl w:val="0"/>
          <w:numId w:val="0"/>
        </w:numPr>
        <w:spacing w:beforeLines="60" w:before="144" w:afterLines="60" w:after="144"/>
      </w:pPr>
      <w:hyperlink r:id="rId24" w:history="1">
        <w:r w:rsidR="00577F2F" w:rsidRPr="00577F2F">
          <w:rPr>
            <w:rStyle w:val="Hyperlink"/>
            <w:i/>
          </w:rPr>
          <w:t>Environment Protection (Sea Dumping) Act 1981</w:t>
        </w:r>
      </w:hyperlink>
      <w:r w:rsidR="00577F2F" w:rsidRPr="00577F2F">
        <w:t xml:space="preserve"> regulates the loading and dumping of waste at sea. The Act fulfils Australia's international obligations under the London Protocol to prevent marine pollution by dumping of wastes and other matter.</w:t>
      </w:r>
    </w:p>
    <w:p w14:paraId="2658D15D" w14:textId="77777777" w:rsidR="00BD6EFE" w:rsidRDefault="00B9550E" w:rsidP="00B129EF">
      <w:pPr>
        <w:pStyle w:val="BodyTextNumbering"/>
        <w:numPr>
          <w:ilvl w:val="0"/>
          <w:numId w:val="39"/>
        </w:numPr>
        <w:spacing w:beforeLines="60" w:before="144" w:afterLines="60" w:after="144"/>
        <w:rPr>
          <w:rFonts w:cs="Arial"/>
          <w:i/>
          <w:szCs w:val="20"/>
        </w:rPr>
      </w:pPr>
      <w:hyperlink r:id="rId25" w:history="1">
        <w:r w:rsidR="00BD6EFE" w:rsidRPr="00F04FA9">
          <w:rPr>
            <w:rStyle w:val="Hyperlink"/>
            <w:rFonts w:cs="Arial"/>
            <w:i/>
            <w:szCs w:val="20"/>
          </w:rPr>
          <w:t>Guidelines for the Placement of Artificial Reefs - London Convention and Protocol/UNEP</w:t>
        </w:r>
      </w:hyperlink>
    </w:p>
    <w:p w14:paraId="72C53E24" w14:textId="551DE10F" w:rsidR="00A7229B" w:rsidRDefault="00B9550E" w:rsidP="00B129EF">
      <w:pPr>
        <w:pStyle w:val="BodyTextNumbering"/>
        <w:numPr>
          <w:ilvl w:val="0"/>
          <w:numId w:val="0"/>
        </w:numPr>
        <w:spacing w:beforeLines="60" w:before="144" w:afterLines="60" w:after="144"/>
      </w:pPr>
      <w:hyperlink r:id="rId26" w:tooltip="link to the EPBC act" w:history="1">
        <w:r w:rsidR="00753805" w:rsidRPr="000A7303">
          <w:rPr>
            <w:rStyle w:val="Hyperlink"/>
            <w:i/>
          </w:rPr>
          <w:t>Environment Protection and Biodiversity Conservation Act 1999</w:t>
        </w:r>
      </w:hyperlink>
      <w:r w:rsidR="00753805">
        <w:t xml:space="preserve"> (EPBC Act) and associated significance guidelines for matters of national environmental significance. </w:t>
      </w:r>
      <w:r w:rsidR="00A7229B">
        <w:t>In particular for the Great Barrier Reef Marine Park matter of nati</w:t>
      </w:r>
      <w:r w:rsidR="00577F2F">
        <w:t xml:space="preserve">onal environmental significance. </w:t>
      </w:r>
    </w:p>
    <w:p w14:paraId="1D66FA2B" w14:textId="435E6A46" w:rsidR="00577F2F" w:rsidRDefault="00577F2F" w:rsidP="00B129EF">
      <w:pPr>
        <w:pStyle w:val="Subheading2"/>
        <w:spacing w:beforeLines="60" w:before="144" w:afterLines="60" w:after="144"/>
      </w:pPr>
      <w:r>
        <w:t>Policy document</w:t>
      </w:r>
      <w:r w:rsidR="00BD6EFE">
        <w:t>s</w:t>
      </w:r>
    </w:p>
    <w:p w14:paraId="7F576D05" w14:textId="1297F633" w:rsidR="00577F2F" w:rsidRDefault="00577F2F" w:rsidP="00B129EF">
      <w:pPr>
        <w:pStyle w:val="BodyTextNumbering"/>
        <w:numPr>
          <w:ilvl w:val="0"/>
          <w:numId w:val="0"/>
        </w:numPr>
        <w:spacing w:beforeLines="60" w:before="144" w:afterLines="60" w:after="144"/>
      </w:pPr>
      <w:r>
        <w:t xml:space="preserve">The following Authority documents, as updated from time to time, are relevant to this policy: </w:t>
      </w:r>
    </w:p>
    <w:p w14:paraId="57FE5DD0" w14:textId="7C5D2920" w:rsidR="00577F2F" w:rsidRDefault="00577F2F" w:rsidP="00B129EF">
      <w:pPr>
        <w:pStyle w:val="BodyTextNumbering"/>
        <w:numPr>
          <w:ilvl w:val="1"/>
          <w:numId w:val="3"/>
        </w:numPr>
        <w:spacing w:beforeLines="60" w:before="144" w:afterLines="60" w:after="144"/>
        <w:ind w:left="426" w:hanging="357"/>
      </w:pPr>
      <w:r>
        <w:t>Policies: Environmental Impact Management</w:t>
      </w:r>
      <w:r w:rsidR="00F04FA9">
        <w:t xml:space="preserve"> – Permission System</w:t>
      </w:r>
      <w:r>
        <w:t xml:space="preserve">; </w:t>
      </w:r>
    </w:p>
    <w:p w14:paraId="5461DE49" w14:textId="138FD722" w:rsidR="00577F2F" w:rsidRDefault="00577F2F" w:rsidP="00B129EF">
      <w:pPr>
        <w:pStyle w:val="BodyTextNumbering"/>
        <w:numPr>
          <w:ilvl w:val="1"/>
          <w:numId w:val="3"/>
        </w:numPr>
        <w:spacing w:beforeLines="60" w:before="144" w:afterLines="60" w:after="144"/>
        <w:ind w:left="426" w:hanging="357"/>
      </w:pPr>
      <w:r>
        <w:t xml:space="preserve">Position Statements: </w:t>
      </w:r>
      <w:hyperlink r:id="rId27" w:history="1">
        <w:r w:rsidRPr="00DE7DCF">
          <w:rPr>
            <w:rStyle w:val="Hyperlink"/>
          </w:rPr>
          <w:t>Translocation of species in the Marine Park</w:t>
        </w:r>
      </w:hyperlink>
      <w:r w:rsidR="00F04FA9">
        <w:t>;</w:t>
      </w:r>
      <w:r w:rsidR="00100306">
        <w:t xml:space="preserve"> </w:t>
      </w:r>
      <w:hyperlink r:id="rId28" w:history="1">
        <w:r w:rsidR="00DE7DCF" w:rsidRPr="00DE7DCF">
          <w:rPr>
            <w:rStyle w:val="Hyperlink"/>
          </w:rPr>
          <w:t>aquaculture</w:t>
        </w:r>
      </w:hyperlink>
      <w:r w:rsidR="00DE7DCF">
        <w:t xml:space="preserve">; </w:t>
      </w:r>
      <w:r w:rsidR="00BD6EFE">
        <w:t>no</w:t>
      </w:r>
      <w:hyperlink r:id="rId29" w:history="1">
        <w:r w:rsidR="00BD6EFE" w:rsidRPr="00BD6EFE">
          <w:rPr>
            <w:rStyle w:val="Hyperlink"/>
          </w:rPr>
          <w:t>-structures sub-zones</w:t>
        </w:r>
      </w:hyperlink>
      <w:r w:rsidR="00BD6EFE">
        <w:t xml:space="preserve">; </w:t>
      </w:r>
    </w:p>
    <w:p w14:paraId="49997BAC" w14:textId="59341A10" w:rsidR="00577F2F" w:rsidRDefault="00577F2F" w:rsidP="00B129EF">
      <w:pPr>
        <w:pStyle w:val="BodyTextNumbering"/>
        <w:numPr>
          <w:ilvl w:val="1"/>
          <w:numId w:val="3"/>
        </w:numPr>
        <w:spacing w:beforeLines="60" w:before="144" w:afterLines="60" w:after="144"/>
        <w:ind w:left="426" w:hanging="357"/>
      </w:pPr>
      <w:r>
        <w:t>Guideline</w:t>
      </w:r>
      <w:r w:rsidR="00F04FA9">
        <w:t>s</w:t>
      </w:r>
      <w:r>
        <w:t xml:space="preserve">: </w:t>
      </w:r>
      <w:r w:rsidR="00F04FA9">
        <w:t xml:space="preserve">Management of </w:t>
      </w:r>
      <w:hyperlink r:id="rId30" w:history="1">
        <w:r w:rsidR="00F04FA9" w:rsidRPr="00F04FA9">
          <w:rPr>
            <w:rStyle w:val="Hyperlink"/>
          </w:rPr>
          <w:t>a</w:t>
        </w:r>
        <w:r w:rsidRPr="00F04FA9">
          <w:rPr>
            <w:rStyle w:val="Hyperlink"/>
          </w:rPr>
          <w:t>rtificial reefs</w:t>
        </w:r>
      </w:hyperlink>
      <w:r>
        <w:t xml:space="preserve">, </w:t>
      </w:r>
      <w:hyperlink r:id="rId31" w:history="1">
        <w:r w:rsidRPr="00BD6EFE">
          <w:rPr>
            <w:rStyle w:val="Hyperlink"/>
          </w:rPr>
          <w:t xml:space="preserve">COTS </w:t>
        </w:r>
        <w:r w:rsidR="00BD6EFE" w:rsidRPr="00BD6EFE">
          <w:rPr>
            <w:rStyle w:val="Hyperlink"/>
          </w:rPr>
          <w:t>control</w:t>
        </w:r>
      </w:hyperlink>
      <w:r w:rsidR="000255EC">
        <w:t xml:space="preserve">, </w:t>
      </w:r>
      <w:r w:rsidR="00F04FA9">
        <w:t>Managing scientific research;</w:t>
      </w:r>
      <w:r w:rsidR="00DE7DCF">
        <w:t xml:space="preserve"> </w:t>
      </w:r>
      <w:hyperlink r:id="rId32" w:history="1">
        <w:r w:rsidR="00DE7DCF" w:rsidRPr="00DE7DCF">
          <w:rPr>
            <w:rStyle w:val="Hyperlink"/>
          </w:rPr>
          <w:t>coral transplantation at tourism sites</w:t>
        </w:r>
      </w:hyperlink>
      <w:r w:rsidR="00DE7DCF">
        <w:t xml:space="preserve">; </w:t>
      </w:r>
      <w:r w:rsidR="00D170FE">
        <w:t xml:space="preserve">permission assessment and decision; applications for permission; </w:t>
      </w:r>
    </w:p>
    <w:sectPr w:rsidR="00577F2F" w:rsidSect="007D3495">
      <w:headerReference w:type="even" r:id="rId33"/>
      <w:headerReference w:type="default" r:id="rId34"/>
      <w:footerReference w:type="even" r:id="rId35"/>
      <w:footerReference w:type="default" r:id="rId36"/>
      <w:headerReference w:type="first" r:id="rId37"/>
      <w:footerReference w:type="first" r:id="rId38"/>
      <w:pgSz w:w="11906" w:h="16838"/>
      <w:pgMar w:top="1252" w:right="1080" w:bottom="1440" w:left="1080"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552A5" w14:textId="77777777" w:rsidR="00B9550E" w:rsidRDefault="00B9550E" w:rsidP="0072104F">
      <w:r>
        <w:separator/>
      </w:r>
    </w:p>
    <w:p w14:paraId="04A06D4B" w14:textId="77777777" w:rsidR="00B9550E" w:rsidRDefault="00B9550E"/>
    <w:p w14:paraId="198D98B6" w14:textId="77777777" w:rsidR="00B9550E" w:rsidRDefault="00B9550E"/>
    <w:p w14:paraId="68283603" w14:textId="77777777" w:rsidR="00B9550E" w:rsidRDefault="00B9550E" w:rsidP="00A34BFD"/>
    <w:p w14:paraId="69ACFE42" w14:textId="77777777" w:rsidR="00B9550E" w:rsidRDefault="00B9550E" w:rsidP="00A34BFD"/>
  </w:endnote>
  <w:endnote w:type="continuationSeparator" w:id="0">
    <w:p w14:paraId="08936F89" w14:textId="77777777" w:rsidR="00B9550E" w:rsidRDefault="00B9550E" w:rsidP="0072104F">
      <w:r>
        <w:continuationSeparator/>
      </w:r>
    </w:p>
    <w:p w14:paraId="1B2A9691" w14:textId="77777777" w:rsidR="00B9550E" w:rsidRDefault="00B9550E"/>
    <w:p w14:paraId="4BDEEA34" w14:textId="77777777" w:rsidR="00B9550E" w:rsidRDefault="00B9550E"/>
    <w:p w14:paraId="41CBA934" w14:textId="77777777" w:rsidR="00B9550E" w:rsidRDefault="00B9550E" w:rsidP="00A34BFD"/>
    <w:p w14:paraId="3D270157" w14:textId="77777777" w:rsidR="00B9550E" w:rsidRDefault="00B9550E" w:rsidP="00A34BFD"/>
  </w:endnote>
  <w:endnote w:type="continuationNotice" w:id="1">
    <w:p w14:paraId="5660EBF1" w14:textId="77777777" w:rsidR="00B9550E" w:rsidRDefault="00B95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B9A1E" w14:textId="77777777" w:rsidR="00EF3B90" w:rsidRDefault="00EF3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568BA" w14:textId="5D18B4F3" w:rsidR="00040501" w:rsidRPr="007D3495" w:rsidRDefault="007D3495" w:rsidP="007D3495">
    <w:pPr>
      <w:jc w:val="center"/>
    </w:pPr>
    <w:r w:rsidRPr="0073008A">
      <w:rPr>
        <w:sz w:val="32"/>
      </w:rPr>
      <w:t>This document is a draft for public consultation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351B" w14:textId="084BCAC1" w:rsidR="00212382" w:rsidRDefault="0073008A" w:rsidP="007D3495">
    <w:pPr>
      <w:jc w:val="center"/>
    </w:pPr>
    <w:r w:rsidRPr="0073008A">
      <w:rPr>
        <w:sz w:val="32"/>
      </w:rPr>
      <w:t>This document is a draft for public consultation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5287B" w14:textId="77777777" w:rsidR="00B9550E" w:rsidRDefault="00B9550E" w:rsidP="0072104F">
      <w:r>
        <w:separator/>
      </w:r>
    </w:p>
    <w:p w14:paraId="3F3ECF06" w14:textId="77777777" w:rsidR="00B9550E" w:rsidRDefault="00B9550E"/>
    <w:p w14:paraId="6798F8F0" w14:textId="77777777" w:rsidR="00B9550E" w:rsidRDefault="00B9550E"/>
    <w:p w14:paraId="7292EE45" w14:textId="77777777" w:rsidR="00B9550E" w:rsidRDefault="00B9550E" w:rsidP="00A34BFD"/>
    <w:p w14:paraId="09CBBA2A" w14:textId="77777777" w:rsidR="00B9550E" w:rsidRDefault="00B9550E" w:rsidP="00A34BFD"/>
  </w:footnote>
  <w:footnote w:type="continuationSeparator" w:id="0">
    <w:p w14:paraId="24BC2EEF" w14:textId="77777777" w:rsidR="00B9550E" w:rsidRDefault="00B9550E" w:rsidP="0072104F">
      <w:r>
        <w:continuationSeparator/>
      </w:r>
    </w:p>
    <w:p w14:paraId="6261423E" w14:textId="77777777" w:rsidR="00B9550E" w:rsidRDefault="00B9550E"/>
    <w:p w14:paraId="48371FF0" w14:textId="77777777" w:rsidR="00B9550E" w:rsidRDefault="00B9550E"/>
    <w:p w14:paraId="05D104BF" w14:textId="77777777" w:rsidR="00B9550E" w:rsidRDefault="00B9550E" w:rsidP="00A34BFD"/>
    <w:p w14:paraId="3EAFBC99" w14:textId="77777777" w:rsidR="00B9550E" w:rsidRDefault="00B9550E" w:rsidP="00A34BFD"/>
  </w:footnote>
  <w:footnote w:type="continuationNotice" w:id="1">
    <w:p w14:paraId="7FDD2E5E" w14:textId="77777777" w:rsidR="00B9550E" w:rsidRDefault="00B955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9EF9B" w14:textId="77777777" w:rsidR="00EF3B90" w:rsidRDefault="00EF3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91AC" w14:textId="409F20BC" w:rsidR="00040501" w:rsidRPr="007D3495" w:rsidRDefault="00B9550E" w:rsidP="007D3495">
    <w:pPr>
      <w:pStyle w:val="PolicyHeadingPageTop"/>
      <w:pBdr>
        <w:bottom w:val="single" w:sz="4" w:space="1" w:color="006187"/>
      </w:pBdr>
    </w:pPr>
    <w:sdt>
      <w:sdtPr>
        <w:id w:val="-929042043"/>
        <w:docPartObj>
          <w:docPartGallery w:val="Watermarks"/>
          <w:docPartUnique/>
        </w:docPartObj>
      </w:sdtPr>
      <w:sdtEndPr/>
      <w:sdtContent>
        <w:r>
          <w:rPr>
            <w:noProof/>
            <w:lang w:val="en-US" w:eastAsia="en-US"/>
          </w:rPr>
          <w:pict w14:anchorId="433A5E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3008A" w:rsidRPr="007D3495">
      <w:rPr>
        <w:b/>
        <w:bCs/>
        <w:spacing w:val="40"/>
      </w:rPr>
      <w:t>Guidelines</w:t>
    </w:r>
    <w:r w:rsidR="0073008A" w:rsidRPr="007D3495">
      <w:rPr>
        <w:bCs/>
        <w:spacing w:val="40"/>
      </w:rPr>
      <w:t xml:space="preserve"> </w:t>
    </w:r>
    <w:r w:rsidR="0073008A" w:rsidRPr="007D3495">
      <w:t>– A</w:t>
    </w:r>
    <w:r w:rsidR="007D3495" w:rsidRPr="007D3495">
      <w:t xml:space="preserve">pplications for interventions to improve </w:t>
    </w:r>
    <w:r w:rsidR="00B52BD2" w:rsidRPr="007D3495">
      <w:t>resilience</w:t>
    </w:r>
    <w:r w:rsidR="007D3495" w:rsidRPr="007D3495">
      <w:t xml:space="preserve"> of coral reef habitat in the Great Barrier Reef Marine Park</w:t>
    </w:r>
    <w:r w:rsidR="0073008A" w:rsidRPr="007D3495">
      <w:t xml:space="preserve"> (</w:t>
    </w:r>
    <w:r w:rsidR="007D3495" w:rsidRPr="007D3495">
      <w:t>draft for public consultation</w:t>
    </w:r>
    <w:r w:rsidR="0073008A" w:rsidRPr="007D3495">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8F3E6" w14:textId="7618C839" w:rsidR="00040501" w:rsidRPr="00E13F61" w:rsidRDefault="00EF3B90" w:rsidP="007D3495">
    <w:pPr>
      <w:pStyle w:val="Header"/>
      <w:ind w:left="-1077"/>
    </w:pPr>
    <w:bookmarkStart w:id="2" w:name="_GoBack"/>
    <w:r>
      <w:rPr>
        <w:noProof/>
      </w:rPr>
      <w:drawing>
        <wp:anchor distT="0" distB="0" distL="114300" distR="114300" simplePos="0" relativeHeight="251655679" behindDoc="0" locked="0" layoutInCell="1" allowOverlap="1" wp14:anchorId="670BF808" wp14:editId="46047839">
          <wp:simplePos x="0" y="180340"/>
          <wp:positionH relativeFrom="page">
            <wp:posOffset>0</wp:posOffset>
          </wp:positionH>
          <wp:positionV relativeFrom="page">
            <wp:align>top</wp:align>
          </wp:positionV>
          <wp:extent cx="7562850" cy="1800225"/>
          <wp:effectExtent l="0" t="0" r="0" b="9525"/>
          <wp:wrapSquare wrapText="bothSides"/>
          <wp:docPr id="10" name="Picture 10" descr="A header depicting the Australian Government coat of arms, the Great Barrier Reef Marine Park Authority logo and a heading that shows this document is a guide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261" cy="1801037"/>
                  </a:xfrm>
                  <a:prstGeom prst="rect">
                    <a:avLst/>
                  </a:prstGeom>
                  <a:noFill/>
                </pic:spPr>
              </pic:pic>
            </a:graphicData>
          </a:graphic>
          <wp14:sizeRelH relativeFrom="margin">
            <wp14:pctWidth>0</wp14:pctWidth>
          </wp14:sizeRelH>
          <wp14:sizeRelV relativeFrom="margin">
            <wp14:pctHeight>0</wp14:pctHeight>
          </wp14:sizeRelV>
        </wp:anchor>
      </w:drawing>
    </w:r>
    <w:bookmarkEnd w:id="2"/>
    <w:r w:rsidR="00040501">
      <w:rPr>
        <w:noProof/>
      </w:rPr>
      <mc:AlternateContent>
        <mc:Choice Requires="wps">
          <w:drawing>
            <wp:anchor distT="0" distB="0" distL="114300" distR="114300" simplePos="0" relativeHeight="251656704" behindDoc="0" locked="0" layoutInCell="1" allowOverlap="1" wp14:anchorId="47FDFD2A" wp14:editId="2FC619BC">
              <wp:simplePos x="0" y="0"/>
              <wp:positionH relativeFrom="column">
                <wp:posOffset>-101600</wp:posOffset>
              </wp:positionH>
              <wp:positionV relativeFrom="paragraph">
                <wp:posOffset>788035</wp:posOffset>
              </wp:positionV>
              <wp:extent cx="6389370" cy="570230"/>
              <wp:effectExtent l="0" t="0" r="0" b="127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13576" w14:textId="082F4D8B" w:rsidR="00040501" w:rsidRPr="00C47891" w:rsidRDefault="00675C7A" w:rsidP="00C47891">
                          <w:pPr>
                            <w:jc w:val="center"/>
                            <w:rPr>
                              <w:b/>
                              <w:color w:val="1F497D" w:themeColor="text2"/>
                              <w:sz w:val="32"/>
                              <w:szCs w:val="34"/>
                              <w:lang w:eastAsia="en-US"/>
                            </w:rPr>
                          </w:pPr>
                          <w:r w:rsidRPr="00C47891">
                            <w:rPr>
                              <w:b/>
                              <w:color w:val="1F497D" w:themeColor="text2"/>
                              <w:sz w:val="32"/>
                              <w:szCs w:val="34"/>
                              <w:lang w:eastAsia="en-US"/>
                            </w:rPr>
                            <w:t>Permission System - Applications for i</w:t>
                          </w:r>
                          <w:r w:rsidR="00040501" w:rsidRPr="00C47891">
                            <w:rPr>
                              <w:b/>
                              <w:color w:val="1F497D" w:themeColor="text2"/>
                              <w:sz w:val="32"/>
                              <w:szCs w:val="34"/>
                              <w:lang w:eastAsia="en-US"/>
                            </w:rPr>
                            <w:t>nterventions to improve resilience of coral reef habitat in the Great Barrier Reef Marine Park</w:t>
                          </w:r>
                          <w:r w:rsidR="00B129EF" w:rsidRPr="00C47891">
                            <w:rPr>
                              <w:b/>
                              <w:color w:val="1F497D" w:themeColor="text2"/>
                              <w:sz w:val="32"/>
                              <w:szCs w:val="34"/>
                              <w:lang w:eastAsia="en-US"/>
                            </w:rPr>
                            <w:t xml:space="preserve"> - DRAFT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47FDFD2A" id="_x0000_t202" coordsize="21600,21600" o:spt="202" path="m,l,21600r21600,l21600,xe">
              <v:stroke joinstyle="miter"/>
              <v:path gradientshapeok="t" o:connecttype="rect"/>
            </v:shapetype>
            <v:shape id="Text Box 1" o:spid="_x0000_s1026" type="#_x0000_t202" style="position:absolute;left:0;text-align:left;margin-left:-8pt;margin-top:62.05pt;width:503.1pt;height:44.9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aZtgIAALk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" filled="f" stroked="f">
              <v:textbox>
                <w:txbxContent>
                  <w:p w14:paraId="0D413576" w14:textId="082F4D8B" w:rsidR="00040501" w:rsidRPr="00C47891" w:rsidRDefault="00675C7A" w:rsidP="00C47891">
                    <w:pPr>
                      <w:jc w:val="center"/>
                      <w:rPr>
                        <w:b/>
                        <w:color w:val="1F497D" w:themeColor="text2"/>
                        <w:sz w:val="32"/>
                        <w:szCs w:val="34"/>
                        <w:lang w:eastAsia="en-US"/>
                      </w:rPr>
                    </w:pPr>
                    <w:r w:rsidRPr="00C47891">
                      <w:rPr>
                        <w:b/>
                        <w:color w:val="1F497D" w:themeColor="text2"/>
                        <w:sz w:val="32"/>
                        <w:szCs w:val="34"/>
                        <w:lang w:eastAsia="en-US"/>
                      </w:rPr>
                      <w:t>Permission System - Applications for i</w:t>
                    </w:r>
                    <w:r w:rsidR="00040501" w:rsidRPr="00C47891">
                      <w:rPr>
                        <w:b/>
                        <w:color w:val="1F497D" w:themeColor="text2"/>
                        <w:sz w:val="32"/>
                        <w:szCs w:val="34"/>
                        <w:lang w:eastAsia="en-US"/>
                      </w:rPr>
                      <w:t>nterventions to improve resilience of coral reef habitat in the Great Barrier Reef Marine Park</w:t>
                    </w:r>
                    <w:r w:rsidR="00B129EF" w:rsidRPr="00C47891">
                      <w:rPr>
                        <w:b/>
                        <w:color w:val="1F497D" w:themeColor="text2"/>
                        <w:sz w:val="32"/>
                        <w:szCs w:val="34"/>
                        <w:lang w:eastAsia="en-US"/>
                      </w:rPr>
                      <w:t xml:space="preserve"> - DRAFT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AAF"/>
    <w:multiLevelType w:val="hybridMultilevel"/>
    <w:tmpl w:val="0D20E5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857C39"/>
    <w:multiLevelType w:val="hybridMultilevel"/>
    <w:tmpl w:val="B268B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C5237"/>
    <w:multiLevelType w:val="hybridMultilevel"/>
    <w:tmpl w:val="97481F82"/>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770DFD"/>
    <w:multiLevelType w:val="hybridMultilevel"/>
    <w:tmpl w:val="59941F8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6607C2"/>
    <w:multiLevelType w:val="hybridMultilevel"/>
    <w:tmpl w:val="B9C2C22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BCB5FAD"/>
    <w:multiLevelType w:val="hybridMultilevel"/>
    <w:tmpl w:val="59941F8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E4A460A"/>
    <w:multiLevelType w:val="hybridMultilevel"/>
    <w:tmpl w:val="592C6B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D4552EF"/>
    <w:multiLevelType w:val="hybridMultilevel"/>
    <w:tmpl w:val="C5D2AF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225FEF"/>
    <w:multiLevelType w:val="hybridMultilevel"/>
    <w:tmpl w:val="EDA444C4"/>
    <w:lvl w:ilvl="0" w:tplc="8A56A712">
      <w:start w:val="1"/>
      <w:numFmt w:val="bullet"/>
      <w:pStyle w:val="DefinitionPoints"/>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3E8E0C75"/>
    <w:multiLevelType w:val="hybridMultilevel"/>
    <w:tmpl w:val="8ED4065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F65444C"/>
    <w:multiLevelType w:val="hybridMultilevel"/>
    <w:tmpl w:val="FAD0C942"/>
    <w:lvl w:ilvl="0" w:tplc="93106DFA">
      <w:start w:val="1"/>
      <w:numFmt w:val="decimal"/>
      <w:pStyle w:val="NoSpacing"/>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98771F7"/>
    <w:multiLevelType w:val="hybridMultilevel"/>
    <w:tmpl w:val="D730F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8854E1"/>
    <w:multiLevelType w:val="hybridMultilevel"/>
    <w:tmpl w:val="E912ED4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BE41FD3"/>
    <w:multiLevelType w:val="hybridMultilevel"/>
    <w:tmpl w:val="3E3E1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D51876"/>
    <w:multiLevelType w:val="hybridMultilevel"/>
    <w:tmpl w:val="59941F8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00809FC"/>
    <w:multiLevelType w:val="hybridMultilevel"/>
    <w:tmpl w:val="9386F1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26816BF"/>
    <w:multiLevelType w:val="hybridMultilevel"/>
    <w:tmpl w:val="88B07384"/>
    <w:lvl w:ilvl="0" w:tplc="E99CA52C">
      <w:start w:val="1"/>
      <w:numFmt w:val="lowerLetter"/>
      <w:pStyle w:val="SubpointsAlpha"/>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117E9"/>
    <w:multiLevelType w:val="hybridMultilevel"/>
    <w:tmpl w:val="1718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66634B"/>
    <w:multiLevelType w:val="hybridMultilevel"/>
    <w:tmpl w:val="FAE4AAF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8DD27DD"/>
    <w:multiLevelType w:val="hybridMultilevel"/>
    <w:tmpl w:val="7D467D76"/>
    <w:lvl w:ilvl="0" w:tplc="9954C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9D035C"/>
    <w:multiLevelType w:val="hybridMultilevel"/>
    <w:tmpl w:val="32F41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074587"/>
    <w:multiLevelType w:val="hybridMultilevel"/>
    <w:tmpl w:val="B948ACA2"/>
    <w:lvl w:ilvl="0" w:tplc="0C09000F">
      <w:start w:val="1"/>
      <w:numFmt w:val="decimal"/>
      <w:pStyle w:val="BodyTextNumbering"/>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BC664DE"/>
    <w:multiLevelType w:val="hybridMultilevel"/>
    <w:tmpl w:val="E3DC0F9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4A823B2"/>
    <w:multiLevelType w:val="hybridMultilevel"/>
    <w:tmpl w:val="1D92E4C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7EE2F1C"/>
    <w:multiLevelType w:val="hybridMultilevel"/>
    <w:tmpl w:val="F26EE6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240FF9"/>
    <w:multiLevelType w:val="hybridMultilevel"/>
    <w:tmpl w:val="F120E6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21"/>
  </w:num>
  <w:num w:numId="4">
    <w:abstractNumId w:val="16"/>
    <w:lvlOverride w:ilvl="0">
      <w:startOverride w:val="1"/>
    </w:lvlOverride>
  </w:num>
  <w:num w:numId="5">
    <w:abstractNumId w:val="0"/>
  </w:num>
  <w:num w:numId="6">
    <w:abstractNumId w:val="22"/>
  </w:num>
  <w:num w:numId="7">
    <w:abstractNumId w:val="21"/>
  </w:num>
  <w:num w:numId="8">
    <w:abstractNumId w:val="24"/>
  </w:num>
  <w:num w:numId="9">
    <w:abstractNumId w:val="13"/>
  </w:num>
  <w:num w:numId="10">
    <w:abstractNumId w:val="21"/>
  </w:num>
  <w:num w:numId="11">
    <w:abstractNumId w:val="21"/>
  </w:num>
  <w:num w:numId="12">
    <w:abstractNumId w:val="25"/>
  </w:num>
  <w:num w:numId="13">
    <w:abstractNumId w:val="15"/>
  </w:num>
  <w:num w:numId="14">
    <w:abstractNumId w:val="1"/>
  </w:num>
  <w:num w:numId="15">
    <w:abstractNumId w:val="14"/>
  </w:num>
  <w:num w:numId="16">
    <w:abstractNumId w:val="5"/>
  </w:num>
  <w:num w:numId="17">
    <w:abstractNumId w:val="12"/>
  </w:num>
  <w:num w:numId="18">
    <w:abstractNumId w:val="21"/>
  </w:num>
  <w:num w:numId="19">
    <w:abstractNumId w:val="3"/>
  </w:num>
  <w:num w:numId="20">
    <w:abstractNumId w:val="21"/>
  </w:num>
  <w:num w:numId="21">
    <w:abstractNumId w:val="21"/>
  </w:num>
  <w:num w:numId="22">
    <w:abstractNumId w:val="18"/>
  </w:num>
  <w:num w:numId="23">
    <w:abstractNumId w:val="21"/>
  </w:num>
  <w:num w:numId="24">
    <w:abstractNumId w:val="17"/>
  </w:num>
  <w:num w:numId="25">
    <w:abstractNumId w:val="23"/>
  </w:num>
  <w:num w:numId="26">
    <w:abstractNumId w:val="9"/>
  </w:num>
  <w:num w:numId="27">
    <w:abstractNumId w:val="21"/>
  </w:num>
  <w:num w:numId="28">
    <w:abstractNumId w:val="2"/>
  </w:num>
  <w:num w:numId="29">
    <w:abstractNumId w:val="21"/>
  </w:num>
  <w:num w:numId="30">
    <w:abstractNumId w:val="21"/>
  </w:num>
  <w:num w:numId="31">
    <w:abstractNumId w:val="21"/>
  </w:num>
  <w:num w:numId="32">
    <w:abstractNumId w:val="4"/>
  </w:num>
  <w:num w:numId="33">
    <w:abstractNumId w:val="21"/>
  </w:num>
  <w:num w:numId="34">
    <w:abstractNumId w:val="21"/>
  </w:num>
  <w:num w:numId="35">
    <w:abstractNumId w:val="6"/>
  </w:num>
  <w:num w:numId="36">
    <w:abstractNumId w:val="21"/>
  </w:num>
  <w:num w:numId="37">
    <w:abstractNumId w:val="21"/>
  </w:num>
  <w:num w:numId="38">
    <w:abstractNumId w:val="21"/>
  </w:num>
  <w:num w:numId="39">
    <w:abstractNumId w:val="11"/>
  </w:num>
  <w:num w:numId="40">
    <w:abstractNumId w:val="7"/>
  </w:num>
  <w:num w:numId="41">
    <w:abstractNumId w:val="20"/>
  </w:num>
  <w:num w:numId="42">
    <w:abstractNumId w:val="19"/>
  </w:num>
  <w:num w:numId="4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trackedChanges" w:enforcement="0"/>
  <w:styleLockTheme/>
  <w:styleLockQFSet/>
  <w:defaultTabStop w:val="720"/>
  <w:doNotHyphenateCaps/>
  <w:drawingGridHorizontalSpacing w:val="100"/>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9C9DEC0-8F21-47D8-BF8F-00776BAC3BA1}"/>
    <w:docVar w:name="dgnword-eventsink" w:val="234428504"/>
  </w:docVars>
  <w:rsids>
    <w:rsidRoot w:val="00CD5134"/>
    <w:rsid w:val="000009C8"/>
    <w:rsid w:val="0000197D"/>
    <w:rsid w:val="00003523"/>
    <w:rsid w:val="00004FA4"/>
    <w:rsid w:val="000061CB"/>
    <w:rsid w:val="00010E34"/>
    <w:rsid w:val="00011355"/>
    <w:rsid w:val="00013994"/>
    <w:rsid w:val="000161FD"/>
    <w:rsid w:val="00017128"/>
    <w:rsid w:val="000176C2"/>
    <w:rsid w:val="0002332E"/>
    <w:rsid w:val="000255EC"/>
    <w:rsid w:val="000314A7"/>
    <w:rsid w:val="00040501"/>
    <w:rsid w:val="00042631"/>
    <w:rsid w:val="000440EC"/>
    <w:rsid w:val="0004774F"/>
    <w:rsid w:val="00053265"/>
    <w:rsid w:val="000573CA"/>
    <w:rsid w:val="00057C8F"/>
    <w:rsid w:val="00063758"/>
    <w:rsid w:val="00064CDF"/>
    <w:rsid w:val="00064F25"/>
    <w:rsid w:val="00074C87"/>
    <w:rsid w:val="000750C9"/>
    <w:rsid w:val="00076DCE"/>
    <w:rsid w:val="0008535A"/>
    <w:rsid w:val="00085E8B"/>
    <w:rsid w:val="00086117"/>
    <w:rsid w:val="00092AA6"/>
    <w:rsid w:val="00094EE9"/>
    <w:rsid w:val="00096FC7"/>
    <w:rsid w:val="000979BF"/>
    <w:rsid w:val="000B38CF"/>
    <w:rsid w:val="000C0628"/>
    <w:rsid w:val="000C6D92"/>
    <w:rsid w:val="000C734B"/>
    <w:rsid w:val="000D2480"/>
    <w:rsid w:val="000D47A4"/>
    <w:rsid w:val="000E154F"/>
    <w:rsid w:val="000E485A"/>
    <w:rsid w:val="000E4BF4"/>
    <w:rsid w:val="000E4EF4"/>
    <w:rsid w:val="000F0407"/>
    <w:rsid w:val="000F7EEB"/>
    <w:rsid w:val="00100306"/>
    <w:rsid w:val="00106860"/>
    <w:rsid w:val="00112E24"/>
    <w:rsid w:val="00113F05"/>
    <w:rsid w:val="00114BCE"/>
    <w:rsid w:val="00133E58"/>
    <w:rsid w:val="001344E6"/>
    <w:rsid w:val="0014235F"/>
    <w:rsid w:val="00142CC6"/>
    <w:rsid w:val="00144B1F"/>
    <w:rsid w:val="001509F9"/>
    <w:rsid w:val="00151637"/>
    <w:rsid w:val="00161F0F"/>
    <w:rsid w:val="00161F25"/>
    <w:rsid w:val="001620DF"/>
    <w:rsid w:val="001662BC"/>
    <w:rsid w:val="0016782E"/>
    <w:rsid w:val="0016785D"/>
    <w:rsid w:val="00170B5F"/>
    <w:rsid w:val="001711AC"/>
    <w:rsid w:val="00172236"/>
    <w:rsid w:val="001769E5"/>
    <w:rsid w:val="0017727A"/>
    <w:rsid w:val="00181B0C"/>
    <w:rsid w:val="00182401"/>
    <w:rsid w:val="00186B8A"/>
    <w:rsid w:val="00192411"/>
    <w:rsid w:val="00192E35"/>
    <w:rsid w:val="00194083"/>
    <w:rsid w:val="001A12EF"/>
    <w:rsid w:val="001A6D75"/>
    <w:rsid w:val="001A784A"/>
    <w:rsid w:val="001A79AA"/>
    <w:rsid w:val="001A7F46"/>
    <w:rsid w:val="001B265D"/>
    <w:rsid w:val="001C01EF"/>
    <w:rsid w:val="001C40C6"/>
    <w:rsid w:val="001C696E"/>
    <w:rsid w:val="001C73FC"/>
    <w:rsid w:val="001C76C8"/>
    <w:rsid w:val="001D2030"/>
    <w:rsid w:val="001D3207"/>
    <w:rsid w:val="001D3B6D"/>
    <w:rsid w:val="001D781F"/>
    <w:rsid w:val="001D7899"/>
    <w:rsid w:val="001E0487"/>
    <w:rsid w:val="001E3806"/>
    <w:rsid w:val="001E5448"/>
    <w:rsid w:val="001E6246"/>
    <w:rsid w:val="001F0641"/>
    <w:rsid w:val="001F5E81"/>
    <w:rsid w:val="001F69B1"/>
    <w:rsid w:val="002011BA"/>
    <w:rsid w:val="00202195"/>
    <w:rsid w:val="00202A53"/>
    <w:rsid w:val="00202BA5"/>
    <w:rsid w:val="0020319D"/>
    <w:rsid w:val="002070EF"/>
    <w:rsid w:val="00212382"/>
    <w:rsid w:val="00213197"/>
    <w:rsid w:val="0021343C"/>
    <w:rsid w:val="00223E1E"/>
    <w:rsid w:val="002352AC"/>
    <w:rsid w:val="002365EC"/>
    <w:rsid w:val="00246E1C"/>
    <w:rsid w:val="00252754"/>
    <w:rsid w:val="002542CB"/>
    <w:rsid w:val="002543A3"/>
    <w:rsid w:val="0025649A"/>
    <w:rsid w:val="002569F0"/>
    <w:rsid w:val="00263CDB"/>
    <w:rsid w:val="0027223C"/>
    <w:rsid w:val="00273847"/>
    <w:rsid w:val="00277E7B"/>
    <w:rsid w:val="00287280"/>
    <w:rsid w:val="00291C87"/>
    <w:rsid w:val="00297CA7"/>
    <w:rsid w:val="002A18E7"/>
    <w:rsid w:val="002A3DC1"/>
    <w:rsid w:val="002B1E3D"/>
    <w:rsid w:val="002B5522"/>
    <w:rsid w:val="002C08F9"/>
    <w:rsid w:val="002C53F3"/>
    <w:rsid w:val="002D6A81"/>
    <w:rsid w:val="002E0C0A"/>
    <w:rsid w:val="002F03DF"/>
    <w:rsid w:val="002F36DF"/>
    <w:rsid w:val="002F4BFF"/>
    <w:rsid w:val="002F596C"/>
    <w:rsid w:val="002F77BC"/>
    <w:rsid w:val="002F7A72"/>
    <w:rsid w:val="00301DA7"/>
    <w:rsid w:val="00307B6E"/>
    <w:rsid w:val="0031280A"/>
    <w:rsid w:val="00321794"/>
    <w:rsid w:val="00322182"/>
    <w:rsid w:val="003259C1"/>
    <w:rsid w:val="00326DA0"/>
    <w:rsid w:val="003308FE"/>
    <w:rsid w:val="00331FCF"/>
    <w:rsid w:val="00332937"/>
    <w:rsid w:val="00332C6D"/>
    <w:rsid w:val="00334014"/>
    <w:rsid w:val="00334183"/>
    <w:rsid w:val="0033564F"/>
    <w:rsid w:val="00335EC0"/>
    <w:rsid w:val="00336078"/>
    <w:rsid w:val="00337080"/>
    <w:rsid w:val="00341734"/>
    <w:rsid w:val="0034643A"/>
    <w:rsid w:val="00351FD4"/>
    <w:rsid w:val="00352912"/>
    <w:rsid w:val="003635DF"/>
    <w:rsid w:val="003644FC"/>
    <w:rsid w:val="00364C4F"/>
    <w:rsid w:val="0037661A"/>
    <w:rsid w:val="00380B59"/>
    <w:rsid w:val="00384C30"/>
    <w:rsid w:val="00384EA8"/>
    <w:rsid w:val="00391EA1"/>
    <w:rsid w:val="00395953"/>
    <w:rsid w:val="00395F9F"/>
    <w:rsid w:val="003A5C9A"/>
    <w:rsid w:val="003B164E"/>
    <w:rsid w:val="003B508F"/>
    <w:rsid w:val="003B5A5E"/>
    <w:rsid w:val="003C61E9"/>
    <w:rsid w:val="003C663B"/>
    <w:rsid w:val="003D31F5"/>
    <w:rsid w:val="003E7EC1"/>
    <w:rsid w:val="00400A64"/>
    <w:rsid w:val="00402F4C"/>
    <w:rsid w:val="00403FB3"/>
    <w:rsid w:val="00404AFA"/>
    <w:rsid w:val="00405B9E"/>
    <w:rsid w:val="0040632C"/>
    <w:rsid w:val="004124B7"/>
    <w:rsid w:val="0041600D"/>
    <w:rsid w:val="00416896"/>
    <w:rsid w:val="0041792F"/>
    <w:rsid w:val="00423B20"/>
    <w:rsid w:val="00424DBB"/>
    <w:rsid w:val="0043015E"/>
    <w:rsid w:val="004319A9"/>
    <w:rsid w:val="00433805"/>
    <w:rsid w:val="004351BC"/>
    <w:rsid w:val="0044151B"/>
    <w:rsid w:val="00445A06"/>
    <w:rsid w:val="00447468"/>
    <w:rsid w:val="0045157C"/>
    <w:rsid w:val="00453875"/>
    <w:rsid w:val="00454528"/>
    <w:rsid w:val="004613A3"/>
    <w:rsid w:val="00462A07"/>
    <w:rsid w:val="00467E16"/>
    <w:rsid w:val="0047088C"/>
    <w:rsid w:val="00470D7E"/>
    <w:rsid w:val="00475D2B"/>
    <w:rsid w:val="004776C6"/>
    <w:rsid w:val="004832DD"/>
    <w:rsid w:val="0048383C"/>
    <w:rsid w:val="00485898"/>
    <w:rsid w:val="00486DDE"/>
    <w:rsid w:val="00496046"/>
    <w:rsid w:val="004A11CF"/>
    <w:rsid w:val="004A1A74"/>
    <w:rsid w:val="004A5055"/>
    <w:rsid w:val="004B5377"/>
    <w:rsid w:val="004B5D64"/>
    <w:rsid w:val="004B6003"/>
    <w:rsid w:val="004B62C6"/>
    <w:rsid w:val="004B6F0F"/>
    <w:rsid w:val="004C2B82"/>
    <w:rsid w:val="004C2EA6"/>
    <w:rsid w:val="004D0197"/>
    <w:rsid w:val="004D3568"/>
    <w:rsid w:val="004D3EF0"/>
    <w:rsid w:val="004D4BA1"/>
    <w:rsid w:val="004D5080"/>
    <w:rsid w:val="004E13FF"/>
    <w:rsid w:val="004F1A76"/>
    <w:rsid w:val="0050461F"/>
    <w:rsid w:val="00504717"/>
    <w:rsid w:val="0051446E"/>
    <w:rsid w:val="00514514"/>
    <w:rsid w:val="005238B6"/>
    <w:rsid w:val="00524C53"/>
    <w:rsid w:val="00527B19"/>
    <w:rsid w:val="005313E0"/>
    <w:rsid w:val="00534632"/>
    <w:rsid w:val="005377B3"/>
    <w:rsid w:val="00540136"/>
    <w:rsid w:val="00540C75"/>
    <w:rsid w:val="00541DA5"/>
    <w:rsid w:val="00542943"/>
    <w:rsid w:val="00543C1E"/>
    <w:rsid w:val="00552212"/>
    <w:rsid w:val="005571E5"/>
    <w:rsid w:val="005579F0"/>
    <w:rsid w:val="00557D2E"/>
    <w:rsid w:val="005627C7"/>
    <w:rsid w:val="00570C0E"/>
    <w:rsid w:val="00573F6D"/>
    <w:rsid w:val="005766BC"/>
    <w:rsid w:val="00577114"/>
    <w:rsid w:val="00577F2F"/>
    <w:rsid w:val="005856C1"/>
    <w:rsid w:val="00587A89"/>
    <w:rsid w:val="005976EF"/>
    <w:rsid w:val="005A30D6"/>
    <w:rsid w:val="005A524A"/>
    <w:rsid w:val="005A7D52"/>
    <w:rsid w:val="005B141B"/>
    <w:rsid w:val="005B6225"/>
    <w:rsid w:val="005C06CC"/>
    <w:rsid w:val="005C4992"/>
    <w:rsid w:val="005C5182"/>
    <w:rsid w:val="005D076E"/>
    <w:rsid w:val="005D1B73"/>
    <w:rsid w:val="005D1C3C"/>
    <w:rsid w:val="005D27A3"/>
    <w:rsid w:val="005D4765"/>
    <w:rsid w:val="005D6C4F"/>
    <w:rsid w:val="005E1BB9"/>
    <w:rsid w:val="005E27DD"/>
    <w:rsid w:val="005E303B"/>
    <w:rsid w:val="005E4B02"/>
    <w:rsid w:val="005E7032"/>
    <w:rsid w:val="005F1A3C"/>
    <w:rsid w:val="005F338D"/>
    <w:rsid w:val="00600E7C"/>
    <w:rsid w:val="00601973"/>
    <w:rsid w:val="00602B3C"/>
    <w:rsid w:val="00603EE3"/>
    <w:rsid w:val="006041CC"/>
    <w:rsid w:val="00611857"/>
    <w:rsid w:val="00611C12"/>
    <w:rsid w:val="00624A65"/>
    <w:rsid w:val="00627E60"/>
    <w:rsid w:val="00634108"/>
    <w:rsid w:val="00634F56"/>
    <w:rsid w:val="00637191"/>
    <w:rsid w:val="00640868"/>
    <w:rsid w:val="00646101"/>
    <w:rsid w:val="006473C8"/>
    <w:rsid w:val="00655B50"/>
    <w:rsid w:val="0065745D"/>
    <w:rsid w:val="00664058"/>
    <w:rsid w:val="00664E1D"/>
    <w:rsid w:val="0066653B"/>
    <w:rsid w:val="00666BB3"/>
    <w:rsid w:val="00667222"/>
    <w:rsid w:val="00670101"/>
    <w:rsid w:val="00673FCF"/>
    <w:rsid w:val="006749C0"/>
    <w:rsid w:val="00675C7A"/>
    <w:rsid w:val="00675CBB"/>
    <w:rsid w:val="006775A6"/>
    <w:rsid w:val="00680EAD"/>
    <w:rsid w:val="006854DC"/>
    <w:rsid w:val="00695697"/>
    <w:rsid w:val="006A2849"/>
    <w:rsid w:val="006A4F94"/>
    <w:rsid w:val="006A684B"/>
    <w:rsid w:val="006B2F47"/>
    <w:rsid w:val="006C003D"/>
    <w:rsid w:val="006C0DF5"/>
    <w:rsid w:val="006C1FB0"/>
    <w:rsid w:val="006C20DD"/>
    <w:rsid w:val="006C21A3"/>
    <w:rsid w:val="006C523F"/>
    <w:rsid w:val="006C555B"/>
    <w:rsid w:val="006C6F38"/>
    <w:rsid w:val="006C7CE1"/>
    <w:rsid w:val="006D0F33"/>
    <w:rsid w:val="006D12BD"/>
    <w:rsid w:val="006D76E4"/>
    <w:rsid w:val="006E007D"/>
    <w:rsid w:val="006E093B"/>
    <w:rsid w:val="006F587B"/>
    <w:rsid w:val="006F59BB"/>
    <w:rsid w:val="006F7CF6"/>
    <w:rsid w:val="00702213"/>
    <w:rsid w:val="00702A6A"/>
    <w:rsid w:val="007042F2"/>
    <w:rsid w:val="00704922"/>
    <w:rsid w:val="007059BD"/>
    <w:rsid w:val="00705B49"/>
    <w:rsid w:val="0071599B"/>
    <w:rsid w:val="0071790A"/>
    <w:rsid w:val="00717BFE"/>
    <w:rsid w:val="007202AD"/>
    <w:rsid w:val="0072101C"/>
    <w:rsid w:val="0072104F"/>
    <w:rsid w:val="00726F06"/>
    <w:rsid w:val="0073008A"/>
    <w:rsid w:val="00731927"/>
    <w:rsid w:val="00733897"/>
    <w:rsid w:val="00734CA7"/>
    <w:rsid w:val="007371F1"/>
    <w:rsid w:val="00741D87"/>
    <w:rsid w:val="00750376"/>
    <w:rsid w:val="007529E1"/>
    <w:rsid w:val="00753805"/>
    <w:rsid w:val="00753F4E"/>
    <w:rsid w:val="00756A11"/>
    <w:rsid w:val="007571A2"/>
    <w:rsid w:val="007605D9"/>
    <w:rsid w:val="00762681"/>
    <w:rsid w:val="00766872"/>
    <w:rsid w:val="00776AF8"/>
    <w:rsid w:val="00777C1C"/>
    <w:rsid w:val="0079494D"/>
    <w:rsid w:val="00795B31"/>
    <w:rsid w:val="00796867"/>
    <w:rsid w:val="007975FA"/>
    <w:rsid w:val="007A4213"/>
    <w:rsid w:val="007B0843"/>
    <w:rsid w:val="007B74A8"/>
    <w:rsid w:val="007C05BB"/>
    <w:rsid w:val="007C2E7F"/>
    <w:rsid w:val="007D3495"/>
    <w:rsid w:val="007D45E9"/>
    <w:rsid w:val="007D48CE"/>
    <w:rsid w:val="007D6123"/>
    <w:rsid w:val="007E5629"/>
    <w:rsid w:val="007E72F8"/>
    <w:rsid w:val="007F1354"/>
    <w:rsid w:val="007F3383"/>
    <w:rsid w:val="007F72B9"/>
    <w:rsid w:val="00801E78"/>
    <w:rsid w:val="0080331B"/>
    <w:rsid w:val="008071C8"/>
    <w:rsid w:val="00810437"/>
    <w:rsid w:val="00817A38"/>
    <w:rsid w:val="00817F1F"/>
    <w:rsid w:val="008213A8"/>
    <w:rsid w:val="00824E07"/>
    <w:rsid w:val="008300F1"/>
    <w:rsid w:val="008316E8"/>
    <w:rsid w:val="00831B9A"/>
    <w:rsid w:val="00834296"/>
    <w:rsid w:val="008346C3"/>
    <w:rsid w:val="00834AFC"/>
    <w:rsid w:val="008374F1"/>
    <w:rsid w:val="00837588"/>
    <w:rsid w:val="00846556"/>
    <w:rsid w:val="00847A0B"/>
    <w:rsid w:val="0085386F"/>
    <w:rsid w:val="00853F82"/>
    <w:rsid w:val="00856796"/>
    <w:rsid w:val="008573E5"/>
    <w:rsid w:val="008634D1"/>
    <w:rsid w:val="008663A7"/>
    <w:rsid w:val="00883945"/>
    <w:rsid w:val="0088488F"/>
    <w:rsid w:val="00884E80"/>
    <w:rsid w:val="00886109"/>
    <w:rsid w:val="00886B36"/>
    <w:rsid w:val="008928A4"/>
    <w:rsid w:val="00892E74"/>
    <w:rsid w:val="00893290"/>
    <w:rsid w:val="0089519C"/>
    <w:rsid w:val="008954D1"/>
    <w:rsid w:val="00895CAE"/>
    <w:rsid w:val="008A2A4B"/>
    <w:rsid w:val="008A2A7C"/>
    <w:rsid w:val="008A2E68"/>
    <w:rsid w:val="008A4011"/>
    <w:rsid w:val="008B2F81"/>
    <w:rsid w:val="008B326C"/>
    <w:rsid w:val="008B5F8F"/>
    <w:rsid w:val="008C077D"/>
    <w:rsid w:val="008C0B94"/>
    <w:rsid w:val="008C25D5"/>
    <w:rsid w:val="008C46AA"/>
    <w:rsid w:val="008C49BE"/>
    <w:rsid w:val="008C5B65"/>
    <w:rsid w:val="008C6CE1"/>
    <w:rsid w:val="008C7926"/>
    <w:rsid w:val="008D1CBC"/>
    <w:rsid w:val="008D5B0F"/>
    <w:rsid w:val="008D5D85"/>
    <w:rsid w:val="008D6410"/>
    <w:rsid w:val="008E0DD7"/>
    <w:rsid w:val="008F5B37"/>
    <w:rsid w:val="00902BAC"/>
    <w:rsid w:val="00905930"/>
    <w:rsid w:val="00911008"/>
    <w:rsid w:val="00916F22"/>
    <w:rsid w:val="00922588"/>
    <w:rsid w:val="00925ECA"/>
    <w:rsid w:val="00937D04"/>
    <w:rsid w:val="00940481"/>
    <w:rsid w:val="0094096E"/>
    <w:rsid w:val="009452E1"/>
    <w:rsid w:val="009464AE"/>
    <w:rsid w:val="00946622"/>
    <w:rsid w:val="00950C47"/>
    <w:rsid w:val="00951710"/>
    <w:rsid w:val="0095187C"/>
    <w:rsid w:val="00952672"/>
    <w:rsid w:val="009527A3"/>
    <w:rsid w:val="0095428A"/>
    <w:rsid w:val="00954664"/>
    <w:rsid w:val="009554D7"/>
    <w:rsid w:val="009574A3"/>
    <w:rsid w:val="009669EF"/>
    <w:rsid w:val="009677F3"/>
    <w:rsid w:val="009678F6"/>
    <w:rsid w:val="0097473E"/>
    <w:rsid w:val="009757F2"/>
    <w:rsid w:val="00977039"/>
    <w:rsid w:val="009772E8"/>
    <w:rsid w:val="00980B4D"/>
    <w:rsid w:val="00980D35"/>
    <w:rsid w:val="0098179F"/>
    <w:rsid w:val="00993E4F"/>
    <w:rsid w:val="0099622A"/>
    <w:rsid w:val="00996A2B"/>
    <w:rsid w:val="0099704D"/>
    <w:rsid w:val="00997075"/>
    <w:rsid w:val="009A03EB"/>
    <w:rsid w:val="009A0C13"/>
    <w:rsid w:val="009A4974"/>
    <w:rsid w:val="009A4E1E"/>
    <w:rsid w:val="009B0170"/>
    <w:rsid w:val="009B0A56"/>
    <w:rsid w:val="009B411D"/>
    <w:rsid w:val="009B4B54"/>
    <w:rsid w:val="009B7792"/>
    <w:rsid w:val="009C3681"/>
    <w:rsid w:val="009C49DC"/>
    <w:rsid w:val="009C5669"/>
    <w:rsid w:val="009C5D86"/>
    <w:rsid w:val="009E278F"/>
    <w:rsid w:val="009E4F4C"/>
    <w:rsid w:val="009F0F50"/>
    <w:rsid w:val="009F5298"/>
    <w:rsid w:val="009F5C9A"/>
    <w:rsid w:val="00A07D4B"/>
    <w:rsid w:val="00A116F4"/>
    <w:rsid w:val="00A13487"/>
    <w:rsid w:val="00A13ADE"/>
    <w:rsid w:val="00A13C3A"/>
    <w:rsid w:val="00A21699"/>
    <w:rsid w:val="00A226EC"/>
    <w:rsid w:val="00A23394"/>
    <w:rsid w:val="00A2484C"/>
    <w:rsid w:val="00A24BA5"/>
    <w:rsid w:val="00A26227"/>
    <w:rsid w:val="00A32E64"/>
    <w:rsid w:val="00A33DD6"/>
    <w:rsid w:val="00A34BFD"/>
    <w:rsid w:val="00A3783D"/>
    <w:rsid w:val="00A4255D"/>
    <w:rsid w:val="00A43F5D"/>
    <w:rsid w:val="00A440EB"/>
    <w:rsid w:val="00A44480"/>
    <w:rsid w:val="00A47294"/>
    <w:rsid w:val="00A528E7"/>
    <w:rsid w:val="00A63CA2"/>
    <w:rsid w:val="00A66B2A"/>
    <w:rsid w:val="00A670F7"/>
    <w:rsid w:val="00A71556"/>
    <w:rsid w:val="00A7229B"/>
    <w:rsid w:val="00A74F8D"/>
    <w:rsid w:val="00A75F7C"/>
    <w:rsid w:val="00A7798F"/>
    <w:rsid w:val="00A85133"/>
    <w:rsid w:val="00A854B1"/>
    <w:rsid w:val="00A90503"/>
    <w:rsid w:val="00A95C48"/>
    <w:rsid w:val="00A95D77"/>
    <w:rsid w:val="00A96B62"/>
    <w:rsid w:val="00A971EC"/>
    <w:rsid w:val="00AA09AE"/>
    <w:rsid w:val="00AB0EA7"/>
    <w:rsid w:val="00AB1CAA"/>
    <w:rsid w:val="00AB2897"/>
    <w:rsid w:val="00AB4520"/>
    <w:rsid w:val="00AC2CF8"/>
    <w:rsid w:val="00AC451C"/>
    <w:rsid w:val="00AC60D4"/>
    <w:rsid w:val="00AD1107"/>
    <w:rsid w:val="00AE0BEE"/>
    <w:rsid w:val="00AE1189"/>
    <w:rsid w:val="00AF3893"/>
    <w:rsid w:val="00AF4128"/>
    <w:rsid w:val="00AF5CBF"/>
    <w:rsid w:val="00B01F39"/>
    <w:rsid w:val="00B06D62"/>
    <w:rsid w:val="00B129EF"/>
    <w:rsid w:val="00B1458A"/>
    <w:rsid w:val="00B15547"/>
    <w:rsid w:val="00B16B99"/>
    <w:rsid w:val="00B16CC8"/>
    <w:rsid w:val="00B17A5C"/>
    <w:rsid w:val="00B231D8"/>
    <w:rsid w:val="00B25BFC"/>
    <w:rsid w:val="00B26787"/>
    <w:rsid w:val="00B26D1F"/>
    <w:rsid w:val="00B3012D"/>
    <w:rsid w:val="00B33B71"/>
    <w:rsid w:val="00B34873"/>
    <w:rsid w:val="00B34D5A"/>
    <w:rsid w:val="00B34F3F"/>
    <w:rsid w:val="00B36225"/>
    <w:rsid w:val="00B36AE1"/>
    <w:rsid w:val="00B37BDE"/>
    <w:rsid w:val="00B44137"/>
    <w:rsid w:val="00B445C0"/>
    <w:rsid w:val="00B522CA"/>
    <w:rsid w:val="00B52BD2"/>
    <w:rsid w:val="00B61FCA"/>
    <w:rsid w:val="00B63C09"/>
    <w:rsid w:val="00B71921"/>
    <w:rsid w:val="00B7490F"/>
    <w:rsid w:val="00B769F4"/>
    <w:rsid w:val="00B87D5D"/>
    <w:rsid w:val="00B87FAF"/>
    <w:rsid w:val="00B90355"/>
    <w:rsid w:val="00B91578"/>
    <w:rsid w:val="00B9550E"/>
    <w:rsid w:val="00B97859"/>
    <w:rsid w:val="00BA23A9"/>
    <w:rsid w:val="00BA4592"/>
    <w:rsid w:val="00BB06F2"/>
    <w:rsid w:val="00BB2622"/>
    <w:rsid w:val="00BB3FF2"/>
    <w:rsid w:val="00BB6EF0"/>
    <w:rsid w:val="00BC569D"/>
    <w:rsid w:val="00BD16E3"/>
    <w:rsid w:val="00BD2AB6"/>
    <w:rsid w:val="00BD6EFE"/>
    <w:rsid w:val="00BE2808"/>
    <w:rsid w:val="00C01992"/>
    <w:rsid w:val="00C06D9E"/>
    <w:rsid w:val="00C13CCF"/>
    <w:rsid w:val="00C213FA"/>
    <w:rsid w:val="00C300F9"/>
    <w:rsid w:val="00C301AC"/>
    <w:rsid w:val="00C31D4C"/>
    <w:rsid w:val="00C32546"/>
    <w:rsid w:val="00C36B6F"/>
    <w:rsid w:val="00C37E4C"/>
    <w:rsid w:val="00C40FA6"/>
    <w:rsid w:val="00C4325C"/>
    <w:rsid w:val="00C43955"/>
    <w:rsid w:val="00C445C7"/>
    <w:rsid w:val="00C44EAE"/>
    <w:rsid w:val="00C47241"/>
    <w:rsid w:val="00C47891"/>
    <w:rsid w:val="00C50D9B"/>
    <w:rsid w:val="00C5372B"/>
    <w:rsid w:val="00C53E2A"/>
    <w:rsid w:val="00C53E35"/>
    <w:rsid w:val="00C54E03"/>
    <w:rsid w:val="00C566CB"/>
    <w:rsid w:val="00C62A39"/>
    <w:rsid w:val="00C65189"/>
    <w:rsid w:val="00C75173"/>
    <w:rsid w:val="00C752B9"/>
    <w:rsid w:val="00C83F9E"/>
    <w:rsid w:val="00C84E50"/>
    <w:rsid w:val="00C9390C"/>
    <w:rsid w:val="00C95495"/>
    <w:rsid w:val="00CA5DA2"/>
    <w:rsid w:val="00CA6197"/>
    <w:rsid w:val="00CB2CFE"/>
    <w:rsid w:val="00CB4288"/>
    <w:rsid w:val="00CC0944"/>
    <w:rsid w:val="00CC09D2"/>
    <w:rsid w:val="00CC1BD5"/>
    <w:rsid w:val="00CC217F"/>
    <w:rsid w:val="00CC2DD3"/>
    <w:rsid w:val="00CD1A86"/>
    <w:rsid w:val="00CD5134"/>
    <w:rsid w:val="00CE27DA"/>
    <w:rsid w:val="00CE5061"/>
    <w:rsid w:val="00CE70A1"/>
    <w:rsid w:val="00CF1C71"/>
    <w:rsid w:val="00CF488C"/>
    <w:rsid w:val="00D052DC"/>
    <w:rsid w:val="00D10295"/>
    <w:rsid w:val="00D1043C"/>
    <w:rsid w:val="00D1047F"/>
    <w:rsid w:val="00D1285B"/>
    <w:rsid w:val="00D145FB"/>
    <w:rsid w:val="00D1463F"/>
    <w:rsid w:val="00D1630E"/>
    <w:rsid w:val="00D170FE"/>
    <w:rsid w:val="00D17568"/>
    <w:rsid w:val="00D22478"/>
    <w:rsid w:val="00D248DE"/>
    <w:rsid w:val="00D30234"/>
    <w:rsid w:val="00D3045D"/>
    <w:rsid w:val="00D35EBC"/>
    <w:rsid w:val="00D36B5C"/>
    <w:rsid w:val="00D36E68"/>
    <w:rsid w:val="00D429BC"/>
    <w:rsid w:val="00D44E34"/>
    <w:rsid w:val="00D51428"/>
    <w:rsid w:val="00D53AA6"/>
    <w:rsid w:val="00D53AF7"/>
    <w:rsid w:val="00D54ADA"/>
    <w:rsid w:val="00D553A9"/>
    <w:rsid w:val="00D553AF"/>
    <w:rsid w:val="00D61A4B"/>
    <w:rsid w:val="00D65B83"/>
    <w:rsid w:val="00D70697"/>
    <w:rsid w:val="00D70D52"/>
    <w:rsid w:val="00D73648"/>
    <w:rsid w:val="00D81B23"/>
    <w:rsid w:val="00D847A1"/>
    <w:rsid w:val="00D871D5"/>
    <w:rsid w:val="00D90234"/>
    <w:rsid w:val="00D911EA"/>
    <w:rsid w:val="00D9254A"/>
    <w:rsid w:val="00D935F5"/>
    <w:rsid w:val="00D95BCB"/>
    <w:rsid w:val="00DA090D"/>
    <w:rsid w:val="00DA2A29"/>
    <w:rsid w:val="00DB5BBD"/>
    <w:rsid w:val="00DC2DB5"/>
    <w:rsid w:val="00DC5EDD"/>
    <w:rsid w:val="00DC7DB9"/>
    <w:rsid w:val="00DD644E"/>
    <w:rsid w:val="00DE0F48"/>
    <w:rsid w:val="00DE3AE7"/>
    <w:rsid w:val="00DE7DCF"/>
    <w:rsid w:val="00DF0F13"/>
    <w:rsid w:val="00DF2136"/>
    <w:rsid w:val="00E050E3"/>
    <w:rsid w:val="00E05BB0"/>
    <w:rsid w:val="00E12CE0"/>
    <w:rsid w:val="00E13F61"/>
    <w:rsid w:val="00E20521"/>
    <w:rsid w:val="00E22233"/>
    <w:rsid w:val="00E25E32"/>
    <w:rsid w:val="00E26EDA"/>
    <w:rsid w:val="00E2716E"/>
    <w:rsid w:val="00E37024"/>
    <w:rsid w:val="00E4327B"/>
    <w:rsid w:val="00E50A01"/>
    <w:rsid w:val="00E527BD"/>
    <w:rsid w:val="00E62130"/>
    <w:rsid w:val="00E65EB2"/>
    <w:rsid w:val="00E7434C"/>
    <w:rsid w:val="00E75392"/>
    <w:rsid w:val="00E83969"/>
    <w:rsid w:val="00E84758"/>
    <w:rsid w:val="00E85839"/>
    <w:rsid w:val="00E86BDA"/>
    <w:rsid w:val="00E871C0"/>
    <w:rsid w:val="00E87276"/>
    <w:rsid w:val="00E9102B"/>
    <w:rsid w:val="00E94CBA"/>
    <w:rsid w:val="00E9570B"/>
    <w:rsid w:val="00E97530"/>
    <w:rsid w:val="00E97552"/>
    <w:rsid w:val="00EA5BF8"/>
    <w:rsid w:val="00EA6708"/>
    <w:rsid w:val="00EA69C9"/>
    <w:rsid w:val="00EB0156"/>
    <w:rsid w:val="00EB05B9"/>
    <w:rsid w:val="00EB1A83"/>
    <w:rsid w:val="00EB7FDC"/>
    <w:rsid w:val="00EC3156"/>
    <w:rsid w:val="00EC7440"/>
    <w:rsid w:val="00ED1E81"/>
    <w:rsid w:val="00ED573E"/>
    <w:rsid w:val="00EE26CD"/>
    <w:rsid w:val="00EE5009"/>
    <w:rsid w:val="00EE7017"/>
    <w:rsid w:val="00EE797B"/>
    <w:rsid w:val="00EF3A24"/>
    <w:rsid w:val="00EF3B90"/>
    <w:rsid w:val="00EF5DE7"/>
    <w:rsid w:val="00EF7C41"/>
    <w:rsid w:val="00F004C0"/>
    <w:rsid w:val="00F043E6"/>
    <w:rsid w:val="00F04FA9"/>
    <w:rsid w:val="00F05460"/>
    <w:rsid w:val="00F074B0"/>
    <w:rsid w:val="00F114D4"/>
    <w:rsid w:val="00F2195A"/>
    <w:rsid w:val="00F22189"/>
    <w:rsid w:val="00F2281F"/>
    <w:rsid w:val="00F2410C"/>
    <w:rsid w:val="00F30E49"/>
    <w:rsid w:val="00F3172D"/>
    <w:rsid w:val="00F3344F"/>
    <w:rsid w:val="00F3507B"/>
    <w:rsid w:val="00F35639"/>
    <w:rsid w:val="00F371E9"/>
    <w:rsid w:val="00F37734"/>
    <w:rsid w:val="00F428F8"/>
    <w:rsid w:val="00F43661"/>
    <w:rsid w:val="00F4389F"/>
    <w:rsid w:val="00F440B2"/>
    <w:rsid w:val="00F46AA7"/>
    <w:rsid w:val="00F50A8B"/>
    <w:rsid w:val="00F51859"/>
    <w:rsid w:val="00F53B5D"/>
    <w:rsid w:val="00F53C6D"/>
    <w:rsid w:val="00F6256F"/>
    <w:rsid w:val="00F67C48"/>
    <w:rsid w:val="00F72C55"/>
    <w:rsid w:val="00F72FEB"/>
    <w:rsid w:val="00F73C3F"/>
    <w:rsid w:val="00F76797"/>
    <w:rsid w:val="00F76870"/>
    <w:rsid w:val="00F81ADE"/>
    <w:rsid w:val="00F81D45"/>
    <w:rsid w:val="00F81FF6"/>
    <w:rsid w:val="00F831E8"/>
    <w:rsid w:val="00F96421"/>
    <w:rsid w:val="00FA0D8E"/>
    <w:rsid w:val="00FA0E50"/>
    <w:rsid w:val="00FA1E38"/>
    <w:rsid w:val="00FA2281"/>
    <w:rsid w:val="00FA66E5"/>
    <w:rsid w:val="00FA75D8"/>
    <w:rsid w:val="00FB04FB"/>
    <w:rsid w:val="00FB12E5"/>
    <w:rsid w:val="00FB440A"/>
    <w:rsid w:val="00FB7298"/>
    <w:rsid w:val="00FC1DEF"/>
    <w:rsid w:val="00FC3139"/>
    <w:rsid w:val="00FC517E"/>
    <w:rsid w:val="00FC5272"/>
    <w:rsid w:val="00FD0DA3"/>
    <w:rsid w:val="00FD7E1F"/>
    <w:rsid w:val="00FE685B"/>
    <w:rsid w:val="00FF0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1E1D83F5"/>
  <w15:docId w15:val="{8A44A567-B99F-4C79-AA8D-35935C68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104F"/>
    <w:rPr>
      <w:sz w:val="24"/>
      <w:szCs w:val="24"/>
    </w:rPr>
  </w:style>
  <w:style w:type="paragraph" w:styleId="Heading1">
    <w:name w:val="heading 1"/>
    <w:aliases w:val="Main Heading"/>
    <w:basedOn w:val="Normal"/>
    <w:next w:val="Normal"/>
    <w:link w:val="Heading1Char"/>
    <w:uiPriority w:val="9"/>
    <w:qFormat/>
    <w:rsid w:val="00FC517E"/>
    <w:pPr>
      <w:spacing w:before="200" w:after="40"/>
      <w:outlineLvl w:val="0"/>
    </w:pPr>
    <w:rPr>
      <w:rFonts w:cs="Calibri"/>
      <w:bCs/>
      <w:color w:val="006187"/>
      <w:sz w:val="30"/>
      <w:szCs w:val="34"/>
      <w:lang w:eastAsia="en-US"/>
    </w:rPr>
  </w:style>
  <w:style w:type="paragraph" w:styleId="Heading2">
    <w:name w:val="heading 2"/>
    <w:basedOn w:val="Normal"/>
    <w:next w:val="Normal"/>
    <w:link w:val="Heading2Char"/>
    <w:uiPriority w:val="9"/>
    <w:unhideWhenUsed/>
    <w:qFormat/>
    <w:rsid w:val="00192E35"/>
    <w:pPr>
      <w:spacing w:before="200" w:after="40"/>
      <w:outlineLvl w:val="1"/>
    </w:pPr>
    <w:rPr>
      <w:rFonts w:ascii="Arial" w:eastAsia="Times New Roman" w:hAnsi="Arial" w:cs="Arial"/>
      <w:b/>
      <w:color w:val="365F91" w:themeColor="accent1" w:themeShade="BF"/>
      <w:sz w:val="22"/>
      <w:szCs w:val="20"/>
    </w:rPr>
  </w:style>
  <w:style w:type="paragraph" w:styleId="Heading3">
    <w:name w:val="heading 3"/>
    <w:basedOn w:val="Heading2"/>
    <w:next w:val="Normal"/>
    <w:link w:val="Heading3Char"/>
    <w:uiPriority w:val="9"/>
    <w:unhideWhenUsed/>
    <w:rsid w:val="00F2281F"/>
    <w:pPr>
      <w:spacing w:after="100"/>
      <w:outlineLvl w:val="2"/>
    </w:pPr>
  </w:style>
  <w:style w:type="paragraph" w:styleId="Heading4">
    <w:name w:val="heading 4"/>
    <w:basedOn w:val="Normal"/>
    <w:next w:val="Normal"/>
    <w:link w:val="Heading4Char"/>
    <w:uiPriority w:val="9"/>
    <w:unhideWhenUsed/>
    <w:rsid w:val="0072104F"/>
    <w:pPr>
      <w:keepNext/>
      <w:spacing w:before="240" w:after="60"/>
      <w:outlineLvl w:val="3"/>
    </w:pPr>
    <w:rPr>
      <w:rFonts w:ascii="Arial" w:hAnsi="Arial" w:cs="Arial"/>
      <w:b/>
      <w:bCs/>
      <w:sz w:val="22"/>
      <w:szCs w:val="28"/>
      <w:lang w:val="en-US"/>
    </w:rPr>
  </w:style>
  <w:style w:type="paragraph" w:styleId="Heading5">
    <w:name w:val="heading 5"/>
    <w:basedOn w:val="Normal"/>
    <w:next w:val="Normal"/>
    <w:link w:val="Heading5Char"/>
    <w:uiPriority w:val="9"/>
    <w:unhideWhenUsed/>
    <w:rsid w:val="0072104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rsid w:val="0072104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rsid w:val="0072104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2104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2104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FC517E"/>
    <w:rPr>
      <w:rFonts w:cs="Calibri"/>
      <w:bCs/>
      <w:color w:val="006187"/>
      <w:sz w:val="30"/>
      <w:szCs w:val="34"/>
      <w:lang w:eastAsia="en-US"/>
    </w:rPr>
  </w:style>
  <w:style w:type="character" w:customStyle="1" w:styleId="Heading2Char">
    <w:name w:val="Heading 2 Char"/>
    <w:basedOn w:val="DefaultParagraphFont"/>
    <w:link w:val="Heading2"/>
    <w:uiPriority w:val="9"/>
    <w:locked/>
    <w:rsid w:val="00192E35"/>
    <w:rPr>
      <w:rFonts w:ascii="Arial" w:eastAsia="Times New Roman" w:hAnsi="Arial" w:cs="Arial"/>
      <w:b/>
      <w:color w:val="365F91" w:themeColor="accent1" w:themeShade="BF"/>
      <w:szCs w:val="20"/>
    </w:rPr>
  </w:style>
  <w:style w:type="character" w:customStyle="1" w:styleId="Heading3Char">
    <w:name w:val="Heading 3 Char"/>
    <w:basedOn w:val="DefaultParagraphFont"/>
    <w:link w:val="Heading3"/>
    <w:uiPriority w:val="9"/>
    <w:locked/>
    <w:rsid w:val="00F2281F"/>
    <w:rPr>
      <w:rFonts w:ascii="Calibri" w:hAnsi="Calibri"/>
      <w:color w:val="005782"/>
      <w:sz w:val="30"/>
      <w:szCs w:val="30"/>
    </w:rPr>
  </w:style>
  <w:style w:type="character" w:customStyle="1" w:styleId="Heading4Char">
    <w:name w:val="Heading 4 Char"/>
    <w:basedOn w:val="DefaultParagraphFont"/>
    <w:link w:val="Heading4"/>
    <w:uiPriority w:val="9"/>
    <w:locked/>
    <w:rsid w:val="0072104F"/>
    <w:rPr>
      <w:rFonts w:ascii="Arial" w:hAnsi="Arial" w:cs="Arial"/>
      <w:b/>
      <w:bCs/>
      <w:szCs w:val="28"/>
      <w:lang w:val="en-US"/>
    </w:rPr>
  </w:style>
  <w:style w:type="paragraph" w:styleId="Header">
    <w:name w:val="header"/>
    <w:basedOn w:val="Normal"/>
    <w:link w:val="HeaderChar"/>
    <w:rsid w:val="00321794"/>
    <w:pPr>
      <w:tabs>
        <w:tab w:val="center" w:pos="4153"/>
        <w:tab w:val="right" w:pos="8306"/>
      </w:tabs>
    </w:pPr>
  </w:style>
  <w:style w:type="character" w:customStyle="1" w:styleId="HeaderChar">
    <w:name w:val="Header Char"/>
    <w:basedOn w:val="DefaultParagraphFont"/>
    <w:link w:val="Header"/>
    <w:rsid w:val="004E14C5"/>
  </w:style>
  <w:style w:type="paragraph" w:styleId="Footer">
    <w:name w:val="footer"/>
    <w:basedOn w:val="Normal"/>
    <w:link w:val="FooterChar"/>
    <w:uiPriority w:val="99"/>
    <w:rsid w:val="00321794"/>
    <w:pPr>
      <w:tabs>
        <w:tab w:val="center" w:pos="4153"/>
        <w:tab w:val="right" w:pos="8306"/>
      </w:tabs>
    </w:pPr>
  </w:style>
  <w:style w:type="character" w:customStyle="1" w:styleId="FooterChar">
    <w:name w:val="Footer Char"/>
    <w:basedOn w:val="DefaultParagraphFont"/>
    <w:link w:val="Footer"/>
    <w:uiPriority w:val="99"/>
    <w:locked/>
    <w:rsid w:val="001A6D75"/>
    <w:rPr>
      <w:rFonts w:cs="Times New Roman"/>
    </w:rPr>
  </w:style>
  <w:style w:type="paragraph" w:styleId="DocumentMap">
    <w:name w:val="Document Map"/>
    <w:basedOn w:val="Normal"/>
    <w:link w:val="DocumentMapChar"/>
    <w:uiPriority w:val="99"/>
    <w:semiHidden/>
    <w:rsid w:val="0032179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E14C5"/>
    <w:rPr>
      <w:sz w:val="0"/>
      <w:szCs w:val="0"/>
    </w:rPr>
  </w:style>
  <w:style w:type="paragraph" w:styleId="Title">
    <w:name w:val="Title"/>
    <w:basedOn w:val="Normal"/>
    <w:next w:val="Normal"/>
    <w:link w:val="TitleChar"/>
    <w:uiPriority w:val="10"/>
    <w:rsid w:val="0072104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104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72104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2104F"/>
    <w:rPr>
      <w:rFonts w:asciiTheme="majorHAnsi" w:eastAsiaTheme="majorEastAsia" w:hAnsiTheme="majorHAnsi" w:cstheme="majorBidi"/>
      <w:sz w:val="24"/>
      <w:szCs w:val="24"/>
    </w:rPr>
  </w:style>
  <w:style w:type="character" w:styleId="PageNumber">
    <w:name w:val="page number"/>
    <w:basedOn w:val="DefaultParagraphFont"/>
    <w:uiPriority w:val="99"/>
    <w:semiHidden/>
    <w:rsid w:val="00321794"/>
    <w:rPr>
      <w:rFonts w:cs="Times New Roman"/>
    </w:rPr>
  </w:style>
  <w:style w:type="paragraph" w:styleId="BalloonText">
    <w:name w:val="Balloon Text"/>
    <w:basedOn w:val="Normal"/>
    <w:link w:val="BalloonTextChar"/>
    <w:uiPriority w:val="99"/>
    <w:semiHidden/>
    <w:unhideWhenUsed/>
    <w:rsid w:val="004E13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3FF"/>
    <w:rPr>
      <w:rFonts w:ascii="Tahoma" w:hAnsi="Tahoma" w:cs="Tahoma"/>
      <w:sz w:val="16"/>
      <w:szCs w:val="16"/>
    </w:rPr>
  </w:style>
  <w:style w:type="table" w:styleId="TableGrid">
    <w:name w:val="Table Grid"/>
    <w:basedOn w:val="TableNormal"/>
    <w:uiPriority w:val="59"/>
    <w:rsid w:val="00272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27223C"/>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TableGrid2">
    <w:name w:val="Table Grid2"/>
    <w:basedOn w:val="TableNormal"/>
    <w:next w:val="TableGrid"/>
    <w:uiPriority w:val="59"/>
    <w:rsid w:val="005D476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C663B"/>
    <w:rPr>
      <w:rFonts w:ascii="Arial" w:hAnsi="Arial" w:cs="Arial"/>
      <w:lang w:eastAsia="en-US" w:bidi="en-US"/>
    </w:rPr>
  </w:style>
  <w:style w:type="character" w:customStyle="1" w:styleId="FootnoteTextChar">
    <w:name w:val="Footnote Text Char"/>
    <w:basedOn w:val="DefaultParagraphFont"/>
    <w:link w:val="FootnoteText"/>
    <w:uiPriority w:val="99"/>
    <w:rsid w:val="003C663B"/>
    <w:rPr>
      <w:rFonts w:ascii="Arial" w:hAnsi="Arial" w:cs="Arial"/>
      <w:lang w:eastAsia="en-US" w:bidi="en-US"/>
    </w:rPr>
  </w:style>
  <w:style w:type="character" w:styleId="FootnoteReference">
    <w:name w:val="footnote reference"/>
    <w:basedOn w:val="DefaultParagraphFont"/>
    <w:uiPriority w:val="99"/>
    <w:unhideWhenUsed/>
    <w:rsid w:val="003C663B"/>
    <w:rPr>
      <w:vertAlign w:val="superscript"/>
    </w:rPr>
  </w:style>
  <w:style w:type="character" w:customStyle="1" w:styleId="Heading5Char">
    <w:name w:val="Heading 5 Char"/>
    <w:basedOn w:val="DefaultParagraphFont"/>
    <w:link w:val="Heading5"/>
    <w:uiPriority w:val="9"/>
    <w:rsid w:val="0072104F"/>
    <w:rPr>
      <w:rFonts w:cstheme="majorBidi"/>
      <w:b/>
      <w:bCs/>
      <w:i/>
      <w:iCs/>
      <w:sz w:val="26"/>
      <w:szCs w:val="26"/>
    </w:rPr>
  </w:style>
  <w:style w:type="character" w:customStyle="1" w:styleId="Heading6Char">
    <w:name w:val="Heading 6 Char"/>
    <w:basedOn w:val="DefaultParagraphFont"/>
    <w:link w:val="Heading6"/>
    <w:uiPriority w:val="9"/>
    <w:rsid w:val="0072104F"/>
    <w:rPr>
      <w:rFonts w:cstheme="majorBidi"/>
      <w:b/>
      <w:bCs/>
    </w:rPr>
  </w:style>
  <w:style w:type="paragraph" w:styleId="ListParagraph">
    <w:name w:val="List Paragraph"/>
    <w:basedOn w:val="Normal"/>
    <w:uiPriority w:val="34"/>
    <w:qFormat/>
    <w:rsid w:val="0072104F"/>
    <w:pPr>
      <w:ind w:left="720"/>
      <w:contextualSpacing/>
    </w:pPr>
  </w:style>
  <w:style w:type="character" w:styleId="BookTitle">
    <w:name w:val="Book Title"/>
    <w:basedOn w:val="DefaultParagraphFont"/>
    <w:uiPriority w:val="33"/>
    <w:rsid w:val="0072104F"/>
    <w:rPr>
      <w:rFonts w:asciiTheme="majorHAnsi" w:eastAsiaTheme="majorEastAsia" w:hAnsiTheme="majorHAnsi"/>
      <w:b/>
      <w:i/>
      <w:sz w:val="24"/>
      <w:szCs w:val="24"/>
    </w:rPr>
  </w:style>
  <w:style w:type="paragraph" w:customStyle="1" w:styleId="Default">
    <w:name w:val="Default"/>
    <w:rsid w:val="00E85839"/>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35"/>
    <w:unhideWhenUsed/>
    <w:rsid w:val="0072104F"/>
    <w:pPr>
      <w:spacing w:after="200"/>
    </w:pPr>
    <w:rPr>
      <w:rFonts w:ascii="Arial" w:hAnsi="Arial" w:cs="Arial"/>
      <w:b/>
      <w:bCs/>
      <w:color w:val="4F81BD" w:themeColor="accent1"/>
      <w:szCs w:val="18"/>
      <w:lang w:val="en-US"/>
    </w:rPr>
  </w:style>
  <w:style w:type="character" w:styleId="Hyperlink">
    <w:name w:val="Hyperlink"/>
    <w:basedOn w:val="DefaultParagraphFont"/>
    <w:uiPriority w:val="99"/>
    <w:unhideWhenUsed/>
    <w:rsid w:val="0072104F"/>
    <w:rPr>
      <w:color w:val="0000FF" w:themeColor="hyperlink"/>
      <w:u w:val="single"/>
    </w:rPr>
  </w:style>
  <w:style w:type="character" w:customStyle="1" w:styleId="Heading7Char">
    <w:name w:val="Heading 7 Char"/>
    <w:basedOn w:val="DefaultParagraphFont"/>
    <w:link w:val="Heading7"/>
    <w:uiPriority w:val="9"/>
    <w:semiHidden/>
    <w:rsid w:val="0072104F"/>
    <w:rPr>
      <w:rFonts w:cstheme="majorBidi"/>
      <w:sz w:val="24"/>
      <w:szCs w:val="24"/>
    </w:rPr>
  </w:style>
  <w:style w:type="character" w:customStyle="1" w:styleId="Heading8Char">
    <w:name w:val="Heading 8 Char"/>
    <w:basedOn w:val="DefaultParagraphFont"/>
    <w:link w:val="Heading8"/>
    <w:uiPriority w:val="9"/>
    <w:semiHidden/>
    <w:rsid w:val="0072104F"/>
    <w:rPr>
      <w:rFonts w:cstheme="majorBidi"/>
      <w:i/>
      <w:iCs/>
      <w:sz w:val="24"/>
      <w:szCs w:val="24"/>
    </w:rPr>
  </w:style>
  <w:style w:type="character" w:customStyle="1" w:styleId="Heading9Char">
    <w:name w:val="Heading 9 Char"/>
    <w:basedOn w:val="DefaultParagraphFont"/>
    <w:link w:val="Heading9"/>
    <w:uiPriority w:val="9"/>
    <w:semiHidden/>
    <w:rsid w:val="0072104F"/>
    <w:rPr>
      <w:rFonts w:asciiTheme="majorHAnsi" w:eastAsiaTheme="majorEastAsia" w:hAnsiTheme="majorHAnsi" w:cstheme="majorBidi"/>
    </w:rPr>
  </w:style>
  <w:style w:type="character" w:styleId="Strong">
    <w:name w:val="Strong"/>
    <w:basedOn w:val="DefaultParagraphFont"/>
    <w:uiPriority w:val="22"/>
    <w:rsid w:val="0072104F"/>
    <w:rPr>
      <w:b/>
      <w:bCs/>
    </w:rPr>
  </w:style>
  <w:style w:type="character" w:styleId="Emphasis">
    <w:name w:val="Emphasis"/>
    <w:basedOn w:val="DefaultParagraphFont"/>
    <w:uiPriority w:val="20"/>
    <w:rsid w:val="0072104F"/>
    <w:rPr>
      <w:rFonts w:asciiTheme="minorHAnsi" w:hAnsiTheme="minorHAnsi"/>
      <w:b/>
      <w:i/>
      <w:iCs/>
    </w:rPr>
  </w:style>
  <w:style w:type="paragraph" w:styleId="NoSpacing">
    <w:name w:val="No Spacing"/>
    <w:aliases w:val="General Text"/>
    <w:basedOn w:val="Normal"/>
    <w:next w:val="Normal"/>
    <w:uiPriority w:val="1"/>
    <w:rsid w:val="009B7792"/>
    <w:pPr>
      <w:numPr>
        <w:numId w:val="1"/>
      </w:numPr>
      <w:spacing w:before="240" w:after="40"/>
    </w:pPr>
    <w:rPr>
      <w:rFonts w:ascii="Arial" w:hAnsi="Arial"/>
      <w:color w:val="005782"/>
      <w:sz w:val="20"/>
      <w:szCs w:val="32"/>
    </w:rPr>
  </w:style>
  <w:style w:type="paragraph" w:styleId="Quote">
    <w:name w:val="Quote"/>
    <w:basedOn w:val="Normal"/>
    <w:next w:val="Normal"/>
    <w:link w:val="QuoteChar"/>
    <w:uiPriority w:val="29"/>
    <w:rsid w:val="0072104F"/>
    <w:rPr>
      <w:i/>
    </w:rPr>
  </w:style>
  <w:style w:type="character" w:customStyle="1" w:styleId="QuoteChar">
    <w:name w:val="Quote Char"/>
    <w:basedOn w:val="DefaultParagraphFont"/>
    <w:link w:val="Quote"/>
    <w:uiPriority w:val="29"/>
    <w:rsid w:val="0072104F"/>
    <w:rPr>
      <w:i/>
      <w:sz w:val="24"/>
      <w:szCs w:val="24"/>
    </w:rPr>
  </w:style>
  <w:style w:type="paragraph" w:styleId="IntenseQuote">
    <w:name w:val="Intense Quote"/>
    <w:basedOn w:val="Normal"/>
    <w:next w:val="Normal"/>
    <w:link w:val="IntenseQuoteChar"/>
    <w:uiPriority w:val="30"/>
    <w:rsid w:val="0072104F"/>
    <w:pPr>
      <w:ind w:left="720" w:right="720"/>
    </w:pPr>
    <w:rPr>
      <w:b/>
      <w:i/>
      <w:szCs w:val="22"/>
    </w:rPr>
  </w:style>
  <w:style w:type="character" w:customStyle="1" w:styleId="IntenseQuoteChar">
    <w:name w:val="Intense Quote Char"/>
    <w:basedOn w:val="DefaultParagraphFont"/>
    <w:link w:val="IntenseQuote"/>
    <w:uiPriority w:val="30"/>
    <w:rsid w:val="0072104F"/>
    <w:rPr>
      <w:b/>
      <w:i/>
      <w:sz w:val="24"/>
    </w:rPr>
  </w:style>
  <w:style w:type="character" w:styleId="SubtleEmphasis">
    <w:name w:val="Subtle Emphasis"/>
    <w:uiPriority w:val="19"/>
    <w:rsid w:val="0072104F"/>
    <w:rPr>
      <w:i/>
      <w:color w:val="5A5A5A" w:themeColor="text1" w:themeTint="A5"/>
    </w:rPr>
  </w:style>
  <w:style w:type="character" w:styleId="IntenseEmphasis">
    <w:name w:val="Intense Emphasis"/>
    <w:basedOn w:val="DefaultParagraphFont"/>
    <w:uiPriority w:val="21"/>
    <w:rsid w:val="0072104F"/>
    <w:rPr>
      <w:b/>
      <w:i/>
      <w:sz w:val="24"/>
      <w:szCs w:val="24"/>
      <w:u w:val="single"/>
    </w:rPr>
  </w:style>
  <w:style w:type="character" w:styleId="SubtleReference">
    <w:name w:val="Subtle Reference"/>
    <w:basedOn w:val="DefaultParagraphFont"/>
    <w:uiPriority w:val="31"/>
    <w:rsid w:val="0072104F"/>
    <w:rPr>
      <w:sz w:val="24"/>
      <w:szCs w:val="24"/>
      <w:u w:val="single"/>
    </w:rPr>
  </w:style>
  <w:style w:type="character" w:styleId="IntenseReference">
    <w:name w:val="Intense Reference"/>
    <w:basedOn w:val="DefaultParagraphFont"/>
    <w:uiPriority w:val="32"/>
    <w:rsid w:val="0072104F"/>
    <w:rPr>
      <w:b/>
      <w:sz w:val="24"/>
      <w:u w:val="single"/>
    </w:rPr>
  </w:style>
  <w:style w:type="paragraph" w:styleId="TOCHeading">
    <w:name w:val="TOC Heading"/>
    <w:basedOn w:val="Heading1"/>
    <w:next w:val="Normal"/>
    <w:uiPriority w:val="39"/>
    <w:semiHidden/>
    <w:unhideWhenUsed/>
    <w:qFormat/>
    <w:rsid w:val="0072104F"/>
    <w:pPr>
      <w:outlineLvl w:val="9"/>
    </w:pPr>
  </w:style>
  <w:style w:type="character" w:styleId="PlaceholderText">
    <w:name w:val="Placeholder Text"/>
    <w:basedOn w:val="DefaultParagraphFont"/>
    <w:uiPriority w:val="99"/>
    <w:semiHidden/>
    <w:rsid w:val="0048383C"/>
    <w:rPr>
      <w:color w:val="808080"/>
    </w:rPr>
  </w:style>
  <w:style w:type="paragraph" w:customStyle="1" w:styleId="ObjectiveTargetAudience">
    <w:name w:val="Objective &amp; Target Audience"/>
    <w:basedOn w:val="Normal"/>
    <w:qFormat/>
    <w:rsid w:val="00F2281F"/>
    <w:pPr>
      <w:spacing w:after="100"/>
      <w:ind w:left="567" w:right="113"/>
    </w:pPr>
    <w:rPr>
      <w:i/>
      <w:color w:val="005782"/>
      <w:sz w:val="22"/>
    </w:rPr>
  </w:style>
  <w:style w:type="paragraph" w:customStyle="1" w:styleId="Subheading">
    <w:name w:val="Subheading"/>
    <w:qFormat/>
    <w:rsid w:val="00B90355"/>
    <w:pPr>
      <w:spacing w:before="200" w:after="100"/>
    </w:pPr>
    <w:rPr>
      <w:rFonts w:ascii="Calibri" w:hAnsi="Calibri"/>
      <w:color w:val="005782"/>
      <w:sz w:val="30"/>
      <w:szCs w:val="30"/>
    </w:rPr>
  </w:style>
  <w:style w:type="paragraph" w:customStyle="1" w:styleId="BodyTextNumbering">
    <w:name w:val="Body Text Numbering"/>
    <w:qFormat/>
    <w:rsid w:val="00FC517E"/>
    <w:pPr>
      <w:numPr>
        <w:numId w:val="3"/>
      </w:numPr>
      <w:spacing w:before="200" w:after="40"/>
      <w:ind w:left="567" w:hanging="567"/>
    </w:pPr>
    <w:rPr>
      <w:rFonts w:ascii="Arial" w:hAnsi="Arial"/>
      <w:color w:val="000000" w:themeColor="text1"/>
      <w:sz w:val="20"/>
      <w:szCs w:val="32"/>
    </w:rPr>
  </w:style>
  <w:style w:type="paragraph" w:customStyle="1" w:styleId="SubpointsAlpha">
    <w:name w:val="Subpoints Alpha"/>
    <w:qFormat/>
    <w:rsid w:val="00F81FF6"/>
    <w:pPr>
      <w:numPr>
        <w:numId w:val="4"/>
      </w:numPr>
      <w:spacing w:before="40" w:after="40"/>
    </w:pPr>
    <w:rPr>
      <w:rFonts w:ascii="Arial" w:hAnsi="Arial"/>
      <w:color w:val="000000" w:themeColor="text1"/>
      <w:sz w:val="20"/>
      <w:szCs w:val="32"/>
    </w:rPr>
  </w:style>
  <w:style w:type="paragraph" w:customStyle="1" w:styleId="Subheading2">
    <w:name w:val="Subheading 2"/>
    <w:basedOn w:val="NoSpacing"/>
    <w:qFormat/>
    <w:rsid w:val="00905930"/>
    <w:pPr>
      <w:numPr>
        <w:numId w:val="0"/>
      </w:numPr>
      <w:spacing w:beforeLines="40" w:afterLines="40"/>
    </w:pPr>
    <w:rPr>
      <w:b/>
      <w:i/>
      <w:color w:val="000000" w:themeColor="text1"/>
    </w:rPr>
  </w:style>
  <w:style w:type="paragraph" w:customStyle="1" w:styleId="DefinitionHeadings">
    <w:name w:val="Definition Headings"/>
    <w:qFormat/>
    <w:rsid w:val="00905930"/>
    <w:pPr>
      <w:spacing w:before="40" w:after="40"/>
    </w:pPr>
    <w:rPr>
      <w:rFonts w:ascii="Arial" w:hAnsi="Arial" w:cs="Arial"/>
      <w:b/>
      <w:bCs/>
      <w:color w:val="000000" w:themeColor="text1"/>
      <w:sz w:val="18"/>
      <w:szCs w:val="18"/>
    </w:rPr>
  </w:style>
  <w:style w:type="paragraph" w:customStyle="1" w:styleId="DefinitionText">
    <w:name w:val="Definition Text"/>
    <w:basedOn w:val="Normal"/>
    <w:qFormat/>
    <w:rsid w:val="00905930"/>
    <w:pPr>
      <w:spacing w:before="40" w:after="40"/>
      <w:ind w:left="284"/>
    </w:pPr>
    <w:rPr>
      <w:rFonts w:ascii="Arial" w:hAnsi="Arial" w:cs="Arial"/>
      <w:color w:val="000000" w:themeColor="text1"/>
      <w:sz w:val="18"/>
      <w:szCs w:val="18"/>
    </w:rPr>
  </w:style>
  <w:style w:type="paragraph" w:customStyle="1" w:styleId="DefinitionPoints">
    <w:name w:val="Definition Points"/>
    <w:basedOn w:val="ListParagraph"/>
    <w:qFormat/>
    <w:rsid w:val="00905930"/>
    <w:pPr>
      <w:numPr>
        <w:numId w:val="2"/>
      </w:numPr>
      <w:spacing w:before="40" w:after="40"/>
    </w:pPr>
    <w:rPr>
      <w:rFonts w:ascii="Arial" w:hAnsi="Arial" w:cs="Arial"/>
      <w:color w:val="000000" w:themeColor="text1"/>
      <w:sz w:val="18"/>
      <w:szCs w:val="18"/>
    </w:rPr>
  </w:style>
  <w:style w:type="paragraph" w:customStyle="1" w:styleId="SupportingInformation">
    <w:name w:val="Supporting Information"/>
    <w:basedOn w:val="Heading2"/>
    <w:qFormat/>
    <w:rsid w:val="00905930"/>
    <w:pPr>
      <w:spacing w:before="40"/>
    </w:pPr>
    <w:rPr>
      <w:color w:val="000000" w:themeColor="text1"/>
      <w:sz w:val="20"/>
    </w:rPr>
  </w:style>
  <w:style w:type="paragraph" w:customStyle="1" w:styleId="FurtherInformationText">
    <w:name w:val="Further Information Text"/>
    <w:basedOn w:val="Normal"/>
    <w:qFormat/>
    <w:rsid w:val="00C53E2A"/>
    <w:pPr>
      <w:spacing w:before="40" w:after="40"/>
    </w:pPr>
    <w:rPr>
      <w:rFonts w:ascii="Arial" w:hAnsi="Arial" w:cs="Arial"/>
      <w:color w:val="000000" w:themeColor="text1"/>
      <w:sz w:val="20"/>
      <w:szCs w:val="20"/>
    </w:rPr>
  </w:style>
  <w:style w:type="paragraph" w:customStyle="1" w:styleId="PolicyHeadingPageTop">
    <w:name w:val="Policy Heading Page Top"/>
    <w:qFormat/>
    <w:rsid w:val="00817F1F"/>
    <w:pPr>
      <w:jc w:val="right"/>
    </w:pPr>
    <w:rPr>
      <w:rFonts w:ascii="Calibri" w:hAnsi="Calibri" w:cs="Calibri"/>
      <w:color w:val="006187"/>
    </w:rPr>
  </w:style>
  <w:style w:type="paragraph" w:customStyle="1" w:styleId="MonthYear">
    <w:name w:val="Month Year"/>
    <w:qFormat/>
    <w:rsid w:val="00817F1F"/>
    <w:pPr>
      <w:ind w:right="-177"/>
      <w:jc w:val="right"/>
    </w:pPr>
    <w:rPr>
      <w:b/>
      <w:color w:val="005782"/>
    </w:rPr>
  </w:style>
  <w:style w:type="paragraph" w:customStyle="1" w:styleId="Bodytextbold">
    <w:name w:val="Body text bold"/>
    <w:link w:val="BodytextboldChar"/>
    <w:qFormat/>
    <w:rsid w:val="000B38CF"/>
    <w:pPr>
      <w:ind w:left="360" w:hanging="360"/>
    </w:pPr>
    <w:rPr>
      <w:rFonts w:ascii="Arial" w:hAnsi="Arial"/>
      <w:b/>
      <w:color w:val="000000" w:themeColor="text1"/>
      <w:sz w:val="20"/>
      <w:szCs w:val="32"/>
    </w:rPr>
  </w:style>
  <w:style w:type="paragraph" w:customStyle="1" w:styleId="Bodytextitalics">
    <w:name w:val="Body text italics"/>
    <w:link w:val="BodytextitalicsChar"/>
    <w:qFormat/>
    <w:rsid w:val="000B38CF"/>
    <w:rPr>
      <w:rFonts w:ascii="Arial" w:hAnsi="Arial"/>
      <w:i/>
      <w:color w:val="000000" w:themeColor="text1"/>
      <w:sz w:val="20"/>
      <w:szCs w:val="32"/>
    </w:rPr>
  </w:style>
  <w:style w:type="character" w:customStyle="1" w:styleId="BodytextboldChar">
    <w:name w:val="Body text bold Char"/>
    <w:basedOn w:val="DefaultParagraphFont"/>
    <w:link w:val="Bodytextbold"/>
    <w:rsid w:val="000B38CF"/>
    <w:rPr>
      <w:rFonts w:ascii="Arial" w:hAnsi="Arial"/>
      <w:b/>
      <w:color w:val="000000" w:themeColor="text1"/>
      <w:sz w:val="20"/>
      <w:szCs w:val="32"/>
    </w:rPr>
  </w:style>
  <w:style w:type="paragraph" w:customStyle="1" w:styleId="Subscript">
    <w:name w:val="Subscript"/>
    <w:link w:val="SubscriptChar"/>
    <w:qFormat/>
    <w:rsid w:val="000B38CF"/>
    <w:rPr>
      <w:rFonts w:ascii="Arial" w:hAnsi="Arial"/>
      <w:color w:val="000000" w:themeColor="text1"/>
      <w:sz w:val="20"/>
      <w:szCs w:val="32"/>
      <w:vertAlign w:val="superscript"/>
    </w:rPr>
  </w:style>
  <w:style w:type="character" w:customStyle="1" w:styleId="BodytextitalicsChar">
    <w:name w:val="Body text italics Char"/>
    <w:basedOn w:val="DefaultParagraphFont"/>
    <w:link w:val="Bodytextitalics"/>
    <w:rsid w:val="000B38CF"/>
    <w:rPr>
      <w:rFonts w:ascii="Arial" w:hAnsi="Arial"/>
      <w:i/>
      <w:color w:val="000000" w:themeColor="text1"/>
      <w:sz w:val="20"/>
      <w:szCs w:val="32"/>
    </w:rPr>
  </w:style>
  <w:style w:type="character" w:customStyle="1" w:styleId="SubscriptChar">
    <w:name w:val="Subscript Char"/>
    <w:basedOn w:val="DefaultParagraphFont"/>
    <w:link w:val="Subscript"/>
    <w:rsid w:val="000B38CF"/>
    <w:rPr>
      <w:rFonts w:ascii="Arial" w:hAnsi="Arial"/>
      <w:color w:val="000000" w:themeColor="text1"/>
      <w:sz w:val="20"/>
      <w:szCs w:val="32"/>
      <w:vertAlign w:val="superscript"/>
    </w:rPr>
  </w:style>
  <w:style w:type="character" w:styleId="CommentReference">
    <w:name w:val="annotation reference"/>
    <w:basedOn w:val="DefaultParagraphFont"/>
    <w:uiPriority w:val="99"/>
    <w:semiHidden/>
    <w:unhideWhenUsed/>
    <w:rsid w:val="009A03EB"/>
    <w:rPr>
      <w:sz w:val="16"/>
      <w:szCs w:val="16"/>
    </w:rPr>
  </w:style>
  <w:style w:type="paragraph" w:styleId="CommentText">
    <w:name w:val="annotation text"/>
    <w:basedOn w:val="Normal"/>
    <w:link w:val="CommentTextChar"/>
    <w:uiPriority w:val="99"/>
    <w:semiHidden/>
    <w:unhideWhenUsed/>
    <w:rsid w:val="009A03EB"/>
    <w:rPr>
      <w:sz w:val="20"/>
      <w:szCs w:val="20"/>
    </w:rPr>
  </w:style>
  <w:style w:type="character" w:customStyle="1" w:styleId="CommentTextChar">
    <w:name w:val="Comment Text Char"/>
    <w:basedOn w:val="DefaultParagraphFont"/>
    <w:link w:val="CommentText"/>
    <w:uiPriority w:val="99"/>
    <w:semiHidden/>
    <w:rsid w:val="009A03EB"/>
    <w:rPr>
      <w:sz w:val="20"/>
      <w:szCs w:val="20"/>
    </w:rPr>
  </w:style>
  <w:style w:type="paragraph" w:styleId="CommentSubject">
    <w:name w:val="annotation subject"/>
    <w:basedOn w:val="CommentText"/>
    <w:next w:val="CommentText"/>
    <w:link w:val="CommentSubjectChar"/>
    <w:uiPriority w:val="99"/>
    <w:semiHidden/>
    <w:unhideWhenUsed/>
    <w:rsid w:val="009A03EB"/>
    <w:rPr>
      <w:b/>
      <w:bCs/>
    </w:rPr>
  </w:style>
  <w:style w:type="character" w:customStyle="1" w:styleId="CommentSubjectChar">
    <w:name w:val="Comment Subject Char"/>
    <w:basedOn w:val="CommentTextChar"/>
    <w:link w:val="CommentSubject"/>
    <w:uiPriority w:val="99"/>
    <w:semiHidden/>
    <w:rsid w:val="009A03EB"/>
    <w:rPr>
      <w:b/>
      <w:bCs/>
      <w:sz w:val="20"/>
      <w:szCs w:val="20"/>
    </w:rPr>
  </w:style>
  <w:style w:type="character" w:styleId="FollowedHyperlink">
    <w:name w:val="FollowedHyperlink"/>
    <w:basedOn w:val="DefaultParagraphFont"/>
    <w:uiPriority w:val="99"/>
    <w:semiHidden/>
    <w:unhideWhenUsed/>
    <w:rsid w:val="009F5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927">
      <w:bodyDiv w:val="1"/>
      <w:marLeft w:val="0"/>
      <w:marRight w:val="0"/>
      <w:marTop w:val="0"/>
      <w:marBottom w:val="0"/>
      <w:divBdr>
        <w:top w:val="none" w:sz="0" w:space="0" w:color="auto"/>
        <w:left w:val="none" w:sz="0" w:space="0" w:color="auto"/>
        <w:bottom w:val="none" w:sz="0" w:space="0" w:color="auto"/>
        <w:right w:val="none" w:sz="0" w:space="0" w:color="auto"/>
      </w:divBdr>
    </w:div>
    <w:div w:id="113640173">
      <w:bodyDiv w:val="1"/>
      <w:marLeft w:val="0"/>
      <w:marRight w:val="0"/>
      <w:marTop w:val="0"/>
      <w:marBottom w:val="0"/>
      <w:divBdr>
        <w:top w:val="none" w:sz="0" w:space="0" w:color="auto"/>
        <w:left w:val="none" w:sz="0" w:space="0" w:color="auto"/>
        <w:bottom w:val="none" w:sz="0" w:space="0" w:color="auto"/>
        <w:right w:val="none" w:sz="0" w:space="0" w:color="auto"/>
      </w:divBdr>
    </w:div>
    <w:div w:id="133452811">
      <w:bodyDiv w:val="1"/>
      <w:marLeft w:val="0"/>
      <w:marRight w:val="0"/>
      <w:marTop w:val="0"/>
      <w:marBottom w:val="0"/>
      <w:divBdr>
        <w:top w:val="none" w:sz="0" w:space="0" w:color="auto"/>
        <w:left w:val="none" w:sz="0" w:space="0" w:color="auto"/>
        <w:bottom w:val="none" w:sz="0" w:space="0" w:color="auto"/>
        <w:right w:val="none" w:sz="0" w:space="0" w:color="auto"/>
      </w:divBdr>
    </w:div>
    <w:div w:id="138033657">
      <w:bodyDiv w:val="1"/>
      <w:marLeft w:val="0"/>
      <w:marRight w:val="0"/>
      <w:marTop w:val="0"/>
      <w:marBottom w:val="0"/>
      <w:divBdr>
        <w:top w:val="none" w:sz="0" w:space="0" w:color="auto"/>
        <w:left w:val="none" w:sz="0" w:space="0" w:color="auto"/>
        <w:bottom w:val="none" w:sz="0" w:space="0" w:color="auto"/>
        <w:right w:val="none" w:sz="0" w:space="0" w:color="auto"/>
      </w:divBdr>
    </w:div>
    <w:div w:id="185602099">
      <w:bodyDiv w:val="1"/>
      <w:marLeft w:val="0"/>
      <w:marRight w:val="0"/>
      <w:marTop w:val="0"/>
      <w:marBottom w:val="0"/>
      <w:divBdr>
        <w:top w:val="none" w:sz="0" w:space="0" w:color="auto"/>
        <w:left w:val="none" w:sz="0" w:space="0" w:color="auto"/>
        <w:bottom w:val="none" w:sz="0" w:space="0" w:color="auto"/>
        <w:right w:val="none" w:sz="0" w:space="0" w:color="auto"/>
      </w:divBdr>
    </w:div>
    <w:div w:id="239565996">
      <w:bodyDiv w:val="1"/>
      <w:marLeft w:val="0"/>
      <w:marRight w:val="0"/>
      <w:marTop w:val="0"/>
      <w:marBottom w:val="0"/>
      <w:divBdr>
        <w:top w:val="none" w:sz="0" w:space="0" w:color="auto"/>
        <w:left w:val="none" w:sz="0" w:space="0" w:color="auto"/>
        <w:bottom w:val="none" w:sz="0" w:space="0" w:color="auto"/>
        <w:right w:val="none" w:sz="0" w:space="0" w:color="auto"/>
      </w:divBdr>
    </w:div>
    <w:div w:id="338972142">
      <w:bodyDiv w:val="1"/>
      <w:marLeft w:val="0"/>
      <w:marRight w:val="0"/>
      <w:marTop w:val="0"/>
      <w:marBottom w:val="0"/>
      <w:divBdr>
        <w:top w:val="none" w:sz="0" w:space="0" w:color="auto"/>
        <w:left w:val="none" w:sz="0" w:space="0" w:color="auto"/>
        <w:bottom w:val="none" w:sz="0" w:space="0" w:color="auto"/>
        <w:right w:val="none" w:sz="0" w:space="0" w:color="auto"/>
      </w:divBdr>
    </w:div>
    <w:div w:id="346179008">
      <w:bodyDiv w:val="1"/>
      <w:marLeft w:val="0"/>
      <w:marRight w:val="0"/>
      <w:marTop w:val="0"/>
      <w:marBottom w:val="0"/>
      <w:divBdr>
        <w:top w:val="none" w:sz="0" w:space="0" w:color="auto"/>
        <w:left w:val="none" w:sz="0" w:space="0" w:color="auto"/>
        <w:bottom w:val="none" w:sz="0" w:space="0" w:color="auto"/>
        <w:right w:val="none" w:sz="0" w:space="0" w:color="auto"/>
      </w:divBdr>
    </w:div>
    <w:div w:id="385641721">
      <w:bodyDiv w:val="1"/>
      <w:marLeft w:val="0"/>
      <w:marRight w:val="0"/>
      <w:marTop w:val="0"/>
      <w:marBottom w:val="0"/>
      <w:divBdr>
        <w:top w:val="none" w:sz="0" w:space="0" w:color="auto"/>
        <w:left w:val="none" w:sz="0" w:space="0" w:color="auto"/>
        <w:bottom w:val="none" w:sz="0" w:space="0" w:color="auto"/>
        <w:right w:val="none" w:sz="0" w:space="0" w:color="auto"/>
      </w:divBdr>
    </w:div>
    <w:div w:id="386879780">
      <w:bodyDiv w:val="1"/>
      <w:marLeft w:val="0"/>
      <w:marRight w:val="0"/>
      <w:marTop w:val="0"/>
      <w:marBottom w:val="0"/>
      <w:divBdr>
        <w:top w:val="none" w:sz="0" w:space="0" w:color="auto"/>
        <w:left w:val="none" w:sz="0" w:space="0" w:color="auto"/>
        <w:bottom w:val="none" w:sz="0" w:space="0" w:color="auto"/>
        <w:right w:val="none" w:sz="0" w:space="0" w:color="auto"/>
      </w:divBdr>
    </w:div>
    <w:div w:id="429737908">
      <w:bodyDiv w:val="1"/>
      <w:marLeft w:val="0"/>
      <w:marRight w:val="0"/>
      <w:marTop w:val="0"/>
      <w:marBottom w:val="0"/>
      <w:divBdr>
        <w:top w:val="none" w:sz="0" w:space="0" w:color="auto"/>
        <w:left w:val="none" w:sz="0" w:space="0" w:color="auto"/>
        <w:bottom w:val="none" w:sz="0" w:space="0" w:color="auto"/>
        <w:right w:val="none" w:sz="0" w:space="0" w:color="auto"/>
      </w:divBdr>
    </w:div>
    <w:div w:id="464584904">
      <w:bodyDiv w:val="1"/>
      <w:marLeft w:val="0"/>
      <w:marRight w:val="0"/>
      <w:marTop w:val="0"/>
      <w:marBottom w:val="0"/>
      <w:divBdr>
        <w:top w:val="none" w:sz="0" w:space="0" w:color="auto"/>
        <w:left w:val="none" w:sz="0" w:space="0" w:color="auto"/>
        <w:bottom w:val="none" w:sz="0" w:space="0" w:color="auto"/>
        <w:right w:val="none" w:sz="0" w:space="0" w:color="auto"/>
      </w:divBdr>
    </w:div>
    <w:div w:id="545214192">
      <w:bodyDiv w:val="1"/>
      <w:marLeft w:val="0"/>
      <w:marRight w:val="0"/>
      <w:marTop w:val="0"/>
      <w:marBottom w:val="0"/>
      <w:divBdr>
        <w:top w:val="none" w:sz="0" w:space="0" w:color="auto"/>
        <w:left w:val="none" w:sz="0" w:space="0" w:color="auto"/>
        <w:bottom w:val="none" w:sz="0" w:space="0" w:color="auto"/>
        <w:right w:val="none" w:sz="0" w:space="0" w:color="auto"/>
      </w:divBdr>
    </w:div>
    <w:div w:id="609514488">
      <w:bodyDiv w:val="1"/>
      <w:marLeft w:val="0"/>
      <w:marRight w:val="0"/>
      <w:marTop w:val="0"/>
      <w:marBottom w:val="0"/>
      <w:divBdr>
        <w:top w:val="none" w:sz="0" w:space="0" w:color="auto"/>
        <w:left w:val="none" w:sz="0" w:space="0" w:color="auto"/>
        <w:bottom w:val="none" w:sz="0" w:space="0" w:color="auto"/>
        <w:right w:val="none" w:sz="0" w:space="0" w:color="auto"/>
      </w:divBdr>
    </w:div>
    <w:div w:id="673193773">
      <w:bodyDiv w:val="1"/>
      <w:marLeft w:val="0"/>
      <w:marRight w:val="0"/>
      <w:marTop w:val="0"/>
      <w:marBottom w:val="0"/>
      <w:divBdr>
        <w:top w:val="none" w:sz="0" w:space="0" w:color="auto"/>
        <w:left w:val="none" w:sz="0" w:space="0" w:color="auto"/>
        <w:bottom w:val="none" w:sz="0" w:space="0" w:color="auto"/>
        <w:right w:val="none" w:sz="0" w:space="0" w:color="auto"/>
      </w:divBdr>
    </w:div>
    <w:div w:id="901867073">
      <w:bodyDiv w:val="1"/>
      <w:marLeft w:val="0"/>
      <w:marRight w:val="0"/>
      <w:marTop w:val="0"/>
      <w:marBottom w:val="0"/>
      <w:divBdr>
        <w:top w:val="none" w:sz="0" w:space="0" w:color="auto"/>
        <w:left w:val="none" w:sz="0" w:space="0" w:color="auto"/>
        <w:bottom w:val="none" w:sz="0" w:space="0" w:color="auto"/>
        <w:right w:val="none" w:sz="0" w:space="0" w:color="auto"/>
      </w:divBdr>
    </w:div>
    <w:div w:id="902640595">
      <w:bodyDiv w:val="1"/>
      <w:marLeft w:val="0"/>
      <w:marRight w:val="0"/>
      <w:marTop w:val="0"/>
      <w:marBottom w:val="0"/>
      <w:divBdr>
        <w:top w:val="none" w:sz="0" w:space="0" w:color="auto"/>
        <w:left w:val="none" w:sz="0" w:space="0" w:color="auto"/>
        <w:bottom w:val="none" w:sz="0" w:space="0" w:color="auto"/>
        <w:right w:val="none" w:sz="0" w:space="0" w:color="auto"/>
      </w:divBdr>
    </w:div>
    <w:div w:id="965429754">
      <w:bodyDiv w:val="1"/>
      <w:marLeft w:val="0"/>
      <w:marRight w:val="0"/>
      <w:marTop w:val="0"/>
      <w:marBottom w:val="0"/>
      <w:divBdr>
        <w:top w:val="none" w:sz="0" w:space="0" w:color="auto"/>
        <w:left w:val="none" w:sz="0" w:space="0" w:color="auto"/>
        <w:bottom w:val="none" w:sz="0" w:space="0" w:color="auto"/>
        <w:right w:val="none" w:sz="0" w:space="0" w:color="auto"/>
      </w:divBdr>
    </w:div>
    <w:div w:id="1084643284">
      <w:bodyDiv w:val="1"/>
      <w:marLeft w:val="0"/>
      <w:marRight w:val="0"/>
      <w:marTop w:val="0"/>
      <w:marBottom w:val="0"/>
      <w:divBdr>
        <w:top w:val="none" w:sz="0" w:space="0" w:color="auto"/>
        <w:left w:val="none" w:sz="0" w:space="0" w:color="auto"/>
        <w:bottom w:val="none" w:sz="0" w:space="0" w:color="auto"/>
        <w:right w:val="none" w:sz="0" w:space="0" w:color="auto"/>
      </w:divBdr>
    </w:div>
    <w:div w:id="1085762420">
      <w:bodyDiv w:val="1"/>
      <w:marLeft w:val="0"/>
      <w:marRight w:val="0"/>
      <w:marTop w:val="0"/>
      <w:marBottom w:val="0"/>
      <w:divBdr>
        <w:top w:val="none" w:sz="0" w:space="0" w:color="auto"/>
        <w:left w:val="none" w:sz="0" w:space="0" w:color="auto"/>
        <w:bottom w:val="none" w:sz="0" w:space="0" w:color="auto"/>
        <w:right w:val="none" w:sz="0" w:space="0" w:color="auto"/>
      </w:divBdr>
    </w:div>
    <w:div w:id="1139107724">
      <w:bodyDiv w:val="1"/>
      <w:marLeft w:val="0"/>
      <w:marRight w:val="0"/>
      <w:marTop w:val="0"/>
      <w:marBottom w:val="0"/>
      <w:divBdr>
        <w:top w:val="none" w:sz="0" w:space="0" w:color="auto"/>
        <w:left w:val="none" w:sz="0" w:space="0" w:color="auto"/>
        <w:bottom w:val="none" w:sz="0" w:space="0" w:color="auto"/>
        <w:right w:val="none" w:sz="0" w:space="0" w:color="auto"/>
      </w:divBdr>
    </w:div>
    <w:div w:id="1160730943">
      <w:bodyDiv w:val="1"/>
      <w:marLeft w:val="0"/>
      <w:marRight w:val="0"/>
      <w:marTop w:val="0"/>
      <w:marBottom w:val="0"/>
      <w:divBdr>
        <w:top w:val="none" w:sz="0" w:space="0" w:color="auto"/>
        <w:left w:val="none" w:sz="0" w:space="0" w:color="auto"/>
        <w:bottom w:val="none" w:sz="0" w:space="0" w:color="auto"/>
        <w:right w:val="none" w:sz="0" w:space="0" w:color="auto"/>
      </w:divBdr>
    </w:div>
    <w:div w:id="1169173856">
      <w:bodyDiv w:val="1"/>
      <w:marLeft w:val="0"/>
      <w:marRight w:val="0"/>
      <w:marTop w:val="0"/>
      <w:marBottom w:val="0"/>
      <w:divBdr>
        <w:top w:val="none" w:sz="0" w:space="0" w:color="auto"/>
        <w:left w:val="none" w:sz="0" w:space="0" w:color="auto"/>
        <w:bottom w:val="none" w:sz="0" w:space="0" w:color="auto"/>
        <w:right w:val="none" w:sz="0" w:space="0" w:color="auto"/>
      </w:divBdr>
    </w:div>
    <w:div w:id="1226139303">
      <w:bodyDiv w:val="1"/>
      <w:marLeft w:val="0"/>
      <w:marRight w:val="0"/>
      <w:marTop w:val="0"/>
      <w:marBottom w:val="0"/>
      <w:divBdr>
        <w:top w:val="none" w:sz="0" w:space="0" w:color="auto"/>
        <w:left w:val="none" w:sz="0" w:space="0" w:color="auto"/>
        <w:bottom w:val="none" w:sz="0" w:space="0" w:color="auto"/>
        <w:right w:val="none" w:sz="0" w:space="0" w:color="auto"/>
      </w:divBdr>
    </w:div>
    <w:div w:id="1359158596">
      <w:bodyDiv w:val="1"/>
      <w:marLeft w:val="0"/>
      <w:marRight w:val="0"/>
      <w:marTop w:val="0"/>
      <w:marBottom w:val="0"/>
      <w:divBdr>
        <w:top w:val="none" w:sz="0" w:space="0" w:color="auto"/>
        <w:left w:val="none" w:sz="0" w:space="0" w:color="auto"/>
        <w:bottom w:val="none" w:sz="0" w:space="0" w:color="auto"/>
        <w:right w:val="none" w:sz="0" w:space="0" w:color="auto"/>
      </w:divBdr>
    </w:div>
    <w:div w:id="1377853470">
      <w:bodyDiv w:val="1"/>
      <w:marLeft w:val="0"/>
      <w:marRight w:val="0"/>
      <w:marTop w:val="0"/>
      <w:marBottom w:val="0"/>
      <w:divBdr>
        <w:top w:val="none" w:sz="0" w:space="0" w:color="auto"/>
        <w:left w:val="none" w:sz="0" w:space="0" w:color="auto"/>
        <w:bottom w:val="none" w:sz="0" w:space="0" w:color="auto"/>
        <w:right w:val="none" w:sz="0" w:space="0" w:color="auto"/>
      </w:divBdr>
    </w:div>
    <w:div w:id="1468160828">
      <w:bodyDiv w:val="1"/>
      <w:marLeft w:val="0"/>
      <w:marRight w:val="0"/>
      <w:marTop w:val="0"/>
      <w:marBottom w:val="0"/>
      <w:divBdr>
        <w:top w:val="none" w:sz="0" w:space="0" w:color="auto"/>
        <w:left w:val="none" w:sz="0" w:space="0" w:color="auto"/>
        <w:bottom w:val="none" w:sz="0" w:space="0" w:color="auto"/>
        <w:right w:val="none" w:sz="0" w:space="0" w:color="auto"/>
      </w:divBdr>
    </w:div>
    <w:div w:id="1472595147">
      <w:bodyDiv w:val="1"/>
      <w:marLeft w:val="0"/>
      <w:marRight w:val="0"/>
      <w:marTop w:val="0"/>
      <w:marBottom w:val="0"/>
      <w:divBdr>
        <w:top w:val="none" w:sz="0" w:space="0" w:color="auto"/>
        <w:left w:val="none" w:sz="0" w:space="0" w:color="auto"/>
        <w:bottom w:val="none" w:sz="0" w:space="0" w:color="auto"/>
        <w:right w:val="none" w:sz="0" w:space="0" w:color="auto"/>
      </w:divBdr>
    </w:div>
    <w:div w:id="1559894787">
      <w:bodyDiv w:val="1"/>
      <w:marLeft w:val="0"/>
      <w:marRight w:val="0"/>
      <w:marTop w:val="0"/>
      <w:marBottom w:val="0"/>
      <w:divBdr>
        <w:top w:val="none" w:sz="0" w:space="0" w:color="auto"/>
        <w:left w:val="none" w:sz="0" w:space="0" w:color="auto"/>
        <w:bottom w:val="none" w:sz="0" w:space="0" w:color="auto"/>
        <w:right w:val="none" w:sz="0" w:space="0" w:color="auto"/>
      </w:divBdr>
    </w:div>
    <w:div w:id="1683579945">
      <w:bodyDiv w:val="1"/>
      <w:marLeft w:val="0"/>
      <w:marRight w:val="0"/>
      <w:marTop w:val="0"/>
      <w:marBottom w:val="0"/>
      <w:divBdr>
        <w:top w:val="none" w:sz="0" w:space="0" w:color="auto"/>
        <w:left w:val="none" w:sz="0" w:space="0" w:color="auto"/>
        <w:bottom w:val="none" w:sz="0" w:space="0" w:color="auto"/>
        <w:right w:val="none" w:sz="0" w:space="0" w:color="auto"/>
      </w:divBdr>
    </w:div>
    <w:div w:id="1707365262">
      <w:bodyDiv w:val="1"/>
      <w:marLeft w:val="0"/>
      <w:marRight w:val="0"/>
      <w:marTop w:val="0"/>
      <w:marBottom w:val="0"/>
      <w:divBdr>
        <w:top w:val="none" w:sz="0" w:space="0" w:color="auto"/>
        <w:left w:val="none" w:sz="0" w:space="0" w:color="auto"/>
        <w:bottom w:val="none" w:sz="0" w:space="0" w:color="auto"/>
        <w:right w:val="none" w:sz="0" w:space="0" w:color="auto"/>
      </w:divBdr>
    </w:div>
    <w:div w:id="1768115075">
      <w:bodyDiv w:val="1"/>
      <w:marLeft w:val="0"/>
      <w:marRight w:val="0"/>
      <w:marTop w:val="0"/>
      <w:marBottom w:val="0"/>
      <w:divBdr>
        <w:top w:val="none" w:sz="0" w:space="0" w:color="auto"/>
        <w:left w:val="none" w:sz="0" w:space="0" w:color="auto"/>
        <w:bottom w:val="none" w:sz="0" w:space="0" w:color="auto"/>
        <w:right w:val="none" w:sz="0" w:space="0" w:color="auto"/>
      </w:divBdr>
    </w:div>
    <w:div w:id="1970865368">
      <w:marLeft w:val="0"/>
      <w:marRight w:val="0"/>
      <w:marTop w:val="0"/>
      <w:marBottom w:val="0"/>
      <w:divBdr>
        <w:top w:val="none" w:sz="0" w:space="0" w:color="auto"/>
        <w:left w:val="none" w:sz="0" w:space="0" w:color="auto"/>
        <w:bottom w:val="none" w:sz="0" w:space="0" w:color="auto"/>
        <w:right w:val="none" w:sz="0" w:space="0" w:color="auto"/>
      </w:divBdr>
    </w:div>
    <w:div w:id="1976444159">
      <w:bodyDiv w:val="1"/>
      <w:marLeft w:val="0"/>
      <w:marRight w:val="0"/>
      <w:marTop w:val="0"/>
      <w:marBottom w:val="0"/>
      <w:divBdr>
        <w:top w:val="none" w:sz="0" w:space="0" w:color="auto"/>
        <w:left w:val="none" w:sz="0" w:space="0" w:color="auto"/>
        <w:bottom w:val="none" w:sz="0" w:space="0" w:color="auto"/>
        <w:right w:val="none" w:sz="0" w:space="0" w:color="auto"/>
      </w:divBdr>
    </w:div>
    <w:div w:id="19841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rary.gbrmpa.gov.au/jspui/bitstream/11017/3226/1/Application-for-Joint-Permissions-Guideline.pdf" TargetMode="External"/><Relationship Id="rId18" Type="http://schemas.openxmlformats.org/officeDocument/2006/relationships/hyperlink" Target="http://www.gbrmpa.gov.au/about-us/legislation-regulations-and-policies/legislation" TargetMode="External"/><Relationship Id="rId26" Type="http://schemas.openxmlformats.org/officeDocument/2006/relationships/hyperlink" Target="http://www.gbrmpa.gov.au/about-us/legislation-regulations-and-policies/legislation" TargetMode="External"/><Relationship Id="rId39" Type="http://schemas.openxmlformats.org/officeDocument/2006/relationships/fontTable" Target="fontTable.xml"/><Relationship Id="rId21" Type="http://schemas.openxmlformats.org/officeDocument/2006/relationships/hyperlink" Target="http://www.gbrmpa.gov.au/visit-the-reef/plans-of-management/whitsunday-plan-of-management"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elibrary.gbrmpa.gov.au/jspui/bitstream/11017/3231/1/Risk-Assessment-Permissions-System.pdf" TargetMode="External"/><Relationship Id="rId17" Type="http://schemas.openxmlformats.org/officeDocument/2006/relationships/hyperlink" Target="http://www.gbrmpa.gov.au/" TargetMode="External"/><Relationship Id="rId25" Type="http://schemas.openxmlformats.org/officeDocument/2006/relationships/hyperlink" Target="http://www.imo.org/en/OurWork/Environment/LCLP/Publications/Documents/London_convention_UNEP_Low-res-Artificial%20Reefs.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brmpa.gov.au/__data/assets/pdf_file/0020/3980/gbrmpa_CoralTransplantationAtTourismSites_2004.pdf" TargetMode="External"/><Relationship Id="rId20" Type="http://schemas.openxmlformats.org/officeDocument/2006/relationships/hyperlink" Target="http://www.gbrmpa.gov.au/__data/assets/pdf_file/0015/3390/GBRMPA-zoning-plan-2003.pdf" TargetMode="External"/><Relationship Id="rId29" Type="http://schemas.openxmlformats.org/officeDocument/2006/relationships/hyperlink" Target="http://www.gbrmpa.gov.au/__data/assets/pdf_file/0016/3940/gbrmpa_NoStructuresSubZones_200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nvironment.gov.au/marine/marine-pollution/sea-dumping" TargetMode="External"/><Relationship Id="rId32" Type="http://schemas.openxmlformats.org/officeDocument/2006/relationships/hyperlink" Target="http://www.gbrmpa.gov.au/__data/assets/pdf_file/0020/3980/gbrmpa_CoralTransplantationAtTourismSites_2004.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elibrary.gbrmpa.gov.au/jspui/bitstream/11017/3227/1/Managing-Research-in-the-GBRMP.pdf" TargetMode="External"/><Relationship Id="rId23" Type="http://schemas.openxmlformats.org/officeDocument/2006/relationships/hyperlink" Target="http://www.gbrmpa.gov.au/visit-the-reef/plans-of-management/cairns-area-plan-of-management" TargetMode="External"/><Relationship Id="rId28" Type="http://schemas.openxmlformats.org/officeDocument/2006/relationships/hyperlink" Target="http://www.gbrmpa.gov.au/__data/assets/pdf_file/0020/3890/gbrmpa_AquaculturePositionStatement_2002.pdf"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gbrmpa.gov.au/about-us/legislation-regulations-and-policies/legislation" TargetMode="External"/><Relationship Id="rId31" Type="http://schemas.openxmlformats.org/officeDocument/2006/relationships/hyperlink" Target="http://www.gbrmpa.gov.au/__data/assets/pdf_file/0006/185298/COTS-control-guidelin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library.gbrmpa.gov.au/jspui/bitstream/11017/3231/1/Risk-Assessment-Permissions-System.pdf" TargetMode="External"/><Relationship Id="rId22" Type="http://schemas.openxmlformats.org/officeDocument/2006/relationships/hyperlink" Target="http://www.gbrmpa.gov.au/visit-the-reef/plans-of-management/hinchinbrook-plan-of-management" TargetMode="External"/><Relationship Id="rId27" Type="http://schemas.openxmlformats.org/officeDocument/2006/relationships/hyperlink" Target="http://www.gbrmpa.gov.au/__data/assets/pdf_file/0006/3939/gbrmpa_TranslocationPositionStatement_2007.pdf" TargetMode="External"/><Relationship Id="rId30" Type="http://schemas.openxmlformats.org/officeDocument/2006/relationships/hyperlink" Target="http://www.gbrmpa.gov.au/about-us/legislation-regulations-and-policies/policies-and-position-statements/guidelines-for-the-management-of-artificial-reefs-in-the-marine-park"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ind\Desktop\Budget\Offsets%20Policy\Draft%20policy%20and%20procedures\EXTERNA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BRMPA Document" ma:contentTypeID="0x010100A2FC004FBC144CA69D351D7740440BA2002C8F75B96072A24184289AEDDE069C43" ma:contentTypeVersion="13" ma:contentTypeDescription="" ma:contentTypeScope="" ma:versionID="0def9e76ab4c6a1af0fdbaf88920dee4">
  <xsd:schema xmlns:xsd="http://www.w3.org/2001/XMLSchema" xmlns:xs="http://www.w3.org/2001/XMLSchema" xmlns:p="http://schemas.microsoft.com/office/2006/metadata/properties" xmlns:ns2="4d8c4ebc-9f7b-4b09-8243-5f83d2e78c7b" xmlns:ns4="http://schemas.microsoft.com/sharepoint/v4" targetNamespace="http://schemas.microsoft.com/office/2006/metadata/properties" ma:root="true" ma:fieldsID="20f567e1ab3dba65ee143054759bd9a5" ns2:_="" ns4:_="">
    <xsd:import namespace="4d8c4ebc-9f7b-4b09-8243-5f83d2e78c7b"/>
    <xsd:import namespace="http://schemas.microsoft.com/sharepoint/v4"/>
    <xsd:element name="properties">
      <xsd:complexType>
        <xsd:sequence>
          <xsd:element name="documentManagement">
            <xsd:complexType>
              <xsd:all>
                <xsd:element ref="ns4:IconOverla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c4ebc-9f7b-4b09-8243-5f83d2e78c7b"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4d8c4ebc-9f7b-4b09-8243-5f83d2e78c7b">MPMGT-30-43</_dlc_DocId>
    <_dlc_DocIdUrl xmlns="4d8c4ebc-9f7b-4b09-8243-5f83d2e78c7b">
      <Url>http://thedock.gbrmpa.gov.au/sites/MPM/Permits/_layouts/DocIdRedir.aspx?ID=MPMGT-30-43</Url>
      <Description>MPMGT-30-43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CBB01-6855-4E73-9229-136C333DB8B8}">
  <ds:schemaRefs>
    <ds:schemaRef ds:uri="http://schemas.microsoft.com/sharepoint/events"/>
  </ds:schemaRefs>
</ds:datastoreItem>
</file>

<file path=customXml/itemProps2.xml><?xml version="1.0" encoding="utf-8"?>
<ds:datastoreItem xmlns:ds="http://schemas.openxmlformats.org/officeDocument/2006/customXml" ds:itemID="{4CDF120E-1E9D-4663-A011-A2F24D831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c4ebc-9f7b-4b09-8243-5f83d2e78c7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E58BF-E769-473C-81C7-6408F3C2AEB6}">
  <ds:schemaRefs>
    <ds:schemaRef ds:uri="http://schemas.microsoft.com/office/2006/metadata/properties"/>
    <ds:schemaRef ds:uri="http://schemas.microsoft.com/office/infopath/2007/PartnerControls"/>
    <ds:schemaRef ds:uri="http://schemas.microsoft.com/sharepoint/v4"/>
    <ds:schemaRef ds:uri="4d8c4ebc-9f7b-4b09-8243-5f83d2e78c7b"/>
  </ds:schemaRefs>
</ds:datastoreItem>
</file>

<file path=customXml/itemProps4.xml><?xml version="1.0" encoding="utf-8"?>
<ds:datastoreItem xmlns:ds="http://schemas.openxmlformats.org/officeDocument/2006/customXml" ds:itemID="{947E7CCA-4B44-4736-95CC-5953AB490909}">
  <ds:schemaRefs>
    <ds:schemaRef ds:uri="http://schemas.microsoft.com/sharepoint/v3/contenttype/forms"/>
  </ds:schemaRefs>
</ds:datastoreItem>
</file>

<file path=customXml/itemProps5.xml><?xml version="1.0" encoding="utf-8"?>
<ds:datastoreItem xmlns:ds="http://schemas.openxmlformats.org/officeDocument/2006/customXml" ds:itemID="{58B929CB-0FA4-4A8E-BAB0-8DC76C3E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Policy template</Template>
  <TotalTime>1</TotalTime>
  <Pages>7</Pages>
  <Words>3300</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Guidelines - Permit applications for reef intervention activities</vt:lpstr>
    </vt:vector>
  </TitlesOfParts>
  <Company>GBRMPA</Company>
  <LinksUpToDate>false</LinksUpToDate>
  <CharactersWithSpaces>22072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 Permit applications for reef intervention activities</dc:title>
  <dc:creator>kirstind</dc:creator>
  <cp:lastModifiedBy>Joanna Ruxton</cp:lastModifiedBy>
  <cp:revision>2</cp:revision>
  <cp:lastPrinted>2017-10-09T23:59:00Z</cp:lastPrinted>
  <dcterms:created xsi:type="dcterms:W3CDTF">2018-02-21T01:04:00Z</dcterms:created>
  <dcterms:modified xsi:type="dcterms:W3CDTF">2018-02-21T01:04:00Z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0x010100A2FC004FBC144CA69D351D7740440BA2002C8F75B96072A24184289AEDDE069C43</vt:lpwstr>
  </property>
  <property fmtid="{D5CDD505-2E9C-101B-9397-08002B2CF9AE}" pid="3" name="_dlc_DocIdItemGuid">
    <vt:lpwstr>d37e9fb0-b60d-4dd3-84f3-c20c3cbe5ff7</vt:lpwstr>
  </property>
  <property fmtid="{D5CDD505-2E9C-101B-9397-08002B2CF9AE}" pid="4" name="RecordPoint_WorkflowType">
    <vt:lpwstr>ActiveSubmit</vt:lpwstr>
  </property>
  <property fmtid="{D5CDD505-2E9C-101B-9397-08002B2CF9AE}" pid="5" name="RecordPoint_ActiveItemSiteId">
    <vt:lpwstr>{edcb4fc7-60b3-40bd-a8a9-6769df0dfe82}</vt:lpwstr>
  </property>
  <property fmtid="{D5CDD505-2E9C-101B-9397-08002B2CF9AE}" pid="6" name="RecordPoint_ActiveItemListId">
    <vt:lpwstr>{5c8dab4c-a16e-4ddd-8b24-5b6866f6b817}</vt:lpwstr>
  </property>
  <property fmtid="{D5CDD505-2E9C-101B-9397-08002B2CF9AE}" pid="7" name="RecordPoint_ActiveItemUniqueId">
    <vt:lpwstr>{d37e9fb0-b60d-4dd3-84f3-c20c3cbe5ff7}</vt:lpwstr>
  </property>
  <property fmtid="{D5CDD505-2E9C-101B-9397-08002B2CF9AE}" pid="8" name="RecordPoint_ActiveItemWebId">
    <vt:lpwstr>{b27a45ae-8c80-497d-abb0-c8391bd21bc7}</vt:lpwstr>
  </property>
  <property fmtid="{D5CDD505-2E9C-101B-9397-08002B2CF9AE}" pid="9" name="RecordPoint_RecordNumberSubmitted">
    <vt:lpwstr>R0000410547</vt:lpwstr>
  </property>
  <property fmtid="{D5CDD505-2E9C-101B-9397-08002B2CF9AE}" pid="10" name="RecordPoint_SubmissionCompleted">
    <vt:lpwstr>2018-02-09T11:10:01.1304147+10:00</vt:lpwstr>
  </property>
  <property fmtid="{D5CDD505-2E9C-101B-9397-08002B2CF9AE}" pid="11" name="TitusGUID">
    <vt:lpwstr>cc54c3d2-b568-4381-a1f1-adb97dae02d6</vt:lpwstr>
  </property>
  <property fmtid="{D5CDD505-2E9C-101B-9397-08002B2CF9AE}" pid="12" name="AusStandardSEC">
    <vt:lpwstr>UNCLASSIFIED</vt:lpwstr>
  </property>
  <property fmtid="{D5CDD505-2E9C-101B-9397-08002B2CF9AE}" pid="13" name="Classification">
    <vt:lpwstr>UNCLASSIFIED</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