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DBE62" w14:textId="410F04FF" w:rsidR="00CC09D2" w:rsidRPr="002A3683" w:rsidRDefault="002A3683" w:rsidP="002A3683">
      <w:pPr>
        <w:pStyle w:val="MonthYear"/>
        <w:ind w:right="-23"/>
      </w:pPr>
      <w:bookmarkStart w:id="0" w:name="_GoBack"/>
      <w:bookmarkEnd w:id="0"/>
      <w:r>
        <w:rPr>
          <w:b w:val="0"/>
        </w:rPr>
        <w:t xml:space="preserve">(Revision 0) </w:t>
      </w:r>
      <w:r w:rsidR="006B1EE2">
        <w:t>March</w:t>
      </w:r>
      <w:r w:rsidR="006B1EE2" w:rsidRPr="002A3683">
        <w:t xml:space="preserve"> </w:t>
      </w:r>
      <w:r w:rsidR="00927F6D" w:rsidRPr="002A3683">
        <w:t>2018</w:t>
      </w:r>
    </w:p>
    <w:p w14:paraId="24CD8D6B" w14:textId="77777777" w:rsidR="00EF383F" w:rsidRPr="00DB61A8" w:rsidRDefault="009B0170" w:rsidP="00DB61A8">
      <w:pPr>
        <w:pStyle w:val="ObjectiveTargetAudience"/>
        <w:spacing w:after="0"/>
        <w:rPr>
          <w:b/>
        </w:rPr>
      </w:pPr>
      <w:r w:rsidRPr="00DB61A8">
        <w:rPr>
          <w:b/>
        </w:rPr>
        <w:t>Obj</w:t>
      </w:r>
      <w:r w:rsidR="00F72C55" w:rsidRPr="00DB61A8">
        <w:rPr>
          <w:b/>
        </w:rPr>
        <w:t>ective</w:t>
      </w:r>
      <w:r w:rsidR="008F5338" w:rsidRPr="00DB61A8">
        <w:rPr>
          <w:b/>
        </w:rPr>
        <w:t xml:space="preserve"> </w:t>
      </w:r>
    </w:p>
    <w:p w14:paraId="7CB71736" w14:textId="77777777" w:rsidR="000E6BFE" w:rsidRPr="00DB61A8" w:rsidRDefault="000E6BFE" w:rsidP="00DB61A8">
      <w:pPr>
        <w:pStyle w:val="ObjectiveTargetAudience"/>
      </w:pPr>
      <w:r w:rsidRPr="00DB61A8">
        <w:t>To provide guidance on assessing impacts to seagrass and seagrass meadows within the permission system</w:t>
      </w:r>
      <w:r w:rsidR="00DB61A8" w:rsidRPr="00DB61A8">
        <w:t>.</w:t>
      </w:r>
    </w:p>
    <w:p w14:paraId="17026E8D" w14:textId="77777777" w:rsidR="00846556" w:rsidRPr="00DB61A8" w:rsidRDefault="0048383C" w:rsidP="00DB61A8">
      <w:pPr>
        <w:pStyle w:val="ObjectiveTargetAudience"/>
        <w:spacing w:after="0"/>
        <w:rPr>
          <w:b/>
        </w:rPr>
      </w:pPr>
      <w:r w:rsidRPr="00DB61A8">
        <w:rPr>
          <w:b/>
        </w:rPr>
        <w:t xml:space="preserve">Target </w:t>
      </w:r>
      <w:r w:rsidR="00300856" w:rsidRPr="00DB61A8">
        <w:rPr>
          <w:b/>
        </w:rPr>
        <w:t>a</w:t>
      </w:r>
      <w:r w:rsidRPr="00DB61A8">
        <w:rPr>
          <w:b/>
        </w:rPr>
        <w:t>udience</w:t>
      </w:r>
    </w:p>
    <w:p w14:paraId="5357DB7B" w14:textId="066EEC61" w:rsidR="000E6BFE" w:rsidRPr="00DB61A8" w:rsidRDefault="000E6BFE" w:rsidP="00DB61A8">
      <w:pPr>
        <w:pStyle w:val="ObjectiveTargetAudience"/>
        <w:spacing w:after="0"/>
      </w:pPr>
      <w:r w:rsidRPr="00DB61A8">
        <w:t xml:space="preserve">Primary: Great Barrier Reef Marine Park Authority </w:t>
      </w:r>
      <w:r w:rsidR="00616AC2">
        <w:t xml:space="preserve">(the </w:t>
      </w:r>
      <w:r w:rsidR="004C64F6">
        <w:t>GBRMPA</w:t>
      </w:r>
      <w:r w:rsidR="00616AC2">
        <w:t xml:space="preserve">) </w:t>
      </w:r>
      <w:r w:rsidRPr="00DB61A8">
        <w:t>officers assessing applications for permission</w:t>
      </w:r>
      <w:r w:rsidR="00DB61A8" w:rsidRPr="00DB61A8">
        <w:t>.</w:t>
      </w:r>
    </w:p>
    <w:p w14:paraId="6C8BE9BA" w14:textId="15F11286" w:rsidR="000E6BFE" w:rsidRPr="00DB61A8" w:rsidRDefault="000E6BFE" w:rsidP="00DB61A8">
      <w:pPr>
        <w:pStyle w:val="ObjectiveTargetAudience"/>
        <w:spacing w:after="0"/>
      </w:pPr>
      <w:r w:rsidRPr="00DB61A8">
        <w:t>Secondary: Groups and individuals applying for permission</w:t>
      </w:r>
      <w:r w:rsidR="008F439F">
        <w:t xml:space="preserve"> for activities that may impact on seagrass</w:t>
      </w:r>
      <w:r w:rsidRPr="00DB61A8">
        <w:t>; interested members of the public</w:t>
      </w:r>
      <w:r w:rsidR="00DB61A8" w:rsidRPr="00DB61A8">
        <w:t>.</w:t>
      </w:r>
    </w:p>
    <w:p w14:paraId="4E9281ED" w14:textId="77777777" w:rsidR="00C06F00" w:rsidRPr="00DB61A8" w:rsidRDefault="00C06F00" w:rsidP="000E6BFE">
      <w:pPr>
        <w:spacing w:after="100"/>
        <w:ind w:left="426" w:right="113"/>
        <w:rPr>
          <w:i/>
          <w:color w:val="005782"/>
          <w:sz w:val="10"/>
          <w:szCs w:val="10"/>
        </w:rPr>
      </w:pPr>
    </w:p>
    <w:p w14:paraId="658F3697" w14:textId="77777777" w:rsidR="00EF383F" w:rsidRPr="0014482B" w:rsidRDefault="0048383C" w:rsidP="0014482B">
      <w:pPr>
        <w:pStyle w:val="Heading1"/>
        <w:widowControl/>
        <w:autoSpaceDE/>
        <w:autoSpaceDN/>
        <w:adjustRightInd/>
        <w:spacing w:before="200" w:after="100"/>
        <w:ind w:right="0"/>
        <w:jc w:val="left"/>
        <w:rPr>
          <w:rFonts w:ascii="Calibri" w:hAnsi="Calibri" w:cs="Times New Roman"/>
          <w:bCs w:val="0"/>
          <w:color w:val="005782"/>
          <w:sz w:val="30"/>
          <w:szCs w:val="30"/>
        </w:rPr>
      </w:pPr>
      <w:r w:rsidRPr="0014482B">
        <w:rPr>
          <w:rFonts w:ascii="Calibri" w:hAnsi="Calibri" w:cs="Times New Roman"/>
          <w:bCs w:val="0"/>
          <w:color w:val="005782"/>
          <w:sz w:val="30"/>
          <w:szCs w:val="30"/>
        </w:rPr>
        <w:t>Purpose</w:t>
      </w:r>
    </w:p>
    <w:p w14:paraId="422E225C" w14:textId="77777777" w:rsidR="00DB61A8" w:rsidRPr="00387FE3" w:rsidRDefault="000E6BFE" w:rsidP="007B464A">
      <w:pPr>
        <w:pStyle w:val="BodyTextNumbering"/>
        <w:numPr>
          <w:ilvl w:val="0"/>
          <w:numId w:val="8"/>
        </w:numPr>
        <w:spacing w:before="120"/>
        <w:ind w:left="357" w:hanging="357"/>
        <w:rPr>
          <w:rFonts w:asciiTheme="minorHAnsi" w:hAnsiTheme="minorHAnsi"/>
          <w:sz w:val="24"/>
          <w:szCs w:val="24"/>
        </w:rPr>
      </w:pPr>
      <w:r w:rsidRPr="000E6BFE">
        <w:t>Permission decisions contribute to maintaining and enh</w:t>
      </w:r>
      <w:r w:rsidRPr="000E6BFE">
        <w:rPr>
          <w:rFonts w:eastAsia="Calibri" w:cs="Arial"/>
          <w:szCs w:val="20"/>
        </w:rPr>
        <w:t xml:space="preserve">ancing the condition of seagrass and seagrass </w:t>
      </w:r>
      <w:r w:rsidRPr="00EE1DD8">
        <w:t>meadows</w:t>
      </w:r>
      <w:r w:rsidRPr="000E6BFE">
        <w:rPr>
          <w:rFonts w:eastAsia="Calibri" w:cs="Arial"/>
          <w:szCs w:val="20"/>
        </w:rPr>
        <w:t xml:space="preserve"> within the Great Barrier Reef Marine Park</w:t>
      </w:r>
      <w:r w:rsidR="004467FD">
        <w:rPr>
          <w:rFonts w:eastAsia="Calibri" w:cs="Arial"/>
          <w:szCs w:val="20"/>
        </w:rPr>
        <w:t xml:space="preserve"> (the Marine Park)</w:t>
      </w:r>
      <w:r w:rsidRPr="000E6BFE">
        <w:rPr>
          <w:rFonts w:eastAsia="Calibri" w:cs="Arial"/>
          <w:szCs w:val="20"/>
        </w:rPr>
        <w:t>.</w:t>
      </w:r>
    </w:p>
    <w:p w14:paraId="7EE905A6" w14:textId="76752B09" w:rsidR="00EE1DD8" w:rsidRPr="0014482B" w:rsidRDefault="008D2A85" w:rsidP="00387FE3">
      <w:pPr>
        <w:pStyle w:val="Subheading"/>
      </w:pPr>
      <w:hyperlink w:anchor="_Management" w:history="1"/>
      <w:r w:rsidR="0048383C" w:rsidRPr="0014482B">
        <w:t>Context</w:t>
      </w:r>
      <w:r w:rsidR="008F5338" w:rsidRPr="0014482B">
        <w:t xml:space="preserve"> </w:t>
      </w:r>
    </w:p>
    <w:p w14:paraId="4C8AB687" w14:textId="77777777" w:rsidR="00EE1DD8" w:rsidRPr="0014482B" w:rsidRDefault="00EE1DD8" w:rsidP="00E57F53">
      <w:pPr>
        <w:pStyle w:val="Heading2"/>
      </w:pPr>
      <w:r w:rsidRPr="0014482B">
        <w:t>Description of the value</w:t>
      </w:r>
    </w:p>
    <w:p w14:paraId="00893163" w14:textId="3296A7D7" w:rsidR="001B6545" w:rsidRPr="001B6545" w:rsidRDefault="00D20A05" w:rsidP="00331A31">
      <w:pPr>
        <w:pStyle w:val="BodyTextNumbering"/>
        <w:numPr>
          <w:ilvl w:val="0"/>
          <w:numId w:val="9"/>
        </w:numPr>
        <w:spacing w:before="120"/>
        <w:rPr>
          <w:rFonts w:eastAsia="Calibri" w:cs="Arial"/>
          <w:szCs w:val="20"/>
        </w:rPr>
      </w:pPr>
      <w:r w:rsidRPr="001B6545">
        <w:rPr>
          <w:rFonts w:eastAsia="Calibri" w:cs="Arial"/>
          <w:szCs w:val="20"/>
        </w:rPr>
        <w:t xml:space="preserve">Seagrasses are highly specialised flowering plants with roots, leaves and rhizomes. They are not a </w:t>
      </w:r>
      <w:r w:rsidRPr="0024374E">
        <w:t>taxonomically</w:t>
      </w:r>
      <w:r w:rsidRPr="001B6545">
        <w:rPr>
          <w:rFonts w:eastAsia="Calibri" w:cs="Arial"/>
          <w:szCs w:val="20"/>
        </w:rPr>
        <w:t xml:space="preserve"> unified group, and not true grasses.</w:t>
      </w:r>
      <w:r w:rsidR="00BF5AED">
        <w:rPr>
          <w:rFonts w:eastAsia="Calibri" w:cs="Arial"/>
          <w:szCs w:val="20"/>
        </w:rPr>
        <w:t xml:space="preserve"> </w:t>
      </w:r>
      <w:r w:rsidRPr="001B6545">
        <w:rPr>
          <w:rFonts w:eastAsia="Calibri" w:cs="Arial"/>
          <w:szCs w:val="20"/>
        </w:rPr>
        <w:t xml:space="preserve">Seagrasses vary morphologically and ecologically, ranging from annual short-lived structurally small </w:t>
      </w:r>
      <w:r w:rsidRPr="001B6545">
        <w:rPr>
          <w:rFonts w:eastAsia="Calibri" w:cs="Arial"/>
          <w:i/>
          <w:szCs w:val="20"/>
        </w:rPr>
        <w:t xml:space="preserve">Halophila </w:t>
      </w:r>
      <w:r w:rsidRPr="001B6545">
        <w:rPr>
          <w:rFonts w:eastAsia="Calibri" w:cs="Arial"/>
          <w:szCs w:val="20"/>
        </w:rPr>
        <w:t xml:space="preserve">species to </w:t>
      </w:r>
      <w:r w:rsidRPr="0024374E">
        <w:t>robust</w:t>
      </w:r>
      <w:r w:rsidRPr="001B6545">
        <w:rPr>
          <w:rFonts w:eastAsia="Calibri" w:cs="Arial"/>
          <w:szCs w:val="20"/>
        </w:rPr>
        <w:t>, long-lived structurally large species</w:t>
      </w:r>
      <w:r w:rsidR="000F55B8">
        <w:rPr>
          <w:rFonts w:eastAsia="Calibri" w:cs="Arial"/>
          <w:szCs w:val="20"/>
        </w:rPr>
        <w:t>,</w:t>
      </w:r>
      <w:r w:rsidRPr="001B6545">
        <w:rPr>
          <w:rFonts w:eastAsia="Calibri" w:cs="Arial"/>
          <w:szCs w:val="20"/>
        </w:rPr>
        <w:t xml:space="preserve"> such as </w:t>
      </w:r>
      <w:r w:rsidRPr="001B6545">
        <w:rPr>
          <w:rFonts w:eastAsia="Calibri" w:cs="Arial"/>
          <w:i/>
          <w:szCs w:val="20"/>
        </w:rPr>
        <w:t>Enhalus acoroides</w:t>
      </w:r>
      <w:r w:rsidRPr="001B6545">
        <w:rPr>
          <w:rFonts w:eastAsia="Calibri" w:cs="Arial"/>
          <w:szCs w:val="20"/>
        </w:rPr>
        <w:t>.</w:t>
      </w:r>
      <w:r w:rsidR="00BF5AED">
        <w:rPr>
          <w:rFonts w:eastAsia="Calibri" w:cs="Arial"/>
          <w:szCs w:val="20"/>
        </w:rPr>
        <w:t xml:space="preserve"> </w:t>
      </w:r>
      <w:r w:rsidR="001B6545" w:rsidRPr="001B6545">
        <w:rPr>
          <w:rFonts w:eastAsia="Calibri" w:cs="Arial"/>
          <w:szCs w:val="20"/>
        </w:rPr>
        <w:t>They reproduce either asexually through rhizome growth, or sexually via seeds from flowers fe</w:t>
      </w:r>
      <w:r w:rsidR="001329B9">
        <w:rPr>
          <w:rFonts w:eastAsia="Calibri" w:cs="Arial"/>
          <w:szCs w:val="20"/>
        </w:rPr>
        <w:t>rtilised by water-borne pollen.</w:t>
      </w:r>
    </w:p>
    <w:p w14:paraId="67A9CB34" w14:textId="4C0A50C6" w:rsidR="000F55B8" w:rsidRPr="000F55B8" w:rsidRDefault="00433749" w:rsidP="00331A31">
      <w:pPr>
        <w:pStyle w:val="BodyTextNumbering"/>
        <w:numPr>
          <w:ilvl w:val="0"/>
          <w:numId w:val="9"/>
        </w:numPr>
        <w:spacing w:before="120"/>
        <w:rPr>
          <w:rFonts w:eastAsia="Calibri"/>
        </w:rPr>
      </w:pPr>
      <w:r>
        <w:t>The Great Barrier Reef is one of the most species-rich areas for seagrass in the world.</w:t>
      </w:r>
      <w:r w:rsidR="0091345D">
        <w:fldChar w:fldCharType="begin"/>
      </w:r>
      <w:r w:rsidR="00EE558C">
        <w:instrText>ADDIN RW.CITE{{6612 Coles,R. 2003}}</w:instrText>
      </w:r>
      <w:r w:rsidR="0091345D">
        <w:fldChar w:fldCharType="separate"/>
      </w:r>
      <w:r w:rsidR="00EE558C" w:rsidRPr="00EE558C">
        <w:rPr>
          <w:rFonts w:cs="Arial"/>
          <w:vertAlign w:val="superscript"/>
        </w:rPr>
        <w:t>1</w:t>
      </w:r>
      <w:r w:rsidR="0091345D">
        <w:fldChar w:fldCharType="end"/>
      </w:r>
      <w:r>
        <w:t xml:space="preserve"> </w:t>
      </w:r>
      <w:r w:rsidR="0091345D" w:rsidRPr="0091345D">
        <w:t>Fifteen</w:t>
      </w:r>
      <w:r w:rsidR="001B6545" w:rsidRPr="0091345D">
        <w:rPr>
          <w:rFonts w:eastAsia="Calibri" w:cs="Arial"/>
          <w:szCs w:val="20"/>
        </w:rPr>
        <w:t xml:space="preserve"> species</w:t>
      </w:r>
      <w:r w:rsidR="001B6545" w:rsidRPr="00433749">
        <w:rPr>
          <w:rFonts w:eastAsia="Calibri" w:cs="Arial"/>
          <w:szCs w:val="20"/>
        </w:rPr>
        <w:t xml:space="preserve"> </w:t>
      </w:r>
      <w:r w:rsidR="0091345D">
        <w:rPr>
          <w:rFonts w:eastAsia="Calibri" w:cs="Arial"/>
          <w:szCs w:val="20"/>
        </w:rPr>
        <w:t>(representing</w:t>
      </w:r>
      <w:r w:rsidR="00C443AA">
        <w:rPr>
          <w:rFonts w:eastAsia="Calibri" w:cs="Arial"/>
          <w:szCs w:val="20"/>
        </w:rPr>
        <w:t xml:space="preserve"> half the </w:t>
      </w:r>
      <w:r w:rsidRPr="00433749">
        <w:rPr>
          <w:rFonts w:eastAsia="Calibri" w:cs="Arial"/>
          <w:szCs w:val="20"/>
        </w:rPr>
        <w:t>number of species found in Australia</w:t>
      </w:r>
      <w:r w:rsidR="0091345D">
        <w:rPr>
          <w:rFonts w:eastAsia="Calibri" w:cs="Arial"/>
          <w:szCs w:val="20"/>
        </w:rPr>
        <w:t>)</w:t>
      </w:r>
      <w:r w:rsidR="0091345D" w:rsidRPr="0091345D">
        <w:rPr>
          <w:rFonts w:eastAsia="Calibri" w:cs="Arial"/>
          <w:szCs w:val="20"/>
        </w:rPr>
        <w:t xml:space="preserve"> </w:t>
      </w:r>
      <w:r w:rsidR="0091345D" w:rsidRPr="00433749">
        <w:rPr>
          <w:rFonts w:eastAsia="Calibri" w:cs="Arial"/>
          <w:szCs w:val="20"/>
        </w:rPr>
        <w:t>occur</w:t>
      </w:r>
      <w:r w:rsidR="0091345D">
        <w:rPr>
          <w:rFonts w:eastAsia="Calibri" w:cs="Arial"/>
          <w:szCs w:val="20"/>
        </w:rPr>
        <w:t xml:space="preserve"> within the Great Barrier Reef Region</w:t>
      </w:r>
      <w:r w:rsidR="001B6545" w:rsidRPr="00433749">
        <w:rPr>
          <w:rFonts w:eastAsia="Calibri" w:cs="Arial"/>
          <w:szCs w:val="20"/>
        </w:rPr>
        <w:t>.</w:t>
      </w:r>
      <w:r w:rsidR="003C49E4">
        <w:rPr>
          <w:rFonts w:eastAsia="Calibri" w:cs="Arial"/>
          <w:szCs w:val="20"/>
        </w:rPr>
        <w:fldChar w:fldCharType="begin"/>
      </w:r>
      <w:r w:rsidR="00EE558C">
        <w:rPr>
          <w:rFonts w:eastAsia="Calibri" w:cs="Arial"/>
          <w:szCs w:val="20"/>
        </w:rPr>
        <w:instrText>ADDIN RW.CITE{{3562 Collier,C. 2009; 6863 Waycott,M. 2004}}</w:instrText>
      </w:r>
      <w:r w:rsidR="003C49E4">
        <w:rPr>
          <w:rFonts w:eastAsia="Calibri" w:cs="Arial"/>
          <w:szCs w:val="20"/>
        </w:rPr>
        <w:fldChar w:fldCharType="separate"/>
      </w:r>
      <w:r w:rsidR="00EE558C" w:rsidRPr="00EE558C">
        <w:rPr>
          <w:rFonts w:eastAsia="Calibri" w:cs="Arial"/>
          <w:szCs w:val="20"/>
          <w:vertAlign w:val="superscript"/>
        </w:rPr>
        <w:t>2,3</w:t>
      </w:r>
      <w:r w:rsidR="003C49E4">
        <w:rPr>
          <w:rFonts w:eastAsia="Calibri" w:cs="Arial"/>
          <w:szCs w:val="20"/>
        </w:rPr>
        <w:fldChar w:fldCharType="end"/>
      </w:r>
      <w:r w:rsidR="00EA36E6">
        <w:rPr>
          <w:rFonts w:eastAsia="Calibri" w:cs="Arial"/>
          <w:szCs w:val="20"/>
        </w:rPr>
        <w:t xml:space="preserve"> </w:t>
      </w:r>
      <w:r w:rsidR="000F55B8" w:rsidRPr="00C443AA">
        <w:rPr>
          <w:rFonts w:eastAsia="Calibri" w:cs="Arial"/>
          <w:i/>
          <w:szCs w:val="20"/>
        </w:rPr>
        <w:t>Halphila tricostata</w:t>
      </w:r>
      <w:r w:rsidR="000F55B8">
        <w:rPr>
          <w:rFonts w:eastAsia="Calibri" w:cs="Arial"/>
          <w:szCs w:val="20"/>
        </w:rPr>
        <w:t xml:space="preserve"> is endemic to the Great Barrier Reef</w:t>
      </w:r>
      <w:r w:rsidR="000F55B8" w:rsidRPr="003C49E4">
        <w:rPr>
          <w:rFonts w:eastAsia="Calibri" w:cs="Arial"/>
          <w:szCs w:val="20"/>
        </w:rPr>
        <w:t xml:space="preserve"> </w:t>
      </w:r>
      <w:r w:rsidR="000F55B8">
        <w:rPr>
          <w:rFonts w:eastAsia="Calibri" w:cs="Arial"/>
          <w:szCs w:val="20"/>
        </w:rPr>
        <w:t>and is a deep water species.</w:t>
      </w:r>
      <w:r w:rsidR="000F55B8">
        <w:rPr>
          <w:rFonts w:eastAsia="Calibri" w:cs="Arial"/>
          <w:szCs w:val="20"/>
        </w:rPr>
        <w:fldChar w:fldCharType="begin"/>
      </w:r>
      <w:r w:rsidR="00EE558C">
        <w:rPr>
          <w:rFonts w:eastAsia="Calibri" w:cs="Arial"/>
          <w:szCs w:val="20"/>
        </w:rPr>
        <w:instrText>ADDIN RW.CITE{{5057 Waycott,M. 2007}}</w:instrText>
      </w:r>
      <w:r w:rsidR="000F55B8">
        <w:rPr>
          <w:rFonts w:eastAsia="Calibri" w:cs="Arial"/>
          <w:szCs w:val="20"/>
        </w:rPr>
        <w:fldChar w:fldCharType="separate"/>
      </w:r>
      <w:r w:rsidR="00EE558C" w:rsidRPr="00EE558C">
        <w:rPr>
          <w:rFonts w:eastAsia="Calibri" w:cs="Arial"/>
          <w:szCs w:val="20"/>
          <w:vertAlign w:val="superscript"/>
        </w:rPr>
        <w:t>4</w:t>
      </w:r>
      <w:r w:rsidR="000F55B8">
        <w:rPr>
          <w:rFonts w:eastAsia="Calibri" w:cs="Arial"/>
          <w:szCs w:val="20"/>
        </w:rPr>
        <w:fldChar w:fldCharType="end"/>
      </w:r>
    </w:p>
    <w:p w14:paraId="681E2622" w14:textId="3A9830B8" w:rsidR="000F55B8" w:rsidRPr="000F55B8" w:rsidRDefault="000F55B8" w:rsidP="00331A31">
      <w:pPr>
        <w:pStyle w:val="BodyTextNumbering"/>
        <w:numPr>
          <w:ilvl w:val="0"/>
          <w:numId w:val="9"/>
        </w:numPr>
        <w:spacing w:before="120"/>
        <w:rPr>
          <w:rFonts w:eastAsia="Calibri"/>
        </w:rPr>
      </w:pPr>
      <w:r>
        <w:rPr>
          <w:rFonts w:eastAsia="Calibri" w:cs="Arial"/>
          <w:szCs w:val="20"/>
        </w:rPr>
        <w:t xml:space="preserve">Seagrasses </w:t>
      </w:r>
      <w:r w:rsidRPr="00433749">
        <w:rPr>
          <w:rFonts w:eastAsia="Calibri" w:cs="Arial"/>
          <w:szCs w:val="20"/>
        </w:rPr>
        <w:t xml:space="preserve">grow in </w:t>
      </w:r>
      <w:r>
        <w:rPr>
          <w:rFonts w:eastAsia="Calibri" w:cs="Arial"/>
          <w:szCs w:val="20"/>
        </w:rPr>
        <w:t xml:space="preserve">a number of habitats, including </w:t>
      </w:r>
      <w:r w:rsidRPr="00433749">
        <w:rPr>
          <w:rFonts w:eastAsia="Calibri" w:cs="Arial"/>
          <w:szCs w:val="20"/>
        </w:rPr>
        <w:t>estuaries</w:t>
      </w:r>
      <w:r>
        <w:rPr>
          <w:rFonts w:eastAsia="Calibri" w:cs="Arial"/>
          <w:szCs w:val="20"/>
        </w:rPr>
        <w:t xml:space="preserve"> (rivers and inlets), </w:t>
      </w:r>
      <w:r w:rsidRPr="00433749">
        <w:rPr>
          <w:rFonts w:eastAsia="Calibri" w:cs="Arial"/>
          <w:szCs w:val="20"/>
        </w:rPr>
        <w:t>coastal waters</w:t>
      </w:r>
      <w:r>
        <w:rPr>
          <w:rFonts w:eastAsia="Calibri" w:cs="Arial"/>
          <w:szCs w:val="20"/>
        </w:rPr>
        <w:t xml:space="preserve"> (intertidal and subtidal), reefal areas (intertidal and subtidal) and deep water</w:t>
      </w:r>
      <w:r w:rsidRPr="00433749">
        <w:rPr>
          <w:rFonts w:eastAsia="Calibri" w:cs="Arial"/>
          <w:szCs w:val="20"/>
        </w:rPr>
        <w:t>.</w:t>
      </w:r>
      <w:r>
        <w:rPr>
          <w:rFonts w:eastAsia="Calibri" w:cs="Arial"/>
          <w:szCs w:val="20"/>
        </w:rPr>
        <w:t xml:space="preserve"> </w:t>
      </w:r>
      <w:r w:rsidRPr="000F55B8">
        <w:rPr>
          <w:rFonts w:eastAsia="Calibri" w:cs="Arial"/>
          <w:szCs w:val="20"/>
        </w:rPr>
        <w:t>Intertidal and subtidal seagrasses (less than 15 metres deep) in coastal waters are estimated to cover approximately 5700 square kilometres of the Marine Park.</w:t>
      </w:r>
      <w:r w:rsidRPr="000F55B8">
        <w:rPr>
          <w:rFonts w:eastAsia="Calibri" w:cs="Arial"/>
          <w:szCs w:val="20"/>
        </w:rPr>
        <w:fldChar w:fldCharType="begin"/>
      </w:r>
      <w:r w:rsidR="00EE558C">
        <w:rPr>
          <w:rFonts w:eastAsia="Calibri" w:cs="Arial"/>
          <w:szCs w:val="20"/>
        </w:rPr>
        <w:instrText>ADDIN RW.CITE{{20554 GreatBarrierReefMarineParkAuthority 2012}}</w:instrText>
      </w:r>
      <w:r w:rsidRPr="000F55B8">
        <w:rPr>
          <w:rFonts w:eastAsia="Calibri" w:cs="Arial"/>
          <w:szCs w:val="20"/>
        </w:rPr>
        <w:fldChar w:fldCharType="separate"/>
      </w:r>
      <w:r w:rsidR="00EE558C" w:rsidRPr="00EE558C">
        <w:rPr>
          <w:rFonts w:eastAsia="Calibri" w:cs="Arial"/>
          <w:szCs w:val="20"/>
          <w:vertAlign w:val="superscript"/>
        </w:rPr>
        <w:t>5</w:t>
      </w:r>
      <w:r w:rsidRPr="000F55B8">
        <w:rPr>
          <w:rFonts w:eastAsia="Calibri" w:cs="Arial"/>
          <w:szCs w:val="20"/>
        </w:rPr>
        <w:fldChar w:fldCharType="end"/>
      </w:r>
      <w:r w:rsidRPr="000F55B8">
        <w:rPr>
          <w:rFonts w:eastAsia="Calibri" w:cs="Arial"/>
          <w:szCs w:val="20"/>
        </w:rPr>
        <w:t xml:space="preserve"> </w:t>
      </w:r>
    </w:p>
    <w:p w14:paraId="3C1BB262" w14:textId="3E1CD76A" w:rsidR="008F439F" w:rsidRPr="00B801D9" w:rsidRDefault="000F55B8" w:rsidP="00331A31">
      <w:pPr>
        <w:pStyle w:val="BodyTextNumbering"/>
        <w:numPr>
          <w:ilvl w:val="0"/>
          <w:numId w:val="9"/>
        </w:numPr>
        <w:spacing w:before="120"/>
        <w:rPr>
          <w:rFonts w:cs="Arial"/>
          <w:szCs w:val="20"/>
        </w:rPr>
      </w:pPr>
      <w:r>
        <w:rPr>
          <w:rFonts w:eastAsia="Calibri" w:cs="Arial"/>
          <w:szCs w:val="20"/>
        </w:rPr>
        <w:t xml:space="preserve">Deep </w:t>
      </w:r>
      <w:r w:rsidRPr="006903B5">
        <w:rPr>
          <w:rFonts w:eastAsia="Calibri" w:cs="Arial"/>
          <w:szCs w:val="20"/>
        </w:rPr>
        <w:t xml:space="preserve">water seagrasses (deeper than </w:t>
      </w:r>
      <w:r>
        <w:rPr>
          <w:rFonts w:eastAsia="Calibri" w:cs="Arial"/>
          <w:szCs w:val="20"/>
        </w:rPr>
        <w:t>15</w:t>
      </w:r>
      <w:r w:rsidRPr="006903B5">
        <w:rPr>
          <w:rFonts w:eastAsia="Calibri" w:cs="Arial"/>
          <w:szCs w:val="20"/>
        </w:rPr>
        <w:t xml:space="preserve"> metres) are estimated to cover </w:t>
      </w:r>
      <w:r>
        <w:rPr>
          <w:rFonts w:eastAsia="Calibri" w:cs="Arial"/>
          <w:szCs w:val="20"/>
        </w:rPr>
        <w:t xml:space="preserve">approximately </w:t>
      </w:r>
      <w:r w:rsidRPr="006903B5">
        <w:rPr>
          <w:rFonts w:eastAsia="Calibri" w:cs="Arial"/>
          <w:szCs w:val="20"/>
        </w:rPr>
        <w:t>40,000 square kilometres</w:t>
      </w:r>
      <w:r>
        <w:rPr>
          <w:rFonts w:eastAsia="Calibri" w:cs="Arial"/>
          <w:szCs w:val="20"/>
        </w:rPr>
        <w:t xml:space="preserve"> of the Marine Park.</w:t>
      </w:r>
      <w:r>
        <w:rPr>
          <w:rFonts w:eastAsia="Calibri" w:cs="Arial"/>
          <w:szCs w:val="20"/>
        </w:rPr>
        <w:fldChar w:fldCharType="begin"/>
      </w:r>
      <w:r w:rsidR="00EE558C">
        <w:rPr>
          <w:rFonts w:eastAsia="Calibri" w:cs="Arial"/>
          <w:szCs w:val="20"/>
        </w:rPr>
        <w:instrText>ADDIN RW.CITE{{4780 Coles,R. 2000}}</w:instrText>
      </w:r>
      <w:r>
        <w:rPr>
          <w:rFonts w:eastAsia="Calibri" w:cs="Arial"/>
          <w:szCs w:val="20"/>
        </w:rPr>
        <w:fldChar w:fldCharType="separate"/>
      </w:r>
      <w:r w:rsidR="00EE558C" w:rsidRPr="00EE558C">
        <w:rPr>
          <w:rFonts w:eastAsia="Calibri" w:cs="Arial"/>
          <w:szCs w:val="20"/>
          <w:vertAlign w:val="superscript"/>
        </w:rPr>
        <w:t>6</w:t>
      </w:r>
      <w:r>
        <w:rPr>
          <w:rFonts w:eastAsia="Calibri" w:cs="Arial"/>
          <w:szCs w:val="20"/>
        </w:rPr>
        <w:fldChar w:fldCharType="end"/>
      </w:r>
      <w:r>
        <w:rPr>
          <w:rFonts w:eastAsia="Calibri" w:cs="Arial"/>
          <w:szCs w:val="20"/>
        </w:rPr>
        <w:t xml:space="preserve"> At</w:t>
      </w:r>
      <w:r w:rsidRPr="006903B5">
        <w:rPr>
          <w:rFonts w:eastAsia="Calibri" w:cs="Arial"/>
          <w:szCs w:val="20"/>
        </w:rPr>
        <w:t xml:space="preserve"> these depths seagrass </w:t>
      </w:r>
      <w:r>
        <w:rPr>
          <w:rFonts w:eastAsia="Calibri" w:cs="Arial"/>
          <w:szCs w:val="20"/>
        </w:rPr>
        <w:t>is often</w:t>
      </w:r>
      <w:r w:rsidRPr="006903B5">
        <w:rPr>
          <w:rFonts w:eastAsia="Calibri" w:cs="Arial"/>
          <w:szCs w:val="20"/>
        </w:rPr>
        <w:t xml:space="preserve"> very sparse (less than five per cent cover)</w:t>
      </w:r>
      <w:r>
        <w:rPr>
          <w:rFonts w:eastAsia="Calibri" w:cs="Arial"/>
          <w:szCs w:val="20"/>
        </w:rPr>
        <w:t xml:space="preserve"> although it can form relatively dense and high cover meadows in some locations</w:t>
      </w:r>
      <w:r w:rsidRPr="006903B5">
        <w:rPr>
          <w:rFonts w:eastAsia="Calibri" w:cs="Arial"/>
          <w:szCs w:val="20"/>
        </w:rPr>
        <w:t>.</w:t>
      </w:r>
      <w:r>
        <w:rPr>
          <w:rFonts w:eastAsia="Calibri" w:cs="Arial"/>
          <w:szCs w:val="20"/>
        </w:rPr>
        <w:fldChar w:fldCharType="begin"/>
      </w:r>
      <w:r w:rsidR="00EE558C">
        <w:rPr>
          <w:rFonts w:eastAsia="Calibri" w:cs="Arial"/>
          <w:szCs w:val="20"/>
        </w:rPr>
        <w:instrText>ADDIN RW.CITE{{6620 Coles,R.G. 1995; 4780 Coles,R. 2000; 3562 Collier,C. 2009; 4938 LeeLong,W.I. 1996}}</w:instrText>
      </w:r>
      <w:r>
        <w:rPr>
          <w:rFonts w:eastAsia="Calibri" w:cs="Arial"/>
          <w:szCs w:val="20"/>
        </w:rPr>
        <w:fldChar w:fldCharType="separate"/>
      </w:r>
      <w:r w:rsidR="00EE558C" w:rsidRPr="00EE558C">
        <w:rPr>
          <w:rFonts w:eastAsia="Calibri" w:cs="Arial"/>
          <w:szCs w:val="20"/>
          <w:vertAlign w:val="superscript"/>
        </w:rPr>
        <w:t>2,6,7,8</w:t>
      </w:r>
      <w:r>
        <w:rPr>
          <w:rFonts w:eastAsia="Calibri" w:cs="Arial"/>
          <w:szCs w:val="20"/>
        </w:rPr>
        <w:fldChar w:fldCharType="end"/>
      </w:r>
      <w:r>
        <w:rPr>
          <w:rFonts w:eastAsia="Calibri" w:cs="Arial"/>
          <w:szCs w:val="20"/>
        </w:rPr>
        <w:t xml:space="preserve"> Deep water seagrass species</w:t>
      </w:r>
      <w:r w:rsidRPr="006903B5">
        <w:rPr>
          <w:rFonts w:eastAsia="Calibri" w:cs="Arial"/>
          <w:szCs w:val="20"/>
        </w:rPr>
        <w:t xml:space="preserve"> </w:t>
      </w:r>
      <w:r>
        <w:rPr>
          <w:rFonts w:eastAsia="Calibri" w:cs="Arial"/>
          <w:szCs w:val="20"/>
        </w:rPr>
        <w:t xml:space="preserve">in the Marine Park </w:t>
      </w:r>
      <w:r w:rsidRPr="006903B5">
        <w:rPr>
          <w:rFonts w:eastAsia="Calibri" w:cs="Arial"/>
          <w:szCs w:val="20"/>
        </w:rPr>
        <w:t xml:space="preserve">are </w:t>
      </w:r>
      <w:r>
        <w:rPr>
          <w:rFonts w:eastAsia="Calibri" w:cs="Arial"/>
          <w:szCs w:val="20"/>
        </w:rPr>
        <w:t>primarily</w:t>
      </w:r>
      <w:r w:rsidRPr="006903B5">
        <w:rPr>
          <w:rFonts w:eastAsia="Calibri" w:cs="Arial"/>
          <w:szCs w:val="20"/>
        </w:rPr>
        <w:t xml:space="preserve"> </w:t>
      </w:r>
      <w:r>
        <w:rPr>
          <w:rFonts w:eastAsia="Calibri" w:cs="Arial"/>
          <w:szCs w:val="20"/>
        </w:rPr>
        <w:t xml:space="preserve">from the genus </w:t>
      </w:r>
      <w:r>
        <w:rPr>
          <w:rFonts w:eastAsia="Calibri" w:cs="Arial"/>
          <w:i/>
          <w:szCs w:val="20"/>
        </w:rPr>
        <w:t>Halophila</w:t>
      </w:r>
      <w:r>
        <w:rPr>
          <w:rFonts w:eastAsia="Calibri" w:cs="Arial"/>
          <w:szCs w:val="20"/>
        </w:rPr>
        <w:t xml:space="preserve"> and can be highly seasonal or annual.</w:t>
      </w:r>
      <w:r>
        <w:rPr>
          <w:rFonts w:eastAsia="Calibri" w:cs="Arial"/>
          <w:szCs w:val="20"/>
        </w:rPr>
        <w:fldChar w:fldCharType="begin"/>
      </w:r>
      <w:r w:rsidR="00EE558C">
        <w:rPr>
          <w:rFonts w:eastAsia="Calibri" w:cs="Arial"/>
          <w:szCs w:val="20"/>
        </w:rPr>
        <w:instrText>ADDIN RW.CITE{{5057 Waycott,M. 2007; 22275 McCormack,C. 2013}}</w:instrText>
      </w:r>
      <w:r>
        <w:rPr>
          <w:rFonts w:eastAsia="Calibri" w:cs="Arial"/>
          <w:szCs w:val="20"/>
        </w:rPr>
        <w:fldChar w:fldCharType="separate"/>
      </w:r>
      <w:r w:rsidR="00EE558C" w:rsidRPr="00EE558C">
        <w:rPr>
          <w:rFonts w:eastAsia="Calibri" w:cs="Arial"/>
          <w:szCs w:val="20"/>
          <w:vertAlign w:val="superscript"/>
        </w:rPr>
        <w:t>4,9</w:t>
      </w:r>
      <w:r>
        <w:rPr>
          <w:rFonts w:eastAsia="Calibri" w:cs="Arial"/>
          <w:szCs w:val="20"/>
        </w:rPr>
        <w:fldChar w:fldCharType="end"/>
      </w:r>
      <w:r>
        <w:rPr>
          <w:rFonts w:eastAsia="Calibri" w:cs="Arial"/>
          <w:szCs w:val="20"/>
        </w:rPr>
        <w:t xml:space="preserve"> </w:t>
      </w:r>
    </w:p>
    <w:p w14:paraId="383882E3" w14:textId="1EBFBFD2" w:rsidR="00E348A0" w:rsidRPr="00D87218" w:rsidRDefault="008D2A85" w:rsidP="00331A31">
      <w:pPr>
        <w:pStyle w:val="BodyTextNumbering"/>
        <w:numPr>
          <w:ilvl w:val="0"/>
          <w:numId w:val="9"/>
        </w:numPr>
        <w:spacing w:before="120"/>
        <w:rPr>
          <w:rFonts w:eastAsia="Calibri"/>
        </w:rPr>
      </w:pPr>
      <w:hyperlink r:id="rId12" w:history="1">
        <w:r w:rsidR="00C81E58" w:rsidRPr="00D87218">
          <w:rPr>
            <w:rStyle w:val="Hyperlink"/>
            <w:rFonts w:eastAsia="Calibri" w:cs="Arial"/>
            <w:szCs w:val="20"/>
          </w:rPr>
          <w:t xml:space="preserve">Waycott </w:t>
        </w:r>
        <w:r w:rsidR="00C81E58" w:rsidRPr="00D87218">
          <w:rPr>
            <w:rStyle w:val="Hyperlink"/>
            <w:rFonts w:eastAsia="Calibri" w:cs="Arial"/>
            <w:i/>
            <w:szCs w:val="20"/>
          </w:rPr>
          <w:t>et al</w:t>
        </w:r>
        <w:r w:rsidR="00C81E58" w:rsidRPr="00D87218">
          <w:rPr>
            <w:rStyle w:val="Hyperlink"/>
            <w:rFonts w:eastAsia="Calibri" w:cs="Arial"/>
            <w:szCs w:val="20"/>
          </w:rPr>
          <w:t xml:space="preserve">. </w:t>
        </w:r>
        <w:r w:rsidR="00E66D50" w:rsidRPr="00D87218">
          <w:rPr>
            <w:rStyle w:val="Hyperlink"/>
            <w:rFonts w:eastAsia="Calibri" w:cs="Arial"/>
            <w:szCs w:val="20"/>
          </w:rPr>
          <w:t>2007</w:t>
        </w:r>
      </w:hyperlink>
      <w:r w:rsidR="000B67CF">
        <w:rPr>
          <w:rFonts w:eastAsia="Calibri" w:cs="Arial"/>
          <w:szCs w:val="20"/>
        </w:rPr>
        <w:fldChar w:fldCharType="begin"/>
      </w:r>
      <w:r w:rsidR="00EE558C">
        <w:rPr>
          <w:rFonts w:eastAsia="Calibri" w:cs="Arial"/>
          <w:szCs w:val="20"/>
        </w:rPr>
        <w:instrText>ADDIN RW.CITE{{5057 Waycott,M. 2007}}</w:instrText>
      </w:r>
      <w:r w:rsidR="000B67CF">
        <w:rPr>
          <w:rFonts w:eastAsia="Calibri" w:cs="Arial"/>
          <w:szCs w:val="20"/>
        </w:rPr>
        <w:fldChar w:fldCharType="separate"/>
      </w:r>
      <w:r w:rsidR="00EE558C" w:rsidRPr="00EE558C">
        <w:rPr>
          <w:rFonts w:eastAsia="Calibri" w:cs="Arial"/>
          <w:szCs w:val="20"/>
          <w:vertAlign w:val="superscript"/>
        </w:rPr>
        <w:t>4</w:t>
      </w:r>
      <w:r w:rsidR="000B67CF">
        <w:rPr>
          <w:rFonts w:eastAsia="Calibri" w:cs="Arial"/>
          <w:szCs w:val="20"/>
        </w:rPr>
        <w:fldChar w:fldCharType="end"/>
      </w:r>
      <w:r w:rsidR="00E66D50" w:rsidRPr="00D87218">
        <w:rPr>
          <w:rFonts w:eastAsia="Calibri" w:cs="Arial"/>
          <w:szCs w:val="20"/>
        </w:rPr>
        <w:t xml:space="preserve"> </w:t>
      </w:r>
      <w:r w:rsidR="00E26DBB">
        <w:rPr>
          <w:rFonts w:eastAsia="Calibri" w:cs="Arial"/>
          <w:szCs w:val="20"/>
        </w:rPr>
        <w:t>(Figure 8.4)</w:t>
      </w:r>
      <w:r w:rsidR="00E26DBB" w:rsidRPr="00D87218">
        <w:rPr>
          <w:rFonts w:eastAsia="Calibri" w:cs="Arial"/>
          <w:szCs w:val="20"/>
        </w:rPr>
        <w:t xml:space="preserve"> </w:t>
      </w:r>
      <w:r w:rsidR="00C81E58" w:rsidRPr="00D87218">
        <w:rPr>
          <w:rFonts w:eastAsia="Calibri" w:cs="Arial"/>
          <w:szCs w:val="20"/>
        </w:rPr>
        <w:t>in Johnson and Marshall</w:t>
      </w:r>
      <w:r w:rsidR="00C443AA" w:rsidRPr="00D87218">
        <w:rPr>
          <w:rFonts w:eastAsia="Calibri" w:cs="Arial"/>
          <w:szCs w:val="20"/>
        </w:rPr>
        <w:t xml:space="preserve"> (</w:t>
      </w:r>
      <w:r w:rsidR="00C81E58" w:rsidRPr="00D87218">
        <w:rPr>
          <w:rFonts w:eastAsia="Calibri" w:cs="Arial"/>
          <w:szCs w:val="20"/>
        </w:rPr>
        <w:t>2007</w:t>
      </w:r>
      <w:r w:rsidR="00C443AA" w:rsidRPr="00D87218">
        <w:rPr>
          <w:rFonts w:eastAsia="Calibri" w:cs="Arial"/>
          <w:szCs w:val="20"/>
        </w:rPr>
        <w:t>)</w:t>
      </w:r>
      <w:r w:rsidR="00346C4C">
        <w:rPr>
          <w:rFonts w:eastAsia="Calibri" w:cs="Arial"/>
          <w:szCs w:val="20"/>
        </w:rPr>
        <w:fldChar w:fldCharType="begin"/>
      </w:r>
      <w:r w:rsidR="00EE558C">
        <w:rPr>
          <w:rFonts w:eastAsia="Calibri" w:cs="Arial"/>
          <w:szCs w:val="20"/>
        </w:rPr>
        <w:instrText>ADDIN RW.CITE{{3880 Johnson,J.E. 2007}}</w:instrText>
      </w:r>
      <w:r w:rsidR="00346C4C">
        <w:rPr>
          <w:rFonts w:eastAsia="Calibri" w:cs="Arial"/>
          <w:szCs w:val="20"/>
        </w:rPr>
        <w:fldChar w:fldCharType="separate"/>
      </w:r>
      <w:r w:rsidR="00EE558C" w:rsidRPr="00EE558C">
        <w:rPr>
          <w:rFonts w:eastAsia="Calibri" w:cs="Arial"/>
          <w:szCs w:val="20"/>
          <w:vertAlign w:val="superscript"/>
        </w:rPr>
        <w:t>11</w:t>
      </w:r>
      <w:r w:rsidR="00346C4C">
        <w:rPr>
          <w:rFonts w:eastAsia="Calibri" w:cs="Arial"/>
          <w:szCs w:val="20"/>
        </w:rPr>
        <w:fldChar w:fldCharType="end"/>
      </w:r>
      <w:r w:rsidR="00C81E58" w:rsidRPr="00D87218">
        <w:rPr>
          <w:rFonts w:eastAsia="Calibri" w:cs="Arial"/>
          <w:szCs w:val="20"/>
        </w:rPr>
        <w:t xml:space="preserve"> provides </w:t>
      </w:r>
      <w:r w:rsidR="00161D78" w:rsidRPr="00D87218">
        <w:rPr>
          <w:rFonts w:eastAsia="Calibri" w:cs="Arial"/>
          <w:szCs w:val="20"/>
        </w:rPr>
        <w:t xml:space="preserve">a guide to the </w:t>
      </w:r>
      <w:r w:rsidR="000D3372" w:rsidRPr="00D87218">
        <w:rPr>
          <w:rFonts w:eastAsia="Calibri" w:cs="Arial"/>
          <w:szCs w:val="20"/>
        </w:rPr>
        <w:t>domina</w:t>
      </w:r>
      <w:r w:rsidR="000D3372">
        <w:rPr>
          <w:rFonts w:eastAsia="Calibri" w:cs="Arial"/>
          <w:szCs w:val="20"/>
        </w:rPr>
        <w:t>nt</w:t>
      </w:r>
      <w:r w:rsidR="000D3372" w:rsidRPr="00D87218">
        <w:rPr>
          <w:rFonts w:eastAsia="Calibri" w:cs="Arial"/>
          <w:szCs w:val="20"/>
        </w:rPr>
        <w:t xml:space="preserve"> </w:t>
      </w:r>
      <w:r w:rsidR="00C81E58" w:rsidRPr="00D87218">
        <w:rPr>
          <w:rFonts w:eastAsia="Calibri" w:cs="Arial"/>
          <w:szCs w:val="20"/>
        </w:rPr>
        <w:t>seagrass species associated with different habitats</w:t>
      </w:r>
      <w:r w:rsidR="00E66D50" w:rsidRPr="00D87218">
        <w:rPr>
          <w:rFonts w:eastAsia="Calibri" w:cs="Arial"/>
          <w:szCs w:val="20"/>
        </w:rPr>
        <w:t xml:space="preserve"> and their distribution</w:t>
      </w:r>
      <w:r w:rsidR="00C81E58" w:rsidRPr="00D87218">
        <w:rPr>
          <w:rFonts w:eastAsia="Calibri" w:cs="Arial"/>
          <w:szCs w:val="20"/>
        </w:rPr>
        <w:t xml:space="preserve"> in the Great Barrier Reef, as well as </w:t>
      </w:r>
      <w:r w:rsidR="00E66D50" w:rsidRPr="00D87218">
        <w:rPr>
          <w:rFonts w:eastAsia="Calibri" w:cs="Arial"/>
          <w:szCs w:val="20"/>
        </w:rPr>
        <w:t xml:space="preserve">the </w:t>
      </w:r>
      <w:r w:rsidR="00C81E58" w:rsidRPr="00D87218">
        <w:rPr>
          <w:rFonts w:eastAsia="Calibri" w:cs="Arial"/>
          <w:szCs w:val="20"/>
        </w:rPr>
        <w:t xml:space="preserve">recovery strategy of each species. </w:t>
      </w:r>
    </w:p>
    <w:p w14:paraId="3C3B8277" w14:textId="06EF3E13" w:rsidR="00FB70CE" w:rsidRPr="00ED1F3E" w:rsidRDefault="00FB70CE" w:rsidP="00331A31">
      <w:pPr>
        <w:pStyle w:val="BodyTextNumbering"/>
        <w:numPr>
          <w:ilvl w:val="0"/>
          <w:numId w:val="9"/>
        </w:numPr>
        <w:spacing w:before="120"/>
      </w:pPr>
      <w:r>
        <w:t xml:space="preserve">The </w:t>
      </w:r>
      <w:hyperlink r:id="rId13" w:history="1">
        <w:r>
          <w:rPr>
            <w:rStyle w:val="Hyperlink"/>
          </w:rPr>
          <w:t>s</w:t>
        </w:r>
        <w:r w:rsidRPr="00B15C89">
          <w:rPr>
            <w:rStyle w:val="Hyperlink"/>
          </w:rPr>
          <w:t>eagrass distribution in the Great Barrier Reef World Heritage Area</w:t>
        </w:r>
      </w:hyperlink>
      <w:r>
        <w:t xml:space="preserve"> produced by TropWater at James Cook University indicates where seagrass is likely to be present. </w:t>
      </w:r>
      <w:hyperlink r:id="rId14" w:history="1">
        <w:r w:rsidRPr="002C1E6C">
          <w:rPr>
            <w:rStyle w:val="Hyperlink"/>
          </w:rPr>
          <w:t xml:space="preserve">Carter </w:t>
        </w:r>
        <w:r w:rsidRPr="000F55B8">
          <w:rPr>
            <w:rStyle w:val="Hyperlink"/>
            <w:i/>
          </w:rPr>
          <w:t>et al.</w:t>
        </w:r>
        <w:r w:rsidRPr="002C1E6C">
          <w:rPr>
            <w:rStyle w:val="Hyperlink"/>
          </w:rPr>
          <w:t xml:space="preserve"> 2016</w:t>
        </w:r>
      </w:hyperlink>
      <w:r>
        <w:fldChar w:fldCharType="begin"/>
      </w:r>
      <w:r w:rsidR="00EE558C">
        <w:instrText>ADDIN RW.CITE{{24791 Carter,A.B. 2016}}</w:instrText>
      </w:r>
      <w:r>
        <w:fldChar w:fldCharType="separate"/>
      </w:r>
      <w:r w:rsidR="00EE558C" w:rsidRPr="00EE558C">
        <w:rPr>
          <w:rFonts w:cs="Arial"/>
          <w:vertAlign w:val="superscript"/>
        </w:rPr>
        <w:t>12</w:t>
      </w:r>
      <w:r>
        <w:fldChar w:fldCharType="end"/>
      </w:r>
      <w:r>
        <w:t xml:space="preserve"> also provides Geographic Information System layers of seagrass information in the Great Barrier Reef World Heritage Area. </w:t>
      </w:r>
    </w:p>
    <w:p w14:paraId="39000621" w14:textId="16931CD1" w:rsidR="008F439F" w:rsidRPr="000F55B8" w:rsidRDefault="008F439F" w:rsidP="00331A31">
      <w:pPr>
        <w:pStyle w:val="BodyTextNumbering"/>
        <w:numPr>
          <w:ilvl w:val="0"/>
          <w:numId w:val="9"/>
        </w:numPr>
        <w:spacing w:before="120"/>
        <w:rPr>
          <w:rFonts w:cs="Arial"/>
          <w:szCs w:val="20"/>
        </w:rPr>
      </w:pPr>
      <w:r w:rsidRPr="006903B5">
        <w:rPr>
          <w:rFonts w:eastAsia="Calibri" w:cs="Arial"/>
          <w:szCs w:val="20"/>
        </w:rPr>
        <w:t xml:space="preserve">The </w:t>
      </w:r>
      <w:r>
        <w:rPr>
          <w:rFonts w:eastAsia="Calibri" w:cs="Arial"/>
          <w:szCs w:val="20"/>
        </w:rPr>
        <w:t xml:space="preserve">abundance, condition and resilience of deep </w:t>
      </w:r>
      <w:r w:rsidRPr="006903B5">
        <w:rPr>
          <w:rFonts w:eastAsia="Calibri" w:cs="Arial"/>
          <w:szCs w:val="20"/>
        </w:rPr>
        <w:t xml:space="preserve">water seagrass meadows </w:t>
      </w:r>
      <w:r>
        <w:rPr>
          <w:rFonts w:eastAsia="Calibri" w:cs="Arial"/>
          <w:szCs w:val="20"/>
        </w:rPr>
        <w:t>is not well studied</w:t>
      </w:r>
      <w:r w:rsidRPr="006903B5">
        <w:rPr>
          <w:rFonts w:eastAsia="Calibri" w:cs="Arial"/>
          <w:szCs w:val="20"/>
        </w:rPr>
        <w:t>, and few are routinely monitored.</w:t>
      </w:r>
      <w:r>
        <w:rPr>
          <w:rFonts w:eastAsia="Calibri" w:cs="Arial"/>
          <w:szCs w:val="20"/>
        </w:rPr>
        <w:t xml:space="preserve"> </w:t>
      </w:r>
      <w:r w:rsidRPr="000F55B8">
        <w:rPr>
          <w:rFonts w:eastAsia="Calibri" w:cs="Arial"/>
          <w:szCs w:val="20"/>
        </w:rPr>
        <w:t xml:space="preserve">A recent study by </w:t>
      </w:r>
      <w:hyperlink r:id="rId15" w:history="1">
        <w:r w:rsidRPr="000F55B8">
          <w:rPr>
            <w:rStyle w:val="Hyperlink"/>
            <w:rFonts w:eastAsia="Calibri" w:cs="Arial"/>
            <w:szCs w:val="20"/>
          </w:rPr>
          <w:t xml:space="preserve">Chartand </w:t>
        </w:r>
        <w:r w:rsidRPr="00100B10">
          <w:rPr>
            <w:rStyle w:val="Hyperlink"/>
            <w:rFonts w:eastAsia="Calibri" w:cs="Arial"/>
            <w:i/>
            <w:szCs w:val="20"/>
          </w:rPr>
          <w:t>et al.</w:t>
        </w:r>
        <w:r w:rsidRPr="000F55B8">
          <w:rPr>
            <w:rStyle w:val="Hyperlink"/>
            <w:rFonts w:eastAsia="Calibri" w:cs="Arial"/>
            <w:szCs w:val="20"/>
          </w:rPr>
          <w:t xml:space="preserve"> 2017</w:t>
        </w:r>
      </w:hyperlink>
      <w:r w:rsidRPr="000F55B8">
        <w:rPr>
          <w:rFonts w:eastAsia="Calibri" w:cs="Arial"/>
          <w:szCs w:val="20"/>
        </w:rPr>
        <w:fldChar w:fldCharType="begin"/>
      </w:r>
      <w:r>
        <w:rPr>
          <w:rFonts w:eastAsia="Calibri" w:cs="Arial"/>
          <w:szCs w:val="20"/>
        </w:rPr>
        <w:instrText>ADDIN RW.CITE{{25507 Chartrand,K.M. 2017}}</w:instrText>
      </w:r>
      <w:r w:rsidRPr="000F55B8">
        <w:rPr>
          <w:rFonts w:eastAsia="Calibri" w:cs="Arial"/>
          <w:szCs w:val="20"/>
        </w:rPr>
        <w:fldChar w:fldCharType="separate"/>
      </w:r>
      <w:r w:rsidRPr="00EE558C">
        <w:rPr>
          <w:rFonts w:eastAsia="Calibri" w:cs="Arial"/>
          <w:szCs w:val="20"/>
          <w:vertAlign w:val="superscript"/>
        </w:rPr>
        <w:t>10</w:t>
      </w:r>
      <w:r w:rsidRPr="000F55B8">
        <w:rPr>
          <w:rFonts w:eastAsia="Calibri" w:cs="Arial"/>
          <w:szCs w:val="20"/>
        </w:rPr>
        <w:fldChar w:fldCharType="end"/>
      </w:r>
      <w:r w:rsidRPr="000F55B8">
        <w:rPr>
          <w:rFonts w:eastAsia="Calibri" w:cs="Arial"/>
          <w:szCs w:val="20"/>
        </w:rPr>
        <w:t xml:space="preserve"> does provides insight into the light requirements, seasonal change and recruitment strategies of deep water seagrasses in the Marine Park. </w:t>
      </w:r>
    </w:p>
    <w:p w14:paraId="02CFAFF6" w14:textId="15CFC0CE" w:rsidR="00BC0759" w:rsidRPr="00BC0759" w:rsidRDefault="00E348A0" w:rsidP="00331A31">
      <w:pPr>
        <w:pStyle w:val="BodyTextNumbering"/>
        <w:numPr>
          <w:ilvl w:val="0"/>
          <w:numId w:val="9"/>
        </w:numPr>
        <w:spacing w:before="120"/>
        <w:rPr>
          <w:rFonts w:eastAsia="Calibri" w:cs="Arial"/>
          <w:szCs w:val="20"/>
        </w:rPr>
      </w:pPr>
      <w:r w:rsidRPr="009F28E4">
        <w:rPr>
          <w:rFonts w:eastAsia="Calibri"/>
        </w:rPr>
        <w:t xml:space="preserve">Species composition of the seagrass </w:t>
      </w:r>
      <w:r>
        <w:rPr>
          <w:rFonts w:eastAsia="Calibri"/>
        </w:rPr>
        <w:t xml:space="preserve">meadows </w:t>
      </w:r>
      <w:r w:rsidRPr="009F28E4">
        <w:rPr>
          <w:rFonts w:eastAsia="Calibri"/>
        </w:rPr>
        <w:t>influence</w:t>
      </w:r>
      <w:r>
        <w:rPr>
          <w:rFonts w:eastAsia="Calibri"/>
        </w:rPr>
        <w:t>s</w:t>
      </w:r>
      <w:r w:rsidRPr="009F28E4">
        <w:rPr>
          <w:rFonts w:eastAsia="Calibri"/>
        </w:rPr>
        <w:t xml:space="preserve"> the resilience </w:t>
      </w:r>
      <w:r>
        <w:rPr>
          <w:rFonts w:eastAsia="Calibri"/>
        </w:rPr>
        <w:t xml:space="preserve">of the ecosystem </w:t>
      </w:r>
      <w:r w:rsidRPr="009F28E4">
        <w:rPr>
          <w:rFonts w:eastAsia="Calibri"/>
        </w:rPr>
        <w:t xml:space="preserve">to pressures and hazards. </w:t>
      </w:r>
      <w:r w:rsidRPr="00E348A0">
        <w:rPr>
          <w:rFonts w:eastAsia="Calibri" w:cs="Arial"/>
          <w:szCs w:val="20"/>
        </w:rPr>
        <w:t xml:space="preserve">The traits of seagrass species are colonising, opportunistic and/or persistent and vary in </w:t>
      </w:r>
      <w:r w:rsidRPr="00E348A0">
        <w:rPr>
          <w:rFonts w:eastAsia="Calibri" w:cs="Arial"/>
          <w:szCs w:val="20"/>
        </w:rPr>
        <w:lastRenderedPageBreak/>
        <w:t>their sensitivity to disturbances.</w:t>
      </w:r>
      <w:r w:rsidRPr="00E348A0">
        <w:rPr>
          <w:rFonts w:eastAsia="Calibri" w:cs="Arial"/>
          <w:szCs w:val="20"/>
        </w:rPr>
        <w:fldChar w:fldCharType="begin"/>
      </w:r>
      <w:r w:rsidR="00EE558C">
        <w:rPr>
          <w:rFonts w:eastAsia="Calibri" w:cs="Arial"/>
          <w:szCs w:val="20"/>
        </w:rPr>
        <w:instrText>ADDIN RW.CITE{{25505 Kilminster,K. 2015}}</w:instrText>
      </w:r>
      <w:r w:rsidRPr="00E348A0">
        <w:rPr>
          <w:rFonts w:eastAsia="Calibri" w:cs="Arial"/>
          <w:szCs w:val="20"/>
        </w:rPr>
        <w:fldChar w:fldCharType="separate"/>
      </w:r>
      <w:r w:rsidR="00EE558C" w:rsidRPr="00EE558C">
        <w:rPr>
          <w:rFonts w:eastAsia="Calibri" w:cs="Arial"/>
          <w:szCs w:val="20"/>
          <w:vertAlign w:val="superscript"/>
        </w:rPr>
        <w:t>13</w:t>
      </w:r>
      <w:r w:rsidRPr="00E348A0">
        <w:rPr>
          <w:rFonts w:eastAsia="Calibri" w:cs="Arial"/>
          <w:szCs w:val="20"/>
        </w:rPr>
        <w:fldChar w:fldCharType="end"/>
      </w:r>
      <w:r w:rsidRPr="00E348A0">
        <w:rPr>
          <w:rFonts w:eastAsia="Calibri" w:cs="Arial"/>
          <w:szCs w:val="20"/>
        </w:rPr>
        <w:t xml:space="preserve">  </w:t>
      </w:r>
      <w:r w:rsidRPr="009F28E4">
        <w:rPr>
          <w:rFonts w:cs="Arial"/>
          <w:color w:val="auto"/>
          <w:szCs w:val="20"/>
        </w:rPr>
        <w:t>S</w:t>
      </w:r>
      <w:r w:rsidRPr="009F28E4">
        <w:rPr>
          <w:rFonts w:eastAsia="Calibri"/>
        </w:rPr>
        <w:t xml:space="preserve">ome species are more resilient to stress than others and if present </w:t>
      </w:r>
      <w:r>
        <w:rPr>
          <w:rFonts w:eastAsia="Calibri"/>
        </w:rPr>
        <w:t>may recover slowly</w:t>
      </w:r>
      <w:r w:rsidRPr="009F28E4">
        <w:rPr>
          <w:rFonts w:eastAsia="Calibri"/>
        </w:rPr>
        <w:t>, whilst other species have the ability to recover rapidly, colonis</w:t>
      </w:r>
      <w:r w:rsidR="00BA4B3F">
        <w:rPr>
          <w:rFonts w:eastAsia="Calibri"/>
        </w:rPr>
        <w:t>ing</w:t>
      </w:r>
      <w:r w:rsidRPr="009F28E4">
        <w:rPr>
          <w:rFonts w:eastAsia="Calibri"/>
        </w:rPr>
        <w:t xml:space="preserve"> an area and</w:t>
      </w:r>
      <w:r>
        <w:rPr>
          <w:rFonts w:eastAsia="Calibri"/>
        </w:rPr>
        <w:t xml:space="preserve"> </w:t>
      </w:r>
      <w:r w:rsidR="00BA4B3F">
        <w:rPr>
          <w:rFonts w:eastAsia="Calibri"/>
        </w:rPr>
        <w:t xml:space="preserve">begin regenerating </w:t>
      </w:r>
      <w:r w:rsidRPr="009F28E4">
        <w:rPr>
          <w:rFonts w:eastAsia="Calibri"/>
        </w:rPr>
        <w:t>the meadow.</w:t>
      </w:r>
      <w:r>
        <w:rPr>
          <w:rFonts w:eastAsia="Calibri"/>
        </w:rPr>
        <w:fldChar w:fldCharType="begin"/>
      </w:r>
      <w:r w:rsidR="00EE558C">
        <w:rPr>
          <w:rFonts w:eastAsia="Calibri"/>
        </w:rPr>
        <w:instrText>ADDIN RW.CITE{{24291 McKenzie,L.J. 2016}}</w:instrText>
      </w:r>
      <w:r>
        <w:rPr>
          <w:rFonts w:eastAsia="Calibri"/>
        </w:rPr>
        <w:fldChar w:fldCharType="separate"/>
      </w:r>
      <w:r w:rsidR="00EE558C" w:rsidRPr="00EE558C">
        <w:rPr>
          <w:rFonts w:eastAsia="Calibri" w:cs="Arial"/>
          <w:vertAlign w:val="superscript"/>
        </w:rPr>
        <w:t>14</w:t>
      </w:r>
      <w:r>
        <w:rPr>
          <w:rFonts w:eastAsia="Calibri"/>
        </w:rPr>
        <w:fldChar w:fldCharType="end"/>
      </w:r>
      <w:r>
        <w:t xml:space="preserve"> </w:t>
      </w:r>
      <w:hyperlink r:id="rId16" w:history="1">
        <w:r w:rsidR="00D87218" w:rsidRPr="00D87218">
          <w:rPr>
            <w:rStyle w:val="Hyperlink"/>
            <w:rFonts w:cs="Arial"/>
            <w:szCs w:val="20"/>
          </w:rPr>
          <w:t xml:space="preserve">Collier </w:t>
        </w:r>
        <w:r w:rsidR="00D87218" w:rsidRPr="00D87218">
          <w:rPr>
            <w:rStyle w:val="Hyperlink"/>
            <w:rFonts w:cs="Arial"/>
            <w:i/>
            <w:szCs w:val="20"/>
          </w:rPr>
          <w:t>et al.</w:t>
        </w:r>
        <w:r w:rsidR="00D87218" w:rsidRPr="00D87218">
          <w:rPr>
            <w:rStyle w:val="Hyperlink"/>
            <w:rFonts w:cs="Arial"/>
            <w:szCs w:val="20"/>
          </w:rPr>
          <w:t xml:space="preserve"> 2016</w:t>
        </w:r>
      </w:hyperlink>
      <w:r w:rsidR="00D87218" w:rsidRPr="00D87218">
        <w:rPr>
          <w:rFonts w:cs="Arial"/>
          <w:color w:val="auto"/>
          <w:szCs w:val="20"/>
        </w:rPr>
        <w:fldChar w:fldCharType="begin"/>
      </w:r>
      <w:r w:rsidR="00EE558C">
        <w:rPr>
          <w:rFonts w:cs="Arial"/>
          <w:color w:val="auto"/>
          <w:szCs w:val="20"/>
        </w:rPr>
        <w:instrText>ADDIN RW.CITE{{24585 Collier,C. 2016}}</w:instrText>
      </w:r>
      <w:r w:rsidR="00D87218" w:rsidRPr="00D87218">
        <w:rPr>
          <w:rFonts w:cs="Arial"/>
          <w:color w:val="auto"/>
          <w:szCs w:val="20"/>
        </w:rPr>
        <w:fldChar w:fldCharType="separate"/>
      </w:r>
      <w:r w:rsidR="00EE558C" w:rsidRPr="00EE558C">
        <w:rPr>
          <w:rFonts w:cs="Arial"/>
          <w:color w:val="auto"/>
          <w:szCs w:val="20"/>
          <w:vertAlign w:val="superscript"/>
        </w:rPr>
        <w:t>15</w:t>
      </w:r>
      <w:r w:rsidR="00D87218" w:rsidRPr="00D87218">
        <w:rPr>
          <w:rFonts w:cs="Arial"/>
          <w:color w:val="auto"/>
          <w:szCs w:val="20"/>
        </w:rPr>
        <w:fldChar w:fldCharType="end"/>
      </w:r>
      <w:r w:rsidR="00D87218" w:rsidRPr="00D87218">
        <w:rPr>
          <w:rFonts w:cs="Arial"/>
          <w:color w:val="auto"/>
          <w:szCs w:val="20"/>
        </w:rPr>
        <w:t xml:space="preserve"> </w:t>
      </w:r>
      <w:r w:rsidR="00D87218">
        <w:rPr>
          <w:rFonts w:cs="Arial"/>
          <w:color w:val="auto"/>
          <w:szCs w:val="20"/>
        </w:rPr>
        <w:t xml:space="preserve">(Figure 2) </w:t>
      </w:r>
      <w:r w:rsidR="00D87218" w:rsidRPr="00D87218">
        <w:rPr>
          <w:rFonts w:cs="Arial"/>
          <w:color w:val="auto"/>
          <w:szCs w:val="20"/>
        </w:rPr>
        <w:t xml:space="preserve">provides a diagram of dominant traits of seagrass </w:t>
      </w:r>
      <w:r w:rsidR="00D87218" w:rsidRPr="000F55B8">
        <w:rPr>
          <w:rFonts w:cs="Arial"/>
          <w:color w:val="auto"/>
          <w:szCs w:val="20"/>
        </w:rPr>
        <w:t xml:space="preserve">species and their sensitivity to disturbances and </w:t>
      </w:r>
      <w:hyperlink r:id="rId17" w:history="1">
        <w:r w:rsidR="00D87218" w:rsidRPr="000F55B8">
          <w:rPr>
            <w:rStyle w:val="Hyperlink"/>
            <w:rFonts w:eastAsia="Calibri"/>
          </w:rPr>
          <w:t xml:space="preserve">McKenzie </w:t>
        </w:r>
        <w:r w:rsidR="00D87218" w:rsidRPr="000F55B8">
          <w:rPr>
            <w:rStyle w:val="Hyperlink"/>
            <w:rFonts w:eastAsia="Calibri"/>
            <w:i/>
          </w:rPr>
          <w:t>et al.</w:t>
        </w:r>
        <w:r w:rsidR="00D87218" w:rsidRPr="000F55B8">
          <w:rPr>
            <w:rStyle w:val="Hyperlink"/>
            <w:rFonts w:eastAsia="Calibri"/>
          </w:rPr>
          <w:t xml:space="preserve"> 2016</w:t>
        </w:r>
      </w:hyperlink>
      <w:r w:rsidR="00D87218" w:rsidRPr="000F55B8">
        <w:rPr>
          <w:rFonts w:eastAsia="Calibri"/>
        </w:rPr>
        <w:fldChar w:fldCharType="begin"/>
      </w:r>
      <w:r w:rsidR="00EE558C">
        <w:rPr>
          <w:rFonts w:eastAsia="Calibri"/>
        </w:rPr>
        <w:instrText>ADDIN RW.CITE{{24291 McKenzie,L.J. 2016}}</w:instrText>
      </w:r>
      <w:r w:rsidR="00D87218" w:rsidRPr="000F55B8">
        <w:rPr>
          <w:rFonts w:eastAsia="Calibri"/>
        </w:rPr>
        <w:fldChar w:fldCharType="separate"/>
      </w:r>
      <w:r w:rsidR="00EE558C" w:rsidRPr="00EE558C">
        <w:rPr>
          <w:rFonts w:eastAsia="Calibri" w:cs="Arial"/>
          <w:vertAlign w:val="superscript"/>
        </w:rPr>
        <w:t>14</w:t>
      </w:r>
      <w:r w:rsidR="00D87218" w:rsidRPr="000F55B8">
        <w:rPr>
          <w:rFonts w:eastAsia="Calibri"/>
        </w:rPr>
        <w:fldChar w:fldCharType="end"/>
      </w:r>
      <w:r w:rsidR="00D87218" w:rsidRPr="000F55B8">
        <w:rPr>
          <w:rFonts w:eastAsia="Calibri"/>
        </w:rPr>
        <w:t xml:space="preserve"> (Figure 3) illustrates seagrass recovery after loss and the </w:t>
      </w:r>
      <w:r w:rsidR="00E612C8" w:rsidRPr="000F55B8">
        <w:rPr>
          <w:rFonts w:eastAsia="Calibri"/>
        </w:rPr>
        <w:t>colonisation of</w:t>
      </w:r>
      <w:r w:rsidR="00D87218" w:rsidRPr="000F55B8">
        <w:rPr>
          <w:rFonts w:eastAsia="Calibri"/>
        </w:rPr>
        <w:t xml:space="preserve"> species over time for different habitat types.</w:t>
      </w:r>
    </w:p>
    <w:p w14:paraId="39769086" w14:textId="749E18E7" w:rsidR="000D30B5" w:rsidRPr="00AA74A4" w:rsidRDefault="000D30B5" w:rsidP="00331A31">
      <w:pPr>
        <w:pStyle w:val="BodyTextNumbering"/>
        <w:numPr>
          <w:ilvl w:val="0"/>
          <w:numId w:val="9"/>
        </w:numPr>
        <w:spacing w:before="120"/>
        <w:rPr>
          <w:rFonts w:eastAsia="Calibri" w:cs="Arial"/>
          <w:szCs w:val="20"/>
        </w:rPr>
      </w:pPr>
      <w:r w:rsidRPr="00193581">
        <w:rPr>
          <w:rFonts w:eastAsia="Calibri" w:cs="Arial"/>
          <w:szCs w:val="20"/>
        </w:rPr>
        <w:t xml:space="preserve">Generally the growth rate of seagrasses in the </w:t>
      </w:r>
      <w:r>
        <w:rPr>
          <w:rFonts w:eastAsia="Calibri" w:cs="Arial"/>
          <w:szCs w:val="20"/>
        </w:rPr>
        <w:t>Marine Park</w:t>
      </w:r>
      <w:r w:rsidRPr="00193581">
        <w:rPr>
          <w:rFonts w:eastAsia="Calibri" w:cs="Arial"/>
          <w:szCs w:val="20"/>
        </w:rPr>
        <w:t xml:space="preserve"> is seasonally-dependent. The high-growth season is from June to </w:t>
      </w:r>
      <w:r>
        <w:rPr>
          <w:rFonts w:eastAsia="Calibri" w:cs="Arial"/>
          <w:szCs w:val="20"/>
        </w:rPr>
        <w:t>December</w:t>
      </w:r>
      <w:r w:rsidRPr="00193581">
        <w:rPr>
          <w:rFonts w:eastAsia="Calibri" w:cs="Arial"/>
          <w:szCs w:val="20"/>
        </w:rPr>
        <w:t xml:space="preserve">, with growth (both biomass and cover) peaking </w:t>
      </w:r>
      <w:r>
        <w:rPr>
          <w:rFonts w:eastAsia="Calibri" w:cs="Arial"/>
          <w:szCs w:val="20"/>
        </w:rPr>
        <w:t>September to</w:t>
      </w:r>
      <w:r w:rsidRPr="00193581">
        <w:rPr>
          <w:rFonts w:eastAsia="Calibri" w:cs="Arial"/>
          <w:szCs w:val="20"/>
        </w:rPr>
        <w:t xml:space="preserve"> early </w:t>
      </w:r>
      <w:r>
        <w:rPr>
          <w:rFonts w:eastAsia="Calibri" w:cs="Arial"/>
          <w:szCs w:val="20"/>
        </w:rPr>
        <w:t>December</w:t>
      </w:r>
      <w:r w:rsidRPr="00193581">
        <w:rPr>
          <w:rFonts w:eastAsia="Calibri" w:cs="Arial"/>
          <w:szCs w:val="20"/>
        </w:rPr>
        <w:t xml:space="preserve">. </w:t>
      </w:r>
      <w:r>
        <w:rPr>
          <w:rFonts w:eastAsia="Calibri" w:cs="Arial"/>
          <w:szCs w:val="20"/>
        </w:rPr>
        <w:t>In December to January</w:t>
      </w:r>
      <w:r w:rsidRPr="00193581">
        <w:rPr>
          <w:rFonts w:eastAsia="Calibri" w:cs="Arial"/>
          <w:szCs w:val="20"/>
        </w:rPr>
        <w:t xml:space="preserve">, conditions generally become less favourable and growth slows, leading into the wet season </w:t>
      </w:r>
      <w:r>
        <w:rPr>
          <w:rFonts w:eastAsia="Calibri" w:cs="Arial"/>
          <w:szCs w:val="20"/>
        </w:rPr>
        <w:t>(February to April)</w:t>
      </w:r>
      <w:r w:rsidRPr="00193581">
        <w:rPr>
          <w:rFonts w:eastAsia="Calibri" w:cs="Arial"/>
          <w:szCs w:val="20"/>
        </w:rPr>
        <w:t xml:space="preserve"> when conditions can become unfavourable for growth (depending on the severity of the wet season) and growth can even cease, </w:t>
      </w:r>
      <w:r>
        <w:rPr>
          <w:rFonts w:eastAsia="Calibri" w:cs="Arial"/>
          <w:szCs w:val="20"/>
        </w:rPr>
        <w:t xml:space="preserve">sometimes </w:t>
      </w:r>
      <w:r w:rsidRPr="00193581">
        <w:rPr>
          <w:rFonts w:eastAsia="Calibri" w:cs="Arial"/>
          <w:szCs w:val="20"/>
        </w:rPr>
        <w:t>resulting in losses of whole meadows</w:t>
      </w:r>
      <w:r>
        <w:rPr>
          <w:rFonts w:eastAsia="Calibri" w:cs="Arial"/>
          <w:szCs w:val="20"/>
        </w:rPr>
        <w:t>.</w:t>
      </w:r>
      <w:r w:rsidR="00712AC2">
        <w:rPr>
          <w:rFonts w:eastAsia="Calibri" w:cs="Arial"/>
          <w:szCs w:val="20"/>
        </w:rPr>
        <w:t xml:space="preserve"> </w:t>
      </w:r>
      <w:r w:rsidR="00712AC2" w:rsidRPr="00AA74A4">
        <w:rPr>
          <w:rFonts w:eastAsia="Calibri" w:cs="Arial"/>
          <w:szCs w:val="20"/>
        </w:rPr>
        <w:t xml:space="preserve">Recovery of seagrass meadows can take more than a decade, and is reliant on good conditions in future seasons. </w:t>
      </w:r>
    </w:p>
    <w:p w14:paraId="1493330F" w14:textId="77777777" w:rsidR="004770A9" w:rsidRPr="006903B5" w:rsidRDefault="00E70DF4" w:rsidP="00331A31">
      <w:pPr>
        <w:pStyle w:val="BodyTextNumbering"/>
        <w:numPr>
          <w:ilvl w:val="0"/>
          <w:numId w:val="23"/>
        </w:numPr>
        <w:spacing w:before="120"/>
        <w:rPr>
          <w:rFonts w:eastAsia="Calibri" w:cs="Arial"/>
          <w:szCs w:val="20"/>
        </w:rPr>
      </w:pPr>
      <w:r>
        <w:rPr>
          <w:rFonts w:eastAsia="Calibri" w:cs="Arial"/>
          <w:szCs w:val="20"/>
        </w:rPr>
        <w:t>Seagrass health is dependent on a number of factors</w:t>
      </w:r>
      <w:r w:rsidR="004770A9" w:rsidRPr="006903B5">
        <w:rPr>
          <w:rFonts w:eastAsia="Calibri" w:cs="Arial"/>
          <w:szCs w:val="20"/>
        </w:rPr>
        <w:t>:</w:t>
      </w:r>
    </w:p>
    <w:p w14:paraId="6E1A79C6" w14:textId="5D6C28DD" w:rsidR="004770A9" w:rsidRPr="00E46A81" w:rsidRDefault="00511304" w:rsidP="00331A31">
      <w:pPr>
        <w:pStyle w:val="BodyTextNumbering"/>
        <w:numPr>
          <w:ilvl w:val="0"/>
          <w:numId w:val="27"/>
        </w:numPr>
        <w:spacing w:before="0"/>
        <w:rPr>
          <w:rFonts w:eastAsia="Calibri" w:cs="Arial"/>
          <w:szCs w:val="20"/>
        </w:rPr>
      </w:pPr>
      <w:r>
        <w:rPr>
          <w:rFonts w:eastAsia="Calibri" w:cs="Arial"/>
          <w:szCs w:val="20"/>
        </w:rPr>
        <w:t>s</w:t>
      </w:r>
      <w:r w:rsidR="004770A9" w:rsidRPr="006903B5">
        <w:rPr>
          <w:rFonts w:eastAsia="Calibri" w:cs="Arial"/>
          <w:szCs w:val="20"/>
        </w:rPr>
        <w:t>uitable light</w:t>
      </w:r>
      <w:r w:rsidR="004770A9">
        <w:rPr>
          <w:rFonts w:eastAsia="Calibri" w:cs="Arial"/>
          <w:szCs w:val="20"/>
        </w:rPr>
        <w:t xml:space="preserve"> - </w:t>
      </w:r>
      <w:r w:rsidR="00503340">
        <w:rPr>
          <w:rFonts w:eastAsia="Calibri" w:cs="Arial"/>
          <w:szCs w:val="20"/>
        </w:rPr>
        <w:t>light is the primary driver for seagrass growth</w:t>
      </w:r>
      <w:r w:rsidR="006868E7">
        <w:rPr>
          <w:rFonts w:eastAsia="Calibri" w:cs="Arial"/>
          <w:szCs w:val="20"/>
        </w:rPr>
        <w:fldChar w:fldCharType="begin"/>
      </w:r>
      <w:r w:rsidR="00EE558C">
        <w:rPr>
          <w:rFonts w:eastAsia="Calibri" w:cs="Arial"/>
          <w:szCs w:val="20"/>
        </w:rPr>
        <w:instrText>ADDIN RW.CITE{{3562 Collier,C. 2009}}</w:instrText>
      </w:r>
      <w:r w:rsidR="006868E7">
        <w:rPr>
          <w:rFonts w:eastAsia="Calibri" w:cs="Arial"/>
          <w:szCs w:val="20"/>
        </w:rPr>
        <w:fldChar w:fldCharType="separate"/>
      </w:r>
      <w:r w:rsidR="00EE558C" w:rsidRPr="00EE558C">
        <w:rPr>
          <w:rFonts w:eastAsia="Calibri" w:cs="Arial"/>
          <w:szCs w:val="20"/>
          <w:vertAlign w:val="superscript"/>
        </w:rPr>
        <w:t>2</w:t>
      </w:r>
      <w:r w:rsidR="006868E7">
        <w:rPr>
          <w:rFonts w:eastAsia="Calibri" w:cs="Arial"/>
          <w:szCs w:val="20"/>
        </w:rPr>
        <w:fldChar w:fldCharType="end"/>
      </w:r>
    </w:p>
    <w:p w14:paraId="08BE8B08" w14:textId="77777777" w:rsidR="004770A9" w:rsidRPr="006903B5" w:rsidRDefault="00511304" w:rsidP="00331A31">
      <w:pPr>
        <w:pStyle w:val="BodyTextNumbering"/>
        <w:numPr>
          <w:ilvl w:val="0"/>
          <w:numId w:val="27"/>
        </w:numPr>
        <w:spacing w:before="0"/>
        <w:rPr>
          <w:rFonts w:eastAsia="Calibri" w:cs="Arial"/>
          <w:szCs w:val="20"/>
        </w:rPr>
      </w:pPr>
      <w:r>
        <w:rPr>
          <w:rFonts w:eastAsia="Calibri" w:cs="Arial"/>
          <w:szCs w:val="20"/>
        </w:rPr>
        <w:t>s</w:t>
      </w:r>
      <w:r w:rsidR="004770A9" w:rsidRPr="006903B5">
        <w:rPr>
          <w:rFonts w:eastAsia="Calibri" w:cs="Arial"/>
          <w:szCs w:val="20"/>
        </w:rPr>
        <w:t>ediment</w:t>
      </w:r>
      <w:r w:rsidR="004770A9">
        <w:rPr>
          <w:rFonts w:eastAsia="Calibri" w:cs="Arial"/>
          <w:szCs w:val="20"/>
        </w:rPr>
        <w:t xml:space="preserve"> of suitable depth and stability to anchor roots</w:t>
      </w:r>
      <w:r w:rsidR="00FD0C7B">
        <w:rPr>
          <w:rFonts w:eastAsia="Calibri" w:cs="Arial"/>
          <w:szCs w:val="20"/>
        </w:rPr>
        <w:t xml:space="preserve"> and rhizomes</w:t>
      </w:r>
    </w:p>
    <w:p w14:paraId="10E86D2D" w14:textId="77777777" w:rsidR="004770A9" w:rsidRPr="006903B5" w:rsidRDefault="00511304" w:rsidP="00331A31">
      <w:pPr>
        <w:pStyle w:val="BodyTextNumbering"/>
        <w:numPr>
          <w:ilvl w:val="0"/>
          <w:numId w:val="27"/>
        </w:numPr>
        <w:spacing w:before="0"/>
        <w:rPr>
          <w:rFonts w:eastAsia="Calibri" w:cs="Arial"/>
          <w:szCs w:val="20"/>
        </w:rPr>
      </w:pPr>
      <w:r>
        <w:rPr>
          <w:rFonts w:eastAsia="Calibri" w:cs="Arial"/>
          <w:szCs w:val="20"/>
        </w:rPr>
        <w:t>a</w:t>
      </w:r>
      <w:r w:rsidR="004770A9">
        <w:rPr>
          <w:rFonts w:eastAsia="Calibri" w:cs="Arial"/>
          <w:szCs w:val="20"/>
        </w:rPr>
        <w:t>ppropriate s</w:t>
      </w:r>
      <w:r w:rsidR="004770A9" w:rsidRPr="006903B5">
        <w:rPr>
          <w:rFonts w:eastAsia="Calibri" w:cs="Arial"/>
          <w:szCs w:val="20"/>
        </w:rPr>
        <w:t>alinity and temperature ranges</w:t>
      </w:r>
    </w:p>
    <w:p w14:paraId="3FB124D3" w14:textId="77777777" w:rsidR="004770A9" w:rsidRPr="006903B5" w:rsidRDefault="00FD0C7B" w:rsidP="00331A31">
      <w:pPr>
        <w:pStyle w:val="BodyTextNumbering"/>
        <w:numPr>
          <w:ilvl w:val="0"/>
          <w:numId w:val="27"/>
        </w:numPr>
        <w:spacing w:before="0"/>
        <w:rPr>
          <w:rFonts w:eastAsia="Calibri" w:cs="Arial"/>
          <w:szCs w:val="20"/>
        </w:rPr>
      </w:pPr>
      <w:r>
        <w:rPr>
          <w:rFonts w:eastAsia="Calibri" w:cs="Arial"/>
          <w:szCs w:val="20"/>
        </w:rPr>
        <w:t>suitable nutrient levels</w:t>
      </w:r>
    </w:p>
    <w:p w14:paraId="208A2FBD" w14:textId="0E6912F5" w:rsidR="00E001D3" w:rsidRDefault="00E001D3" w:rsidP="00331A31">
      <w:pPr>
        <w:pStyle w:val="BodyTextNumbering"/>
        <w:numPr>
          <w:ilvl w:val="0"/>
          <w:numId w:val="27"/>
        </w:numPr>
        <w:spacing w:before="0"/>
        <w:rPr>
          <w:rFonts w:eastAsia="Calibri" w:cs="Arial"/>
          <w:szCs w:val="20"/>
        </w:rPr>
      </w:pPr>
      <w:r>
        <w:rPr>
          <w:rFonts w:eastAsia="Calibri" w:cs="Arial"/>
          <w:szCs w:val="20"/>
        </w:rPr>
        <w:t>health and availability of propagules</w:t>
      </w:r>
      <w:r w:rsidRPr="00CA7733">
        <w:rPr>
          <w:rFonts w:eastAsia="Calibri" w:cs="Arial"/>
          <w:szCs w:val="20"/>
        </w:rPr>
        <w:t xml:space="preserve"> </w:t>
      </w:r>
      <w:r>
        <w:rPr>
          <w:rFonts w:eastAsia="Calibri" w:cs="Arial"/>
          <w:szCs w:val="20"/>
        </w:rPr>
        <w:t>(</w:t>
      </w:r>
      <w:r w:rsidRPr="00CA7733">
        <w:rPr>
          <w:color w:val="000000"/>
          <w:shd w:val="clear" w:color="auto" w:fill="FFFFFF" w:themeFill="background1"/>
        </w:rPr>
        <w:t>roots, shoots and seeds)</w:t>
      </w:r>
      <w:r w:rsidRPr="00CA7733">
        <w:rPr>
          <w:rFonts w:ascii="Verdana" w:hAnsi="Verdana"/>
          <w:color w:val="000000"/>
          <w:sz w:val="19"/>
          <w:shd w:val="clear" w:color="auto" w:fill="FFFFFF" w:themeFill="background1"/>
        </w:rPr>
        <w:t xml:space="preserve"> </w:t>
      </w:r>
      <w:r w:rsidRPr="00CA7733">
        <w:rPr>
          <w:rFonts w:eastAsia="Calibri"/>
          <w:shd w:val="clear" w:color="auto" w:fill="FFFFFF" w:themeFill="background1"/>
        </w:rPr>
        <w:t>for</w:t>
      </w:r>
      <w:r>
        <w:rPr>
          <w:rFonts w:eastAsia="Calibri" w:cs="Arial"/>
          <w:szCs w:val="20"/>
        </w:rPr>
        <w:t xml:space="preserve"> seasonal and annual recruitment and recovery (seeds and or adult plant population)</w:t>
      </w:r>
    </w:p>
    <w:p w14:paraId="09DE8574" w14:textId="0E0705AB" w:rsidR="004770A9" w:rsidRDefault="00511304" w:rsidP="00331A31">
      <w:pPr>
        <w:pStyle w:val="BodyTextNumbering"/>
        <w:numPr>
          <w:ilvl w:val="0"/>
          <w:numId w:val="27"/>
        </w:numPr>
        <w:spacing w:before="0"/>
        <w:rPr>
          <w:rFonts w:eastAsia="Calibri" w:cs="Arial"/>
          <w:szCs w:val="20"/>
        </w:rPr>
      </w:pPr>
      <w:r>
        <w:rPr>
          <w:rFonts w:eastAsia="Calibri" w:cs="Arial"/>
          <w:szCs w:val="20"/>
        </w:rPr>
        <w:t>m</w:t>
      </w:r>
      <w:r w:rsidR="004770A9" w:rsidRPr="006903B5">
        <w:rPr>
          <w:rFonts w:eastAsia="Calibri" w:cs="Arial"/>
          <w:szCs w:val="20"/>
        </w:rPr>
        <w:t>inima</w:t>
      </w:r>
      <w:r w:rsidR="004467FD">
        <w:rPr>
          <w:rFonts w:eastAsia="Calibri" w:cs="Arial"/>
          <w:szCs w:val="20"/>
        </w:rPr>
        <w:t>l natural and human disturbance</w:t>
      </w:r>
      <w:r w:rsidR="00E001D3">
        <w:rPr>
          <w:rFonts w:eastAsia="Calibri" w:cs="Arial"/>
          <w:szCs w:val="20"/>
        </w:rPr>
        <w:t>.</w:t>
      </w:r>
    </w:p>
    <w:p w14:paraId="2D710015" w14:textId="1692F705" w:rsidR="00C246F3" w:rsidRPr="00C246F3" w:rsidRDefault="000D30B5" w:rsidP="00331A31">
      <w:pPr>
        <w:pStyle w:val="BodyTextNumbering"/>
        <w:numPr>
          <w:ilvl w:val="0"/>
          <w:numId w:val="24"/>
        </w:numPr>
        <w:spacing w:before="120"/>
      </w:pPr>
      <w:r>
        <w:rPr>
          <w:rFonts w:cs="Arial"/>
          <w:szCs w:val="20"/>
        </w:rPr>
        <w:t xml:space="preserve">The </w:t>
      </w:r>
      <w:r w:rsidR="009A72D3">
        <w:rPr>
          <w:rFonts w:cs="Arial"/>
          <w:szCs w:val="20"/>
        </w:rPr>
        <w:t xml:space="preserve">Great Barrier Reef </w:t>
      </w:r>
      <w:r w:rsidR="0055058E">
        <w:rPr>
          <w:rFonts w:cs="Arial"/>
          <w:szCs w:val="20"/>
        </w:rPr>
        <w:t>Ou</w:t>
      </w:r>
      <w:r>
        <w:rPr>
          <w:rFonts w:cs="Arial"/>
          <w:szCs w:val="20"/>
        </w:rPr>
        <w:t xml:space="preserve">tlook Report 2009 </w:t>
      </w:r>
      <w:r w:rsidR="009A72D3">
        <w:rPr>
          <w:rFonts w:cs="Arial"/>
          <w:szCs w:val="20"/>
        </w:rPr>
        <w:t xml:space="preserve">(Outlook Report 2009) </w:t>
      </w:r>
      <w:r>
        <w:rPr>
          <w:rFonts w:cs="Arial"/>
          <w:szCs w:val="20"/>
        </w:rPr>
        <w:t xml:space="preserve">noted the overall area of seagrass meadows was considered relatively stable over the proceeding 20 year period. </w:t>
      </w:r>
      <w:r w:rsidR="0055058E">
        <w:rPr>
          <w:rFonts w:cs="Arial"/>
          <w:szCs w:val="20"/>
        </w:rPr>
        <w:t xml:space="preserve">However, in </w:t>
      </w:r>
      <w:hyperlink r:id="rId18" w:history="1">
        <w:r w:rsidR="009A72D3" w:rsidRPr="002111E7">
          <w:rPr>
            <w:rStyle w:val="Hyperlink"/>
            <w:rFonts w:cs="Arial"/>
            <w:szCs w:val="20"/>
          </w:rPr>
          <w:t>Great Barrier Reef Outlook Report 2014</w:t>
        </w:r>
      </w:hyperlink>
      <w:r w:rsidR="009A72D3">
        <w:rPr>
          <w:rFonts w:cs="Arial"/>
          <w:szCs w:val="20"/>
        </w:rPr>
        <w:t xml:space="preserve"> (Outlook Report 2014) </w:t>
      </w:r>
      <w:r w:rsidR="0055058E">
        <w:rPr>
          <w:rFonts w:cs="Arial"/>
          <w:szCs w:val="20"/>
        </w:rPr>
        <w:t xml:space="preserve">intertidal seagrass meadows declined </w:t>
      </w:r>
      <w:r w:rsidR="00C246F3">
        <w:rPr>
          <w:rFonts w:cs="Arial"/>
          <w:szCs w:val="20"/>
        </w:rPr>
        <w:t xml:space="preserve">in the </w:t>
      </w:r>
      <w:r w:rsidR="0055058E">
        <w:rPr>
          <w:rFonts w:cs="Arial"/>
          <w:szCs w:val="20"/>
        </w:rPr>
        <w:t>central and southern coast. The broad</w:t>
      </w:r>
      <w:r w:rsidR="00712AC2">
        <w:rPr>
          <w:rFonts w:cs="Arial"/>
          <w:szCs w:val="20"/>
        </w:rPr>
        <w:t xml:space="preserve"> </w:t>
      </w:r>
      <w:r w:rsidR="0055058E">
        <w:rPr>
          <w:rFonts w:cs="Arial"/>
          <w:szCs w:val="20"/>
        </w:rPr>
        <w:t xml:space="preserve">scale losses of seagrass </w:t>
      </w:r>
      <w:r w:rsidR="00234050">
        <w:rPr>
          <w:rFonts w:cs="Arial"/>
          <w:szCs w:val="20"/>
        </w:rPr>
        <w:t xml:space="preserve">abundance in the past decade have been primarily due to a number of climatic events, such </w:t>
      </w:r>
      <w:r w:rsidR="00B64018">
        <w:rPr>
          <w:rFonts w:cs="Arial"/>
          <w:szCs w:val="20"/>
        </w:rPr>
        <w:t xml:space="preserve">as widespread rainfall, run-off, and </w:t>
      </w:r>
      <w:r w:rsidR="00234050">
        <w:rPr>
          <w:rFonts w:cs="Arial"/>
          <w:szCs w:val="20"/>
        </w:rPr>
        <w:t xml:space="preserve">extended periods of high cloud cover, as well as </w:t>
      </w:r>
      <w:r w:rsidR="0055058E">
        <w:rPr>
          <w:rFonts w:cs="Arial"/>
          <w:szCs w:val="20"/>
        </w:rPr>
        <w:t>acute disturbances fro</w:t>
      </w:r>
      <w:r w:rsidR="00234050">
        <w:rPr>
          <w:rFonts w:cs="Arial"/>
          <w:szCs w:val="20"/>
        </w:rPr>
        <w:t>m Tropical Cyclone Yasi in 2011 and</w:t>
      </w:r>
      <w:r w:rsidR="00B64018">
        <w:rPr>
          <w:rFonts w:cs="Arial"/>
          <w:szCs w:val="20"/>
        </w:rPr>
        <w:t xml:space="preserve"> chronic impacts</w:t>
      </w:r>
      <w:r w:rsidR="005D7845">
        <w:rPr>
          <w:rFonts w:cs="Arial"/>
          <w:szCs w:val="20"/>
        </w:rPr>
        <w:t>,</w:t>
      </w:r>
      <w:r w:rsidR="00B64018">
        <w:rPr>
          <w:rFonts w:cs="Arial"/>
          <w:szCs w:val="20"/>
        </w:rPr>
        <w:t xml:space="preserve"> </w:t>
      </w:r>
      <w:r w:rsidR="005D7845">
        <w:rPr>
          <w:rFonts w:cs="Arial"/>
          <w:szCs w:val="20"/>
        </w:rPr>
        <w:t>such as poor water quality</w:t>
      </w:r>
      <w:r w:rsidR="0055058E">
        <w:rPr>
          <w:rFonts w:cs="Arial"/>
          <w:szCs w:val="20"/>
        </w:rPr>
        <w:t>.</w:t>
      </w:r>
      <w:r w:rsidR="006D4E24">
        <w:rPr>
          <w:rFonts w:cs="Arial"/>
          <w:szCs w:val="20"/>
        </w:rPr>
        <w:fldChar w:fldCharType="begin"/>
      </w:r>
      <w:r w:rsidR="00EE558C">
        <w:rPr>
          <w:rFonts w:cs="Arial"/>
          <w:szCs w:val="20"/>
        </w:rPr>
        <w:instrText>ADDIN RW.CITE{{24782 Collier,CJ 2016; 24291 McKenzie,L.J. 2016}}</w:instrText>
      </w:r>
      <w:r w:rsidR="006D4E24">
        <w:rPr>
          <w:rFonts w:cs="Arial"/>
          <w:szCs w:val="20"/>
        </w:rPr>
        <w:fldChar w:fldCharType="separate"/>
      </w:r>
      <w:r w:rsidR="00EE558C" w:rsidRPr="00EE558C">
        <w:rPr>
          <w:rFonts w:cs="Arial"/>
          <w:szCs w:val="20"/>
          <w:vertAlign w:val="superscript"/>
        </w:rPr>
        <w:t>14,19</w:t>
      </w:r>
      <w:r w:rsidR="006D4E24">
        <w:rPr>
          <w:rFonts w:cs="Arial"/>
          <w:szCs w:val="20"/>
        </w:rPr>
        <w:fldChar w:fldCharType="end"/>
      </w:r>
      <w:r w:rsidR="00A62014">
        <w:rPr>
          <w:rFonts w:cs="Arial"/>
          <w:szCs w:val="20"/>
        </w:rPr>
        <w:t xml:space="preserve"> </w:t>
      </w:r>
    </w:p>
    <w:p w14:paraId="631CF700" w14:textId="16710198" w:rsidR="000369E6" w:rsidRDefault="000369E6" w:rsidP="00331A31">
      <w:pPr>
        <w:pStyle w:val="BodyTextNumbering"/>
        <w:numPr>
          <w:ilvl w:val="0"/>
          <w:numId w:val="24"/>
        </w:numPr>
        <w:spacing w:before="120"/>
      </w:pPr>
      <w:r w:rsidRPr="00773BCF">
        <w:rPr>
          <w:rFonts w:cs="Arial"/>
          <w:szCs w:val="20"/>
        </w:rPr>
        <w:t>The</w:t>
      </w:r>
      <w:r w:rsidRPr="006903B5">
        <w:t xml:space="preserve"> </w:t>
      </w:r>
      <w:hyperlink r:id="rId19" w:history="1">
        <w:r w:rsidRPr="004A62F1">
          <w:rPr>
            <w:rStyle w:val="Hyperlink"/>
          </w:rPr>
          <w:t>Great Barrier Reef Report Card 2016 (2015-16)</w:t>
        </w:r>
      </w:hyperlink>
      <w:r w:rsidRPr="006903B5">
        <w:rPr>
          <w:color w:val="0070C0"/>
        </w:rPr>
        <w:t xml:space="preserve"> </w:t>
      </w:r>
      <w:r w:rsidR="00C246F3">
        <w:t>notes</w:t>
      </w:r>
      <w:r w:rsidR="0055058E">
        <w:t xml:space="preserve"> very little change </w:t>
      </w:r>
      <w:r w:rsidR="00C246F3">
        <w:t>in</w:t>
      </w:r>
      <w:r w:rsidR="0055058E">
        <w:t xml:space="preserve"> the</w:t>
      </w:r>
      <w:r w:rsidR="009C0A23">
        <w:t xml:space="preserve"> overall </w:t>
      </w:r>
      <w:r w:rsidR="009C0A23" w:rsidRPr="006903B5">
        <w:t>poor condition</w:t>
      </w:r>
      <w:r w:rsidR="009C0A23">
        <w:t xml:space="preserve"> </w:t>
      </w:r>
      <w:r w:rsidR="0055058E">
        <w:t xml:space="preserve">of inshore seagrass meadows. </w:t>
      </w:r>
      <w:r w:rsidR="00050223">
        <w:t xml:space="preserve">Generally reproduction effort, which provides an indication of the ability to recover from disturbance, is in very poor condition across the Reef and has largely been the case since 2006-07. </w:t>
      </w:r>
      <w:r w:rsidR="00C246F3">
        <w:t xml:space="preserve">In some regions there has been improvement in seagrass abundance, such as the Fitzroy but reproduction effort is still </w:t>
      </w:r>
      <w:r w:rsidR="00050223">
        <w:t>very poor in this region, as it is in</w:t>
      </w:r>
      <w:r w:rsidR="00C246F3">
        <w:t xml:space="preserve"> Cape York and in the Wet Tropics region</w:t>
      </w:r>
      <w:r w:rsidR="00503340">
        <w:t>s</w:t>
      </w:r>
      <w:r w:rsidR="00C246F3">
        <w:t>.</w:t>
      </w:r>
      <w:r w:rsidR="00823B6D">
        <w:t xml:space="preserve"> Reproductive effort is </w:t>
      </w:r>
      <w:r w:rsidR="006F508B">
        <w:t xml:space="preserve">also </w:t>
      </w:r>
      <w:r w:rsidR="00823B6D">
        <w:t>poor in Mackay Whitsundays and Burnett Mary regions.</w:t>
      </w:r>
      <w:r w:rsidR="00C246F3" w:rsidRPr="00C246F3">
        <w:t xml:space="preserve"> </w:t>
      </w:r>
      <w:r w:rsidR="00C246F3">
        <w:t>In 2015-</w:t>
      </w:r>
      <w:r w:rsidR="009C0A23">
        <w:t xml:space="preserve">16, only the Burdekin region is </w:t>
      </w:r>
      <w:r w:rsidR="00C246F3">
        <w:t>of moderate condition across the three criteria.</w:t>
      </w:r>
      <w:r w:rsidR="00444E36" w:rsidRPr="00444E36">
        <w:t xml:space="preserve"> </w:t>
      </w:r>
      <w:r w:rsidR="005F0D59">
        <w:t>Additional information can be found in</w:t>
      </w:r>
      <w:r w:rsidR="00444E36">
        <w:t xml:space="preserve"> </w:t>
      </w:r>
      <w:hyperlink r:id="rId20" w:history="1">
        <w:r w:rsidR="00444E36" w:rsidRPr="00BF684E">
          <w:rPr>
            <w:rStyle w:val="Hyperlink"/>
          </w:rPr>
          <w:t>report cards of previous years</w:t>
        </w:r>
      </w:hyperlink>
      <w:r w:rsidR="00444E36">
        <w:t>.</w:t>
      </w:r>
      <w:r>
        <w:t xml:space="preserve"> </w:t>
      </w:r>
    </w:p>
    <w:p w14:paraId="394981EF" w14:textId="4EB5C1F4" w:rsidR="008F79CB" w:rsidRPr="004C5FBC" w:rsidRDefault="008F79CB" w:rsidP="00331A31">
      <w:pPr>
        <w:pStyle w:val="BodyTextNumbering"/>
        <w:numPr>
          <w:ilvl w:val="0"/>
          <w:numId w:val="24"/>
        </w:numPr>
        <w:spacing w:before="120"/>
        <w:rPr>
          <w:rFonts w:eastAsia="Calibri"/>
        </w:rPr>
      </w:pPr>
      <w:r w:rsidRPr="0016391C">
        <w:rPr>
          <w:rFonts w:eastAsia="Calibri"/>
        </w:rPr>
        <w:t xml:space="preserve">Healthy seagrass meadows </w:t>
      </w:r>
      <w:r>
        <w:rPr>
          <w:rFonts w:eastAsia="Calibri"/>
        </w:rPr>
        <w:t>provide a</w:t>
      </w:r>
      <w:r w:rsidRPr="0016391C">
        <w:rPr>
          <w:rFonts w:eastAsia="Calibri"/>
        </w:rPr>
        <w:t xml:space="preserve"> regeneration source </w:t>
      </w:r>
      <w:r>
        <w:rPr>
          <w:rFonts w:eastAsia="Calibri"/>
        </w:rPr>
        <w:t>(</w:t>
      </w:r>
      <w:r w:rsidRPr="0016391C">
        <w:rPr>
          <w:rFonts w:eastAsia="Calibri"/>
        </w:rPr>
        <w:t>through seed banks</w:t>
      </w:r>
      <w:r w:rsidR="00503340">
        <w:rPr>
          <w:rFonts w:eastAsia="Calibri"/>
        </w:rPr>
        <w:t xml:space="preserve">, </w:t>
      </w:r>
      <w:r w:rsidRPr="0016391C">
        <w:rPr>
          <w:rFonts w:eastAsia="Calibri"/>
        </w:rPr>
        <w:t>germination of seeds</w:t>
      </w:r>
      <w:r w:rsidR="00503340">
        <w:rPr>
          <w:rFonts w:eastAsia="Calibri"/>
        </w:rPr>
        <w:t xml:space="preserve"> or from rhizomes</w:t>
      </w:r>
      <w:r>
        <w:rPr>
          <w:rFonts w:eastAsia="Calibri"/>
        </w:rPr>
        <w:t xml:space="preserve">) to </w:t>
      </w:r>
      <w:r w:rsidRPr="0016391C">
        <w:rPr>
          <w:rFonts w:eastAsia="Calibri"/>
        </w:rPr>
        <w:t xml:space="preserve">surrounding or nearby seagrass meadows that </w:t>
      </w:r>
      <w:r>
        <w:rPr>
          <w:rFonts w:eastAsia="Calibri"/>
        </w:rPr>
        <w:t xml:space="preserve">may </w:t>
      </w:r>
      <w:r w:rsidRPr="0016391C">
        <w:rPr>
          <w:rFonts w:eastAsia="Calibri"/>
        </w:rPr>
        <w:t xml:space="preserve">have </w:t>
      </w:r>
      <w:r>
        <w:rPr>
          <w:rFonts w:eastAsia="Calibri"/>
        </w:rPr>
        <w:t xml:space="preserve">been </w:t>
      </w:r>
      <w:r w:rsidRPr="0016391C">
        <w:rPr>
          <w:rFonts w:eastAsia="Calibri"/>
        </w:rPr>
        <w:t>degrad</w:t>
      </w:r>
      <w:r>
        <w:rPr>
          <w:rFonts w:eastAsia="Calibri"/>
        </w:rPr>
        <w:t>ed or lost</w:t>
      </w:r>
      <w:r w:rsidRPr="0016391C">
        <w:rPr>
          <w:rFonts w:eastAsia="Calibri"/>
        </w:rPr>
        <w:t>.</w:t>
      </w:r>
      <w:r w:rsidRPr="0016391C">
        <w:rPr>
          <w:rFonts w:eastAsia="Calibri"/>
        </w:rPr>
        <w:fldChar w:fldCharType="begin"/>
      </w:r>
      <w:r w:rsidR="00EE558C">
        <w:rPr>
          <w:rFonts w:eastAsia="Calibri"/>
        </w:rPr>
        <w:instrText>ADDIN RW.CITE{{20554 GreatBarrierReefMarineParkAuthority 2012}}</w:instrText>
      </w:r>
      <w:r w:rsidRPr="0016391C">
        <w:rPr>
          <w:rFonts w:eastAsia="Calibri"/>
        </w:rPr>
        <w:fldChar w:fldCharType="separate"/>
      </w:r>
      <w:r w:rsidR="00EE558C" w:rsidRPr="00EE558C">
        <w:rPr>
          <w:rFonts w:eastAsia="Calibri" w:cs="Arial"/>
          <w:vertAlign w:val="superscript"/>
        </w:rPr>
        <w:t>5</w:t>
      </w:r>
      <w:r w:rsidRPr="0016391C">
        <w:rPr>
          <w:rFonts w:eastAsia="Calibri"/>
        </w:rPr>
        <w:fldChar w:fldCharType="end"/>
      </w:r>
      <w:r w:rsidRPr="0016391C">
        <w:rPr>
          <w:rFonts w:eastAsia="Calibri"/>
        </w:rPr>
        <w:t xml:space="preserve"> Over recent years, </w:t>
      </w:r>
      <w:r>
        <w:rPr>
          <w:rFonts w:eastAsia="Calibri"/>
        </w:rPr>
        <w:t xml:space="preserve">large areas of seagrass meadows in the Marine Park have experienced </w:t>
      </w:r>
      <w:r w:rsidR="00D373CD">
        <w:rPr>
          <w:rFonts w:eastAsia="Calibri"/>
        </w:rPr>
        <w:t>repeated declines with</w:t>
      </w:r>
      <w:r w:rsidRPr="0016391C">
        <w:rPr>
          <w:rFonts w:eastAsia="Calibri"/>
        </w:rPr>
        <w:t xml:space="preserve"> </w:t>
      </w:r>
      <w:r>
        <w:rPr>
          <w:rFonts w:eastAsia="Calibri"/>
        </w:rPr>
        <w:t xml:space="preserve">only partial </w:t>
      </w:r>
      <w:r w:rsidRPr="0016391C">
        <w:rPr>
          <w:rFonts w:eastAsia="Calibri"/>
        </w:rPr>
        <w:t>recovery</w:t>
      </w:r>
      <w:r>
        <w:rPr>
          <w:rFonts w:eastAsia="Calibri"/>
        </w:rPr>
        <w:t xml:space="preserve">, resulting in </w:t>
      </w:r>
      <w:r w:rsidR="00BE0C1F">
        <w:rPr>
          <w:rFonts w:eastAsia="Calibri"/>
        </w:rPr>
        <w:t>low presence of seed banks, declining se</w:t>
      </w:r>
      <w:r w:rsidR="00503340">
        <w:rPr>
          <w:rFonts w:eastAsia="Calibri"/>
        </w:rPr>
        <w:t>ed</w:t>
      </w:r>
      <w:r w:rsidR="00BE0C1F">
        <w:rPr>
          <w:rFonts w:eastAsia="Calibri"/>
        </w:rPr>
        <w:t xml:space="preserve"> banks and below average </w:t>
      </w:r>
      <w:r w:rsidR="00FF2180">
        <w:rPr>
          <w:rFonts w:eastAsia="Calibri"/>
        </w:rPr>
        <w:t>reproduction</w:t>
      </w:r>
      <w:r w:rsidR="00D373CD">
        <w:rPr>
          <w:rFonts w:eastAsia="Calibri"/>
        </w:rPr>
        <w:t xml:space="preserve"> effort</w:t>
      </w:r>
      <w:r w:rsidR="00BE0C1F">
        <w:rPr>
          <w:rFonts w:eastAsia="Calibri"/>
        </w:rPr>
        <w:t>.</w:t>
      </w:r>
      <w:r w:rsidR="002249DC">
        <w:rPr>
          <w:rFonts w:eastAsia="Calibri"/>
        </w:rPr>
        <w:fldChar w:fldCharType="begin"/>
      </w:r>
      <w:r w:rsidR="00EE558C">
        <w:rPr>
          <w:rFonts w:eastAsia="Calibri"/>
        </w:rPr>
        <w:instrText>ADDIN RW.CITE{{24291 McKenzie,L.J. 2016}}</w:instrText>
      </w:r>
      <w:r w:rsidR="002249DC">
        <w:rPr>
          <w:rFonts w:eastAsia="Calibri"/>
        </w:rPr>
        <w:fldChar w:fldCharType="separate"/>
      </w:r>
      <w:r w:rsidR="00EE558C" w:rsidRPr="00EE558C">
        <w:rPr>
          <w:rFonts w:eastAsia="Calibri" w:cs="Arial"/>
          <w:vertAlign w:val="superscript"/>
        </w:rPr>
        <w:t>14</w:t>
      </w:r>
      <w:r w:rsidR="002249DC">
        <w:rPr>
          <w:rFonts w:eastAsia="Calibri"/>
        </w:rPr>
        <w:fldChar w:fldCharType="end"/>
      </w:r>
      <w:r w:rsidR="00BE0C1F">
        <w:rPr>
          <w:rFonts w:eastAsia="Calibri"/>
        </w:rPr>
        <w:t xml:space="preserve"> As a result</w:t>
      </w:r>
      <w:r w:rsidR="00D373CD">
        <w:t xml:space="preserve"> the</w:t>
      </w:r>
      <w:r w:rsidR="00FF2180">
        <w:t xml:space="preserve"> </w:t>
      </w:r>
      <w:r w:rsidR="00FF2180" w:rsidRPr="00FF2180">
        <w:rPr>
          <w:rFonts w:eastAsia="Calibri"/>
        </w:rPr>
        <w:t>capacity of seagrass to recover from the cumulative impacts</w:t>
      </w:r>
      <w:r w:rsidR="00FF2180">
        <w:rPr>
          <w:rFonts w:eastAsia="Calibri"/>
        </w:rPr>
        <w:t xml:space="preserve"> of past disturbances continues</w:t>
      </w:r>
      <w:r w:rsidR="00FF2180" w:rsidRPr="00FF2180">
        <w:rPr>
          <w:rFonts w:eastAsia="Calibri"/>
        </w:rPr>
        <w:t xml:space="preserve"> to remain low</w:t>
      </w:r>
      <w:r w:rsidR="00BE0C1F">
        <w:rPr>
          <w:rFonts w:eastAsia="Calibri"/>
        </w:rPr>
        <w:t>.</w:t>
      </w:r>
      <w:r w:rsidR="002249DC">
        <w:rPr>
          <w:rFonts w:eastAsia="Calibri"/>
        </w:rPr>
        <w:fldChar w:fldCharType="begin"/>
      </w:r>
      <w:r w:rsidR="00EE558C">
        <w:rPr>
          <w:rFonts w:eastAsia="Calibri"/>
        </w:rPr>
        <w:instrText>ADDIN RW.CITE{{24291 McKenzie,L.J. 2016}}</w:instrText>
      </w:r>
      <w:r w:rsidR="002249DC">
        <w:rPr>
          <w:rFonts w:eastAsia="Calibri"/>
        </w:rPr>
        <w:fldChar w:fldCharType="separate"/>
      </w:r>
      <w:r w:rsidR="00EE558C" w:rsidRPr="00EE558C">
        <w:rPr>
          <w:rFonts w:eastAsia="Calibri" w:cs="Arial"/>
          <w:vertAlign w:val="superscript"/>
        </w:rPr>
        <w:t>14</w:t>
      </w:r>
      <w:r w:rsidR="002249DC">
        <w:rPr>
          <w:rFonts w:eastAsia="Calibri"/>
        </w:rPr>
        <w:fldChar w:fldCharType="end"/>
      </w:r>
      <w:r w:rsidR="00BE0C1F">
        <w:rPr>
          <w:rFonts w:eastAsia="Calibri"/>
        </w:rPr>
        <w:t xml:space="preserve"> </w:t>
      </w:r>
      <w:r w:rsidR="005F0D59">
        <w:rPr>
          <w:rFonts w:eastAsia="Calibri"/>
        </w:rPr>
        <w:t>The compromised ability for s</w:t>
      </w:r>
      <w:r>
        <w:rPr>
          <w:rFonts w:eastAsia="Calibri"/>
        </w:rPr>
        <w:t>eagrass meadow</w:t>
      </w:r>
      <w:r w:rsidR="002E42A4">
        <w:rPr>
          <w:rFonts w:eastAsia="Calibri"/>
        </w:rPr>
        <w:t xml:space="preserve"> </w:t>
      </w:r>
      <w:r>
        <w:rPr>
          <w:rFonts w:eastAsia="Calibri"/>
        </w:rPr>
        <w:t>to regenerate</w:t>
      </w:r>
      <w:r w:rsidR="00BE0C1F">
        <w:rPr>
          <w:rFonts w:eastAsia="Calibri"/>
        </w:rPr>
        <w:t>,</w:t>
      </w:r>
      <w:r>
        <w:rPr>
          <w:rFonts w:eastAsia="Calibri"/>
        </w:rPr>
        <w:t xml:space="preserve"> </w:t>
      </w:r>
      <w:r w:rsidR="005D7845">
        <w:rPr>
          <w:rFonts w:eastAsia="Calibri"/>
        </w:rPr>
        <w:t>both</w:t>
      </w:r>
      <w:r>
        <w:rPr>
          <w:rFonts w:eastAsia="Calibri"/>
        </w:rPr>
        <w:t xml:space="preserve"> locall</w:t>
      </w:r>
      <w:r w:rsidR="005D7845">
        <w:rPr>
          <w:rFonts w:eastAsia="Calibri"/>
        </w:rPr>
        <w:t>y and</w:t>
      </w:r>
      <w:r>
        <w:rPr>
          <w:rFonts w:eastAsia="Calibri"/>
        </w:rPr>
        <w:t xml:space="preserve"> regionally, further increases their vulnerability to future pressures and hazards</w:t>
      </w:r>
      <w:r w:rsidRPr="0016391C">
        <w:rPr>
          <w:rFonts w:eastAsia="Calibri"/>
        </w:rPr>
        <w:t>.</w:t>
      </w:r>
      <w:r w:rsidRPr="0016391C">
        <w:rPr>
          <w:rFonts w:eastAsia="Calibri"/>
        </w:rPr>
        <w:fldChar w:fldCharType="begin"/>
      </w:r>
      <w:r w:rsidR="00EE558C">
        <w:rPr>
          <w:rFonts w:eastAsia="Calibri"/>
        </w:rPr>
        <w:instrText>ADDIN RW.CITE{{20554 GreatBarrierReefMarineParkAuthority 2012}}</w:instrText>
      </w:r>
      <w:r w:rsidRPr="0016391C">
        <w:rPr>
          <w:rFonts w:eastAsia="Calibri"/>
        </w:rPr>
        <w:fldChar w:fldCharType="separate"/>
      </w:r>
      <w:r w:rsidR="00EE558C" w:rsidRPr="00EE558C">
        <w:rPr>
          <w:rFonts w:eastAsia="Calibri" w:cs="Arial"/>
          <w:vertAlign w:val="superscript"/>
        </w:rPr>
        <w:t>5</w:t>
      </w:r>
      <w:r w:rsidRPr="0016391C">
        <w:rPr>
          <w:rFonts w:eastAsia="Calibri"/>
        </w:rPr>
        <w:fldChar w:fldCharType="end"/>
      </w:r>
      <w:r w:rsidR="00BE0C1F">
        <w:rPr>
          <w:rFonts w:eastAsia="Calibri"/>
        </w:rPr>
        <w:t xml:space="preserve"> </w:t>
      </w:r>
      <w:r w:rsidR="00BE0C1F">
        <w:t>The Great Barrier Reef Report Card 2016 suggests if</w:t>
      </w:r>
      <w:r w:rsidR="00BE0C1F" w:rsidRPr="00444E36">
        <w:t xml:space="preserve"> there are no further disturbances</w:t>
      </w:r>
      <w:r w:rsidR="00BE0C1F">
        <w:t xml:space="preserve"> and </w:t>
      </w:r>
      <w:r w:rsidR="002249DC">
        <w:t>pressures</w:t>
      </w:r>
      <w:r w:rsidR="00BE0C1F">
        <w:t>, th</w:t>
      </w:r>
      <w:r w:rsidR="00BE0C1F" w:rsidRPr="00444E36">
        <w:t>ere are signs that reproduct</w:t>
      </w:r>
      <w:r w:rsidR="00BE0C1F">
        <w:t>ive effort and seed bank density</w:t>
      </w:r>
      <w:r w:rsidR="00BE0C1F" w:rsidRPr="00444E36">
        <w:t xml:space="preserve"> may increase in some regions</w:t>
      </w:r>
      <w:r w:rsidR="00BE0C1F">
        <w:t>.</w:t>
      </w:r>
    </w:p>
    <w:p w14:paraId="6AB8CF85" w14:textId="28EC6DCF" w:rsidR="004C5FBC" w:rsidRPr="00BC272A" w:rsidRDefault="004C5FBC" w:rsidP="00331A31">
      <w:pPr>
        <w:pStyle w:val="BodyTextNumbering"/>
        <w:numPr>
          <w:ilvl w:val="0"/>
          <w:numId w:val="24"/>
        </w:numPr>
        <w:spacing w:before="120"/>
        <w:rPr>
          <w:rFonts w:eastAsia="Calibri"/>
        </w:rPr>
      </w:pPr>
      <w:r>
        <w:rPr>
          <w:rFonts w:cs="Arial"/>
          <w:szCs w:val="20"/>
        </w:rPr>
        <w:t>Further, under a changing climate</w:t>
      </w:r>
      <w:r w:rsidR="00E57F53">
        <w:rPr>
          <w:rFonts w:cs="Arial"/>
          <w:szCs w:val="20"/>
        </w:rPr>
        <w:t>,</w:t>
      </w:r>
      <w:r>
        <w:rPr>
          <w:rFonts w:cs="Arial"/>
          <w:szCs w:val="20"/>
        </w:rPr>
        <w:t xml:space="preserve"> seagrass and seagrass meadows are under increasing pressure - refer to </w:t>
      </w:r>
      <w:hyperlink r:id="rId21" w:history="1">
        <w:r w:rsidRPr="00D87218">
          <w:rPr>
            <w:rStyle w:val="Hyperlink"/>
            <w:rFonts w:eastAsia="Calibri" w:cs="Arial"/>
            <w:szCs w:val="20"/>
          </w:rPr>
          <w:t xml:space="preserve">Waycott </w:t>
        </w:r>
        <w:r w:rsidRPr="00D87218">
          <w:rPr>
            <w:rStyle w:val="Hyperlink"/>
            <w:rFonts w:eastAsia="Calibri" w:cs="Arial"/>
            <w:i/>
            <w:szCs w:val="20"/>
          </w:rPr>
          <w:t>et al</w:t>
        </w:r>
        <w:r w:rsidRPr="00D87218">
          <w:rPr>
            <w:rStyle w:val="Hyperlink"/>
            <w:rFonts w:eastAsia="Calibri" w:cs="Arial"/>
            <w:szCs w:val="20"/>
          </w:rPr>
          <w:t>. 2007</w:t>
        </w:r>
      </w:hyperlink>
      <w:r>
        <w:rPr>
          <w:rFonts w:eastAsia="Calibri" w:cs="Arial"/>
          <w:szCs w:val="20"/>
        </w:rPr>
        <w:fldChar w:fldCharType="begin"/>
      </w:r>
      <w:r w:rsidR="00EE558C">
        <w:rPr>
          <w:rFonts w:eastAsia="Calibri" w:cs="Arial"/>
          <w:szCs w:val="20"/>
        </w:rPr>
        <w:instrText>ADDIN RW.CITE{{5057 Waycott,M. 2007}}</w:instrText>
      </w:r>
      <w:r>
        <w:rPr>
          <w:rFonts w:eastAsia="Calibri" w:cs="Arial"/>
          <w:szCs w:val="20"/>
        </w:rPr>
        <w:fldChar w:fldCharType="separate"/>
      </w:r>
      <w:r w:rsidR="00EE558C" w:rsidRPr="00EE558C">
        <w:rPr>
          <w:rFonts w:eastAsia="Calibri" w:cs="Arial"/>
          <w:szCs w:val="20"/>
          <w:vertAlign w:val="superscript"/>
        </w:rPr>
        <w:t>4</w:t>
      </w:r>
      <w:r>
        <w:rPr>
          <w:rFonts w:eastAsia="Calibri" w:cs="Arial"/>
          <w:szCs w:val="20"/>
        </w:rPr>
        <w:fldChar w:fldCharType="end"/>
      </w:r>
      <w:r w:rsidRPr="00D87218">
        <w:rPr>
          <w:rFonts w:eastAsia="Calibri" w:cs="Arial"/>
          <w:szCs w:val="20"/>
        </w:rPr>
        <w:t xml:space="preserve"> </w:t>
      </w:r>
      <w:r>
        <w:rPr>
          <w:rFonts w:eastAsia="Calibri" w:cs="Arial"/>
          <w:szCs w:val="20"/>
        </w:rPr>
        <w:t>in Johnson and</w:t>
      </w:r>
      <w:r>
        <w:t xml:space="preserve"> </w:t>
      </w:r>
      <w:r w:rsidRPr="00346C4C">
        <w:rPr>
          <w:rFonts w:eastAsia="Calibri" w:cs="Arial"/>
          <w:szCs w:val="20"/>
        </w:rPr>
        <w:t>Marshall (2007)</w:t>
      </w:r>
      <w:r w:rsidRPr="00346C4C">
        <w:rPr>
          <w:rFonts w:eastAsia="Calibri" w:cs="Arial"/>
          <w:szCs w:val="20"/>
        </w:rPr>
        <w:fldChar w:fldCharType="begin"/>
      </w:r>
      <w:r w:rsidR="00EE558C">
        <w:rPr>
          <w:rFonts w:eastAsia="Calibri" w:cs="Arial"/>
          <w:szCs w:val="20"/>
        </w:rPr>
        <w:instrText>ADDIN RW.CITE{{3880 Johnson,J.E. 2007}}</w:instrText>
      </w:r>
      <w:r w:rsidRPr="00346C4C">
        <w:rPr>
          <w:rFonts w:eastAsia="Calibri" w:cs="Arial"/>
          <w:szCs w:val="20"/>
        </w:rPr>
        <w:fldChar w:fldCharType="separate"/>
      </w:r>
      <w:r w:rsidR="00EE558C" w:rsidRPr="00EE558C">
        <w:rPr>
          <w:rFonts w:eastAsia="Calibri" w:cs="Arial"/>
          <w:szCs w:val="20"/>
          <w:vertAlign w:val="superscript"/>
        </w:rPr>
        <w:t>11</w:t>
      </w:r>
      <w:r w:rsidRPr="00346C4C">
        <w:rPr>
          <w:rFonts w:eastAsia="Calibri" w:cs="Arial"/>
          <w:szCs w:val="20"/>
        </w:rPr>
        <w:fldChar w:fldCharType="end"/>
      </w:r>
      <w:r w:rsidRPr="00346C4C">
        <w:rPr>
          <w:rFonts w:eastAsia="Calibri" w:cs="Arial"/>
          <w:szCs w:val="20"/>
        </w:rPr>
        <w:t xml:space="preserve"> </w:t>
      </w:r>
      <w:r>
        <w:rPr>
          <w:rFonts w:eastAsia="Calibri" w:cs="Arial"/>
          <w:szCs w:val="20"/>
        </w:rPr>
        <w:t xml:space="preserve">for further information about the </w:t>
      </w:r>
      <w:r w:rsidRPr="00346C4C">
        <w:rPr>
          <w:rFonts w:cs="Arial"/>
          <w:szCs w:val="20"/>
        </w:rPr>
        <w:t xml:space="preserve">impacts </w:t>
      </w:r>
      <w:r>
        <w:rPr>
          <w:rFonts w:cs="Arial"/>
          <w:szCs w:val="20"/>
        </w:rPr>
        <w:t>of climate change on seagrass and seagrass meadows in the Great Barrier Reef</w:t>
      </w:r>
      <w:r w:rsidRPr="00346C4C">
        <w:rPr>
          <w:rFonts w:cs="Arial"/>
          <w:szCs w:val="20"/>
        </w:rPr>
        <w:t>.</w:t>
      </w:r>
      <w:r w:rsidR="00387FE3">
        <w:rPr>
          <w:rFonts w:cs="Arial"/>
          <w:szCs w:val="20"/>
        </w:rPr>
        <w:br/>
      </w:r>
    </w:p>
    <w:p w14:paraId="693C9EE1" w14:textId="77777777" w:rsidR="00EF383F" w:rsidRPr="00E57F53" w:rsidRDefault="00EF383F" w:rsidP="00E57F53">
      <w:pPr>
        <w:pStyle w:val="Heading2"/>
      </w:pPr>
      <w:bookmarkStart w:id="1" w:name="_Importance_to_the"/>
      <w:bookmarkEnd w:id="1"/>
      <w:r w:rsidRPr="00E57F53">
        <w:t xml:space="preserve">Importance </w:t>
      </w:r>
      <w:r w:rsidR="00EE1DD8" w:rsidRPr="00E57F53">
        <w:t>to the Marine Park</w:t>
      </w:r>
    </w:p>
    <w:p w14:paraId="288C9208" w14:textId="5FEBE4C5" w:rsidR="0046388D" w:rsidRPr="0046388D" w:rsidRDefault="00D211D5" w:rsidP="00331A31">
      <w:pPr>
        <w:pStyle w:val="BodyTextNumbering"/>
        <w:numPr>
          <w:ilvl w:val="0"/>
          <w:numId w:val="9"/>
        </w:numPr>
        <w:spacing w:before="120"/>
      </w:pPr>
      <w:r>
        <w:rPr>
          <w:rFonts w:eastAsia="Calibri" w:cs="Arial"/>
          <w:szCs w:val="20"/>
        </w:rPr>
        <w:t>Seagrass meadows are</w:t>
      </w:r>
      <w:r w:rsidR="009160A3" w:rsidRPr="00ED0A9B">
        <w:rPr>
          <w:rFonts w:eastAsia="Calibri" w:cs="Arial"/>
          <w:szCs w:val="20"/>
        </w:rPr>
        <w:t xml:space="preserve"> included in the Statement of Outstanding Universal Value for the Great Barrier Reef World Heritage Area. </w:t>
      </w:r>
      <w:r>
        <w:rPr>
          <w:rFonts w:eastAsia="Calibri" w:cs="Arial"/>
          <w:szCs w:val="20"/>
        </w:rPr>
        <w:t>S</w:t>
      </w:r>
      <w:r w:rsidR="009160A3" w:rsidRPr="0024374E">
        <w:rPr>
          <w:rFonts w:cs="Arial"/>
          <w:szCs w:val="20"/>
        </w:rPr>
        <w:t>eagrass</w:t>
      </w:r>
      <w:r w:rsidR="009160A3" w:rsidRPr="00ED0A9B">
        <w:rPr>
          <w:rFonts w:eastAsia="Calibri" w:cs="Arial"/>
          <w:szCs w:val="20"/>
        </w:rPr>
        <w:t xml:space="preserve"> and seagrass meadows </w:t>
      </w:r>
      <w:r>
        <w:rPr>
          <w:rFonts w:eastAsia="Calibri" w:cs="Arial"/>
          <w:szCs w:val="20"/>
        </w:rPr>
        <w:t>support a number of listed migratory and threatened</w:t>
      </w:r>
      <w:r w:rsidR="009C0A23">
        <w:rPr>
          <w:rFonts w:eastAsia="Calibri" w:cs="Arial"/>
          <w:szCs w:val="20"/>
        </w:rPr>
        <w:t xml:space="preserve"> species, such as marine turtle species</w:t>
      </w:r>
      <w:r w:rsidR="00404FD6">
        <w:rPr>
          <w:rFonts w:eastAsia="Calibri" w:cs="Arial"/>
          <w:szCs w:val="20"/>
        </w:rPr>
        <w:t xml:space="preserve"> (particularly</w:t>
      </w:r>
      <w:r w:rsidR="00176CA8">
        <w:rPr>
          <w:rFonts w:eastAsia="Calibri" w:cs="Arial"/>
          <w:szCs w:val="20"/>
        </w:rPr>
        <w:t xml:space="preserve"> green turtles)</w:t>
      </w:r>
      <w:r>
        <w:rPr>
          <w:rFonts w:eastAsia="Calibri" w:cs="Arial"/>
          <w:szCs w:val="20"/>
        </w:rPr>
        <w:t>, dugong</w:t>
      </w:r>
      <w:r w:rsidR="003033A7">
        <w:rPr>
          <w:rFonts w:eastAsia="Calibri" w:cs="Arial"/>
          <w:szCs w:val="20"/>
        </w:rPr>
        <w:t>s</w:t>
      </w:r>
      <w:r>
        <w:rPr>
          <w:rFonts w:eastAsia="Calibri" w:cs="Arial"/>
          <w:szCs w:val="20"/>
        </w:rPr>
        <w:t xml:space="preserve">, dolphins, and sharks and rays. </w:t>
      </w:r>
      <w:hyperlink r:id="rId22" w:history="1">
        <w:r w:rsidR="00D8533E" w:rsidRPr="00C45F77">
          <w:rPr>
            <w:rStyle w:val="Hyperlink"/>
            <w:rFonts w:eastAsia="Calibri" w:cs="Arial"/>
            <w:szCs w:val="20"/>
          </w:rPr>
          <w:t>Bowling Green Bay</w:t>
        </w:r>
      </w:hyperlink>
      <w:r w:rsidR="00D8533E">
        <w:rPr>
          <w:rFonts w:eastAsia="Calibri" w:cs="Arial"/>
          <w:szCs w:val="20"/>
        </w:rPr>
        <w:t xml:space="preserve">, and </w:t>
      </w:r>
      <w:hyperlink r:id="rId23" w:history="1">
        <w:r w:rsidR="00D8533E" w:rsidRPr="00C45F77">
          <w:rPr>
            <w:rStyle w:val="Hyperlink"/>
            <w:rFonts w:eastAsia="Calibri" w:cs="Arial"/>
            <w:szCs w:val="20"/>
          </w:rPr>
          <w:t>Shoalwater Bay and Corio Bay</w:t>
        </w:r>
      </w:hyperlink>
      <w:r w:rsidR="00D8533E">
        <w:rPr>
          <w:rFonts w:eastAsia="Calibri" w:cs="Arial"/>
          <w:szCs w:val="20"/>
        </w:rPr>
        <w:t xml:space="preserve"> are</w:t>
      </w:r>
      <w:r>
        <w:rPr>
          <w:rFonts w:eastAsia="Calibri" w:cs="Arial"/>
          <w:szCs w:val="20"/>
        </w:rPr>
        <w:t xml:space="preserve"> </w:t>
      </w:r>
      <w:r w:rsidR="00E57F53">
        <w:rPr>
          <w:rFonts w:eastAsia="Calibri" w:cs="Arial"/>
          <w:szCs w:val="20"/>
        </w:rPr>
        <w:t xml:space="preserve">classified under the </w:t>
      </w:r>
      <w:r w:rsidR="00C45F77">
        <w:rPr>
          <w:rFonts w:eastAsia="Calibri" w:cs="Arial"/>
          <w:szCs w:val="20"/>
        </w:rPr>
        <w:t xml:space="preserve">Ramsar </w:t>
      </w:r>
      <w:r w:rsidR="00E57F53">
        <w:rPr>
          <w:rFonts w:eastAsia="Calibri" w:cs="Arial"/>
          <w:szCs w:val="20"/>
        </w:rPr>
        <w:t xml:space="preserve">Convention as </w:t>
      </w:r>
      <w:r>
        <w:rPr>
          <w:rFonts w:eastAsia="Calibri" w:cs="Arial"/>
          <w:szCs w:val="20"/>
        </w:rPr>
        <w:t>wetlands of international importance</w:t>
      </w:r>
      <w:r w:rsidR="00D8533E">
        <w:rPr>
          <w:rFonts w:eastAsia="Calibri" w:cs="Arial"/>
          <w:szCs w:val="20"/>
        </w:rPr>
        <w:t xml:space="preserve"> </w:t>
      </w:r>
      <w:r w:rsidR="00E001D3">
        <w:rPr>
          <w:rFonts w:eastAsia="Calibri" w:cs="Arial"/>
          <w:szCs w:val="20"/>
        </w:rPr>
        <w:t>which include</w:t>
      </w:r>
      <w:r w:rsidR="00D8533E">
        <w:rPr>
          <w:rFonts w:eastAsia="Calibri" w:cs="Arial"/>
          <w:szCs w:val="20"/>
        </w:rPr>
        <w:t xml:space="preserve"> seagrass meadows. </w:t>
      </w:r>
    </w:p>
    <w:p w14:paraId="33CB16F9" w14:textId="2044FB83" w:rsidR="00165362" w:rsidRPr="00165362" w:rsidRDefault="00ED2CF4" w:rsidP="00331A31">
      <w:pPr>
        <w:pStyle w:val="BodyTextNumbering"/>
        <w:numPr>
          <w:ilvl w:val="0"/>
          <w:numId w:val="9"/>
        </w:numPr>
        <w:spacing w:before="120"/>
        <w:rPr>
          <w:rFonts w:cs="Arial"/>
          <w:szCs w:val="20"/>
        </w:rPr>
      </w:pPr>
      <w:r w:rsidRPr="006903B5">
        <w:rPr>
          <w:rFonts w:cs="Arial"/>
          <w:szCs w:val="20"/>
        </w:rPr>
        <w:lastRenderedPageBreak/>
        <w:t xml:space="preserve">Seagrass </w:t>
      </w:r>
      <w:r w:rsidRPr="0024374E">
        <w:rPr>
          <w:rFonts w:eastAsia="Calibri" w:cs="Arial"/>
          <w:szCs w:val="20"/>
        </w:rPr>
        <w:t>meadows</w:t>
      </w:r>
      <w:r w:rsidRPr="006903B5">
        <w:rPr>
          <w:rFonts w:cs="Arial"/>
          <w:szCs w:val="20"/>
        </w:rPr>
        <w:t xml:space="preserve"> are an important part of th</w:t>
      </w:r>
      <w:r w:rsidR="006868E7">
        <w:rPr>
          <w:rFonts w:cs="Arial"/>
          <w:szCs w:val="20"/>
        </w:rPr>
        <w:t xml:space="preserve">e Great Barrier Reef ecosystem. They are also </w:t>
      </w:r>
      <w:r w:rsidR="006868E7" w:rsidRPr="00B10EE9">
        <w:rPr>
          <w:rFonts w:eastAsia="Calibri" w:cs="Arial"/>
          <w:szCs w:val="20"/>
        </w:rPr>
        <w:t xml:space="preserve">critical contributors to </w:t>
      </w:r>
      <w:r w:rsidR="006868E7">
        <w:rPr>
          <w:rFonts w:eastAsia="Calibri" w:cs="Arial"/>
          <w:szCs w:val="20"/>
        </w:rPr>
        <w:t xml:space="preserve">human </w:t>
      </w:r>
      <w:r w:rsidR="006868E7" w:rsidRPr="00B10EE9">
        <w:rPr>
          <w:rFonts w:eastAsia="Calibri" w:cs="Arial"/>
          <w:szCs w:val="20"/>
        </w:rPr>
        <w:t>wellbeing and the economy</w:t>
      </w:r>
      <w:r w:rsidR="006868E7">
        <w:rPr>
          <w:rFonts w:eastAsia="Calibri" w:cs="Arial"/>
          <w:szCs w:val="20"/>
        </w:rPr>
        <w:t>, particularly in coastal communities</w:t>
      </w:r>
      <w:r w:rsidR="00E57F53">
        <w:rPr>
          <w:rFonts w:eastAsia="Calibri" w:cs="Arial"/>
          <w:szCs w:val="20"/>
        </w:rPr>
        <w:t>,</w:t>
      </w:r>
      <w:r w:rsidR="006868E7">
        <w:rPr>
          <w:rFonts w:eastAsia="Calibri" w:cs="Arial"/>
          <w:szCs w:val="20"/>
        </w:rPr>
        <w:t xml:space="preserve"> and provide im</w:t>
      </w:r>
      <w:r w:rsidR="00F34268">
        <w:rPr>
          <w:rFonts w:eastAsia="Calibri" w:cs="Arial"/>
          <w:szCs w:val="20"/>
        </w:rPr>
        <w:t>portant ecosystem services</w:t>
      </w:r>
      <w:r w:rsidR="006868E7">
        <w:rPr>
          <w:rFonts w:eastAsia="Calibri" w:cs="Arial"/>
          <w:szCs w:val="20"/>
        </w:rPr>
        <w:t>.</w:t>
      </w:r>
      <w:r w:rsidR="00D9735F">
        <w:rPr>
          <w:rFonts w:eastAsia="Calibri" w:cs="Arial"/>
          <w:szCs w:val="20"/>
        </w:rPr>
        <w:fldChar w:fldCharType="begin"/>
      </w:r>
      <w:r w:rsidR="00EE558C">
        <w:rPr>
          <w:rFonts w:eastAsia="Calibri" w:cs="Arial"/>
          <w:szCs w:val="20"/>
        </w:rPr>
        <w:instrText>ADDIN RW.CITE{{20554 GreatBarrierReefMarineParkAuthority 2012}}</w:instrText>
      </w:r>
      <w:r w:rsidR="00D9735F">
        <w:rPr>
          <w:rFonts w:eastAsia="Calibri" w:cs="Arial"/>
          <w:szCs w:val="20"/>
        </w:rPr>
        <w:fldChar w:fldCharType="separate"/>
      </w:r>
      <w:r w:rsidR="00EE558C" w:rsidRPr="00EE558C">
        <w:rPr>
          <w:rFonts w:eastAsia="Calibri" w:cs="Arial"/>
          <w:szCs w:val="20"/>
          <w:vertAlign w:val="superscript"/>
        </w:rPr>
        <w:t>5</w:t>
      </w:r>
      <w:r w:rsidR="00D9735F">
        <w:rPr>
          <w:rFonts w:eastAsia="Calibri" w:cs="Arial"/>
          <w:szCs w:val="20"/>
        </w:rPr>
        <w:fldChar w:fldCharType="end"/>
      </w:r>
      <w:r w:rsidR="00F34268">
        <w:rPr>
          <w:rFonts w:eastAsia="Calibri" w:cs="Arial"/>
          <w:szCs w:val="20"/>
        </w:rPr>
        <w:t xml:space="preserve"> </w:t>
      </w:r>
      <w:r w:rsidR="003D4FE1" w:rsidRPr="00B10EE9">
        <w:rPr>
          <w:rFonts w:eastAsia="Calibri" w:cs="Arial"/>
          <w:szCs w:val="20"/>
        </w:rPr>
        <w:t>Important ecological</w:t>
      </w:r>
      <w:r w:rsidR="00871685">
        <w:rPr>
          <w:rFonts w:eastAsia="Calibri" w:cs="Arial"/>
          <w:szCs w:val="20"/>
        </w:rPr>
        <w:t>, cultural</w:t>
      </w:r>
      <w:r w:rsidR="003D4FE1" w:rsidRPr="00B10EE9">
        <w:rPr>
          <w:rFonts w:eastAsia="Calibri" w:cs="Arial"/>
          <w:szCs w:val="20"/>
        </w:rPr>
        <w:t xml:space="preserve"> and economic roles of seagrasses include:</w:t>
      </w:r>
    </w:p>
    <w:p w14:paraId="6E68A982" w14:textId="0C35BA3C" w:rsidR="00B22AB8" w:rsidRPr="00FD7014" w:rsidRDefault="002972C3" w:rsidP="00331A31">
      <w:pPr>
        <w:pStyle w:val="BodyTextNumbering"/>
        <w:numPr>
          <w:ilvl w:val="0"/>
          <w:numId w:val="26"/>
        </w:numPr>
        <w:spacing w:before="0"/>
        <w:rPr>
          <w:rFonts w:cs="Arial"/>
          <w:szCs w:val="20"/>
        </w:rPr>
      </w:pPr>
      <w:r>
        <w:rPr>
          <w:rFonts w:cs="Arial"/>
          <w:szCs w:val="20"/>
        </w:rPr>
        <w:t>providing</w:t>
      </w:r>
      <w:r w:rsidR="008155E7" w:rsidRPr="006903B5">
        <w:rPr>
          <w:rFonts w:cs="Arial"/>
          <w:szCs w:val="20"/>
        </w:rPr>
        <w:t xml:space="preserve"> nursery</w:t>
      </w:r>
      <w:r w:rsidR="008155E7">
        <w:rPr>
          <w:rFonts w:cs="Arial"/>
          <w:szCs w:val="20"/>
        </w:rPr>
        <w:t xml:space="preserve"> grounds</w:t>
      </w:r>
      <w:r w:rsidR="00F06F32">
        <w:rPr>
          <w:rFonts w:cs="Arial"/>
          <w:szCs w:val="20"/>
        </w:rPr>
        <w:t xml:space="preserve"> </w:t>
      </w:r>
      <w:r w:rsidR="0024374E">
        <w:rPr>
          <w:rFonts w:cs="Arial"/>
          <w:szCs w:val="20"/>
        </w:rPr>
        <w:t>and habitat</w:t>
      </w:r>
      <w:r w:rsidR="008155E7">
        <w:rPr>
          <w:rFonts w:cs="Arial"/>
          <w:szCs w:val="20"/>
        </w:rPr>
        <w:t xml:space="preserve"> for marine </w:t>
      </w:r>
      <w:r w:rsidR="00616AC2">
        <w:rPr>
          <w:rFonts w:cs="Arial"/>
          <w:szCs w:val="20"/>
        </w:rPr>
        <w:t>life, including dugong,</w:t>
      </w:r>
      <w:r w:rsidR="00404FD6" w:rsidRPr="00404FD6">
        <w:rPr>
          <w:rFonts w:cs="Arial"/>
          <w:szCs w:val="20"/>
        </w:rPr>
        <w:t xml:space="preserve"> </w:t>
      </w:r>
      <w:r w:rsidR="00404FD6">
        <w:rPr>
          <w:rFonts w:cs="Arial"/>
          <w:szCs w:val="20"/>
        </w:rPr>
        <w:t>and are foraging grounds for larger predators</w:t>
      </w:r>
    </w:p>
    <w:p w14:paraId="431BF06B" w14:textId="77777777" w:rsidR="00DB61A8" w:rsidRPr="00E95EC6" w:rsidRDefault="00B22AB8" w:rsidP="00331A31">
      <w:pPr>
        <w:pStyle w:val="BodyTextNumbering"/>
        <w:numPr>
          <w:ilvl w:val="0"/>
          <w:numId w:val="26"/>
        </w:numPr>
        <w:spacing w:before="0"/>
        <w:rPr>
          <w:rFonts w:eastAsia="Calibri" w:cs="Arial"/>
          <w:szCs w:val="20"/>
        </w:rPr>
      </w:pPr>
      <w:r w:rsidRPr="00E95EC6">
        <w:rPr>
          <w:rFonts w:eastAsia="Calibri" w:cs="Arial"/>
          <w:szCs w:val="20"/>
        </w:rPr>
        <w:t xml:space="preserve">contributing </w:t>
      </w:r>
      <w:r w:rsidR="008155E7" w:rsidRPr="00E95EC6">
        <w:rPr>
          <w:rFonts w:eastAsia="Calibri" w:cs="Arial"/>
          <w:szCs w:val="20"/>
        </w:rPr>
        <w:t>high rate of primary production, nutrient cycling</w:t>
      </w:r>
      <w:r w:rsidR="00165362" w:rsidRPr="00E95EC6">
        <w:rPr>
          <w:rFonts w:eastAsia="Calibri" w:cs="Arial"/>
          <w:szCs w:val="20"/>
        </w:rPr>
        <w:t>, water filtration</w:t>
      </w:r>
      <w:r w:rsidR="004E2413">
        <w:rPr>
          <w:rFonts w:eastAsia="Calibri" w:cs="Arial"/>
          <w:szCs w:val="20"/>
        </w:rPr>
        <w:t xml:space="preserve">, </w:t>
      </w:r>
      <w:r w:rsidR="002F022D" w:rsidRPr="00E95EC6">
        <w:rPr>
          <w:rFonts w:eastAsia="Calibri" w:cs="Arial"/>
          <w:szCs w:val="20"/>
        </w:rPr>
        <w:t>and</w:t>
      </w:r>
      <w:r w:rsidR="008155E7" w:rsidRPr="00E95EC6">
        <w:rPr>
          <w:rFonts w:eastAsia="Calibri" w:cs="Arial"/>
          <w:szCs w:val="20"/>
        </w:rPr>
        <w:t xml:space="preserve"> significant amounts of carbon </w:t>
      </w:r>
      <w:r w:rsidRPr="00E95EC6">
        <w:rPr>
          <w:rFonts w:eastAsia="Calibri" w:cs="Arial"/>
          <w:szCs w:val="20"/>
        </w:rPr>
        <w:t>sequestration</w:t>
      </w:r>
    </w:p>
    <w:p w14:paraId="21E31B41" w14:textId="77777777" w:rsidR="00F51F93" w:rsidRPr="00E95EC6" w:rsidRDefault="008155E7" w:rsidP="00331A31">
      <w:pPr>
        <w:pStyle w:val="BodyTextNumbering"/>
        <w:numPr>
          <w:ilvl w:val="0"/>
          <w:numId w:val="26"/>
        </w:numPr>
        <w:spacing w:before="0"/>
        <w:rPr>
          <w:rFonts w:eastAsia="Calibri" w:cs="Arial"/>
          <w:szCs w:val="20"/>
        </w:rPr>
      </w:pPr>
      <w:r w:rsidRPr="00E95EC6">
        <w:rPr>
          <w:rFonts w:eastAsia="Calibri" w:cs="Arial"/>
          <w:szCs w:val="20"/>
        </w:rPr>
        <w:t xml:space="preserve">stabilising </w:t>
      </w:r>
      <w:r w:rsidR="00F51F93" w:rsidRPr="00E95EC6">
        <w:rPr>
          <w:rFonts w:eastAsia="Calibri" w:cs="Arial"/>
          <w:szCs w:val="20"/>
        </w:rPr>
        <w:t>large amounts of sediment and trapping organic nutrients,</w:t>
      </w:r>
      <w:r w:rsidR="0024374E" w:rsidRPr="00E95EC6">
        <w:rPr>
          <w:rFonts w:eastAsia="Calibri" w:cs="Arial"/>
          <w:szCs w:val="20"/>
        </w:rPr>
        <w:t xml:space="preserve"> </w:t>
      </w:r>
      <w:r w:rsidR="00F51F93" w:rsidRPr="00E95EC6">
        <w:rPr>
          <w:rFonts w:eastAsia="Calibri" w:cs="Arial"/>
          <w:szCs w:val="20"/>
        </w:rPr>
        <w:t>reducing currents and sediment resuspension</w:t>
      </w:r>
    </w:p>
    <w:p w14:paraId="5BBA64E3" w14:textId="00243E52" w:rsidR="005F0D59" w:rsidRPr="00B801D9" w:rsidRDefault="008155E7" w:rsidP="00331A31">
      <w:pPr>
        <w:pStyle w:val="BodyTextNumbering"/>
        <w:numPr>
          <w:ilvl w:val="0"/>
          <w:numId w:val="26"/>
        </w:numPr>
        <w:spacing w:before="0"/>
        <w:rPr>
          <w:rFonts w:cs="Arial"/>
          <w:szCs w:val="20"/>
        </w:rPr>
      </w:pPr>
      <w:r w:rsidRPr="00E95EC6">
        <w:rPr>
          <w:rFonts w:eastAsia="Calibri" w:cs="Arial"/>
          <w:szCs w:val="20"/>
        </w:rPr>
        <w:t>protecting against erosion</w:t>
      </w:r>
      <w:r w:rsidR="00F51F93" w:rsidRPr="00E95EC6">
        <w:rPr>
          <w:rFonts w:eastAsia="Calibri" w:cs="Arial"/>
          <w:szCs w:val="20"/>
        </w:rPr>
        <w:t xml:space="preserve"> </w:t>
      </w:r>
      <w:r w:rsidR="00B22AB8" w:rsidRPr="00E95EC6">
        <w:rPr>
          <w:rFonts w:eastAsia="Calibri" w:cs="Arial"/>
          <w:szCs w:val="20"/>
        </w:rPr>
        <w:t xml:space="preserve">and </w:t>
      </w:r>
      <w:r w:rsidR="00F51F93" w:rsidRPr="00E95EC6">
        <w:rPr>
          <w:rFonts w:eastAsia="Calibri" w:cs="Arial"/>
          <w:szCs w:val="20"/>
        </w:rPr>
        <w:t>baffling</w:t>
      </w:r>
      <w:r w:rsidR="00B22AB8" w:rsidRPr="00E95EC6">
        <w:rPr>
          <w:rFonts w:eastAsia="Calibri" w:cs="Arial"/>
          <w:szCs w:val="20"/>
        </w:rPr>
        <w:t xml:space="preserve"> waves</w:t>
      </w:r>
      <w:r w:rsidR="00E57F53">
        <w:rPr>
          <w:rFonts w:eastAsia="Calibri" w:cs="Arial"/>
          <w:szCs w:val="20"/>
        </w:rPr>
        <w:t>,</w:t>
      </w:r>
      <w:r w:rsidR="00B22AB8" w:rsidRPr="00E95EC6">
        <w:rPr>
          <w:rFonts w:eastAsia="Calibri" w:cs="Arial"/>
          <w:szCs w:val="20"/>
        </w:rPr>
        <w:t xml:space="preserve"> </w:t>
      </w:r>
      <w:r w:rsidR="003D4FE1" w:rsidRPr="00E95EC6">
        <w:rPr>
          <w:rFonts w:eastAsia="Calibri" w:cs="Arial"/>
          <w:szCs w:val="20"/>
        </w:rPr>
        <w:t>protecting coastlines from storms and other weather events</w:t>
      </w:r>
    </w:p>
    <w:p w14:paraId="40C4C823" w14:textId="59575EC7" w:rsidR="005F0D59" w:rsidRPr="00E95EC6" w:rsidRDefault="005F0D59" w:rsidP="00331A31">
      <w:pPr>
        <w:pStyle w:val="BodyTextNumbering"/>
        <w:numPr>
          <w:ilvl w:val="0"/>
          <w:numId w:val="26"/>
        </w:numPr>
        <w:spacing w:before="0"/>
        <w:rPr>
          <w:rFonts w:cs="Arial"/>
          <w:szCs w:val="20"/>
        </w:rPr>
      </w:pPr>
      <w:r w:rsidRPr="00E95EC6">
        <w:rPr>
          <w:rFonts w:cs="Arial"/>
          <w:szCs w:val="20"/>
        </w:rPr>
        <w:t xml:space="preserve">supporting Traditional Owners cultural practices, </w:t>
      </w:r>
      <w:r w:rsidR="00E57F53">
        <w:rPr>
          <w:rFonts w:cs="Arial"/>
          <w:szCs w:val="20"/>
        </w:rPr>
        <w:t xml:space="preserve">for example </w:t>
      </w:r>
      <w:r w:rsidRPr="00E95EC6">
        <w:rPr>
          <w:rFonts w:cs="Arial"/>
          <w:szCs w:val="20"/>
        </w:rPr>
        <w:t>lore and spiritual connections</w:t>
      </w:r>
    </w:p>
    <w:p w14:paraId="2099530C" w14:textId="35B2C6DE" w:rsidR="003D4FE1" w:rsidRPr="00403F24" w:rsidRDefault="00403F24" w:rsidP="00331A31">
      <w:pPr>
        <w:pStyle w:val="BodyTextNumbering"/>
        <w:numPr>
          <w:ilvl w:val="0"/>
          <w:numId w:val="26"/>
        </w:numPr>
        <w:spacing w:before="0"/>
        <w:rPr>
          <w:rFonts w:cs="Arial"/>
          <w:szCs w:val="20"/>
        </w:rPr>
      </w:pPr>
      <w:r w:rsidDel="005F0D59">
        <w:rPr>
          <w:rFonts w:cs="Arial"/>
          <w:szCs w:val="20"/>
        </w:rPr>
        <w:t xml:space="preserve">supporting </w:t>
      </w:r>
      <w:r w:rsidRPr="00165362" w:rsidDel="005F0D59">
        <w:rPr>
          <w:rFonts w:cs="Arial"/>
          <w:szCs w:val="20"/>
        </w:rPr>
        <w:t xml:space="preserve">commercially important </w:t>
      </w:r>
      <w:r w:rsidDel="005F0D59">
        <w:rPr>
          <w:rFonts w:cs="Arial"/>
          <w:szCs w:val="20"/>
        </w:rPr>
        <w:t>species</w:t>
      </w:r>
      <w:r w:rsidRPr="00DE5FC4" w:rsidDel="005F0D59">
        <w:rPr>
          <w:rFonts w:cs="Arial"/>
          <w:szCs w:val="20"/>
        </w:rPr>
        <w:t xml:space="preserve"> </w:t>
      </w:r>
      <w:r w:rsidDel="005F0D59">
        <w:rPr>
          <w:rFonts w:cs="Arial"/>
          <w:szCs w:val="20"/>
        </w:rPr>
        <w:t xml:space="preserve">for fishing (such as </w:t>
      </w:r>
      <w:r w:rsidRPr="00165362" w:rsidDel="005F0D59">
        <w:rPr>
          <w:rFonts w:cs="Arial"/>
          <w:szCs w:val="20"/>
        </w:rPr>
        <w:t>fish, c</w:t>
      </w:r>
      <w:r w:rsidDel="005F0D59">
        <w:rPr>
          <w:rFonts w:cs="Arial"/>
          <w:szCs w:val="20"/>
        </w:rPr>
        <w:t xml:space="preserve">rabs, prawns and molluscs) and </w:t>
      </w:r>
      <w:r w:rsidRPr="00E95EC6" w:rsidDel="005F0D59">
        <w:rPr>
          <w:rFonts w:cs="Arial"/>
          <w:szCs w:val="20"/>
        </w:rPr>
        <w:t xml:space="preserve">tourism </w:t>
      </w:r>
      <w:r w:rsidDel="005F0D59">
        <w:rPr>
          <w:rFonts w:cs="Arial"/>
          <w:szCs w:val="20"/>
        </w:rPr>
        <w:t>(particularly charismatic species)</w:t>
      </w:r>
      <w:r w:rsidR="00AD3E6E">
        <w:rPr>
          <w:rFonts w:cs="Arial"/>
          <w:szCs w:val="20"/>
        </w:rPr>
        <w:t>.</w:t>
      </w:r>
      <w:r w:rsidDel="005F0D59">
        <w:rPr>
          <w:rFonts w:cs="Arial"/>
          <w:szCs w:val="20"/>
        </w:rPr>
        <w:t xml:space="preserve"> </w:t>
      </w:r>
    </w:p>
    <w:p w14:paraId="606D0ACD" w14:textId="3BDBAAA8" w:rsidR="005F0D59" w:rsidRDefault="005F0D59" w:rsidP="00331A31">
      <w:pPr>
        <w:pStyle w:val="BodyTextNumbering"/>
        <w:numPr>
          <w:ilvl w:val="0"/>
          <w:numId w:val="29"/>
        </w:numPr>
        <w:spacing w:before="120"/>
        <w:rPr>
          <w:rFonts w:eastAsia="Calibri" w:cs="Arial"/>
          <w:szCs w:val="20"/>
        </w:rPr>
      </w:pPr>
      <w:r>
        <w:rPr>
          <w:rFonts w:eastAsia="Calibri" w:cs="Arial"/>
          <w:szCs w:val="20"/>
        </w:rPr>
        <w:t>Seagrass meadows sequester and store significant amounts of carbon even when compared with terrestrial ecosystems on a per unit area basis.</w:t>
      </w:r>
      <w:r>
        <w:rPr>
          <w:rFonts w:eastAsia="Calibri" w:cs="Arial"/>
          <w:szCs w:val="20"/>
        </w:rPr>
        <w:fldChar w:fldCharType="begin"/>
      </w:r>
      <w:r>
        <w:rPr>
          <w:rFonts w:eastAsia="Calibri" w:cs="Arial"/>
          <w:szCs w:val="20"/>
        </w:rPr>
        <w:instrText>ADDIN RW.CITE{{25503 InternationalUnionforConservationofNature 2017}}</w:instrText>
      </w:r>
      <w:r>
        <w:rPr>
          <w:rFonts w:eastAsia="Calibri" w:cs="Arial"/>
          <w:szCs w:val="20"/>
        </w:rPr>
        <w:fldChar w:fldCharType="separate"/>
      </w:r>
      <w:r w:rsidRPr="00EE558C">
        <w:rPr>
          <w:rFonts w:eastAsia="Calibri" w:cs="Arial"/>
          <w:szCs w:val="20"/>
          <w:vertAlign w:val="superscript"/>
        </w:rPr>
        <w:t>16</w:t>
      </w:r>
      <w:r>
        <w:rPr>
          <w:rFonts w:eastAsia="Calibri" w:cs="Arial"/>
          <w:szCs w:val="20"/>
        </w:rPr>
        <w:fldChar w:fldCharType="end"/>
      </w:r>
      <w:r>
        <w:rPr>
          <w:rFonts w:eastAsia="Calibri" w:cs="Arial"/>
          <w:szCs w:val="20"/>
        </w:rPr>
        <w:t xml:space="preserve"> Carbon stored in coastal and marine ecosystems (such as seagrass meadows, tidal marshes and mangroves) is referred to as ‘blue carbon’. It is estimated </w:t>
      </w:r>
      <w:r>
        <w:t>Australia’s 92,500 square kilometres of seagrass meadows contain more than 155 million tonnes of carbon and every year sequester another one million tonnes through sediment accumulation (based on sedimentation rate of 1.5 millimetres per year).</w:t>
      </w:r>
      <w:r>
        <w:fldChar w:fldCharType="begin"/>
      </w:r>
      <w:r>
        <w:instrText>ADDIN RW.CITE{{25504 Lavery,P.S. 2013; 25506 Lavery,P. 6 September, 2013}}</w:instrText>
      </w:r>
      <w:r>
        <w:fldChar w:fldCharType="separate"/>
      </w:r>
      <w:r w:rsidRPr="00EE558C">
        <w:rPr>
          <w:rFonts w:cs="Arial"/>
          <w:vertAlign w:val="superscript"/>
        </w:rPr>
        <w:t>17,18</w:t>
      </w:r>
      <w:r>
        <w:fldChar w:fldCharType="end"/>
      </w:r>
      <w:r>
        <w:t xml:space="preserve"> Therefore the seagrass meadows in the Marine Park may store close to 80 million tonnes of carbon. </w:t>
      </w:r>
      <w:r w:rsidRPr="00086B53">
        <w:rPr>
          <w:rFonts w:eastAsia="Calibri" w:cs="Arial"/>
          <w:szCs w:val="20"/>
        </w:rPr>
        <w:t xml:space="preserve">It is </w:t>
      </w:r>
      <w:r>
        <w:rPr>
          <w:rFonts w:eastAsia="Calibri" w:cs="Arial"/>
          <w:szCs w:val="20"/>
        </w:rPr>
        <w:t xml:space="preserve">also </w:t>
      </w:r>
      <w:r w:rsidRPr="00086B53">
        <w:rPr>
          <w:rFonts w:eastAsia="Calibri" w:cs="Arial"/>
          <w:szCs w:val="20"/>
        </w:rPr>
        <w:t>estimated for every lo</w:t>
      </w:r>
      <w:r>
        <w:rPr>
          <w:rFonts w:eastAsia="Calibri" w:cs="Arial"/>
          <w:szCs w:val="20"/>
        </w:rPr>
        <w:t>ss of</w:t>
      </w:r>
      <w:r w:rsidRPr="00086B53">
        <w:rPr>
          <w:rFonts w:eastAsia="Calibri" w:cs="Arial"/>
          <w:szCs w:val="20"/>
        </w:rPr>
        <w:t xml:space="preserve"> one kilometre square of seagrass </w:t>
      </w:r>
      <w:r>
        <w:rPr>
          <w:rFonts w:eastAsia="Calibri" w:cs="Arial"/>
          <w:szCs w:val="20"/>
        </w:rPr>
        <w:t>approximately</w:t>
      </w:r>
      <w:r w:rsidRPr="00086B53">
        <w:rPr>
          <w:rFonts w:eastAsia="Calibri" w:cs="Arial"/>
          <w:szCs w:val="20"/>
        </w:rPr>
        <w:t xml:space="preserve"> 1.6 tonnes of carbon </w:t>
      </w:r>
      <w:r>
        <w:rPr>
          <w:rFonts w:eastAsia="Calibri" w:cs="Arial"/>
          <w:szCs w:val="20"/>
        </w:rPr>
        <w:t xml:space="preserve">is released </w:t>
      </w:r>
      <w:r w:rsidRPr="00086B53">
        <w:rPr>
          <w:rFonts w:eastAsia="Calibri" w:cs="Arial"/>
          <w:szCs w:val="20"/>
        </w:rPr>
        <w:t>into the atmosphere.</w:t>
      </w:r>
      <w:r>
        <w:rPr>
          <w:rFonts w:eastAsia="Calibri" w:cs="Arial"/>
          <w:szCs w:val="20"/>
        </w:rPr>
        <w:fldChar w:fldCharType="begin"/>
      </w:r>
      <w:r>
        <w:rPr>
          <w:rFonts w:eastAsia="Calibri" w:cs="Arial"/>
          <w:szCs w:val="20"/>
        </w:rPr>
        <w:instrText>ADDIN RW.CITE{{25506 Lavery,P. 6 September, 2013}}</w:instrText>
      </w:r>
      <w:r>
        <w:rPr>
          <w:rFonts w:eastAsia="Calibri" w:cs="Arial"/>
          <w:szCs w:val="20"/>
        </w:rPr>
        <w:fldChar w:fldCharType="separate"/>
      </w:r>
      <w:r w:rsidRPr="00EE558C">
        <w:rPr>
          <w:rFonts w:eastAsia="Calibri" w:cs="Arial"/>
          <w:szCs w:val="20"/>
          <w:vertAlign w:val="superscript"/>
        </w:rPr>
        <w:t>18</w:t>
      </w:r>
      <w:r>
        <w:rPr>
          <w:rFonts w:eastAsia="Calibri" w:cs="Arial"/>
          <w:szCs w:val="20"/>
        </w:rPr>
        <w:fldChar w:fldCharType="end"/>
      </w:r>
    </w:p>
    <w:p w14:paraId="3513C34F" w14:textId="20CEC98D" w:rsidR="00170BA5" w:rsidRPr="00EC0529" w:rsidRDefault="00D85C82" w:rsidP="00331A31">
      <w:pPr>
        <w:pStyle w:val="BodyTextNumbering"/>
        <w:numPr>
          <w:ilvl w:val="0"/>
          <w:numId w:val="29"/>
        </w:numPr>
        <w:spacing w:before="120"/>
        <w:rPr>
          <w:rFonts w:eastAsia="Calibri" w:cs="Arial"/>
          <w:szCs w:val="20"/>
        </w:rPr>
      </w:pPr>
      <w:r w:rsidRPr="00EC0529">
        <w:rPr>
          <w:rFonts w:eastAsia="Calibri" w:cs="Arial"/>
          <w:szCs w:val="20"/>
        </w:rPr>
        <w:t xml:space="preserve">Seagrass meadows </w:t>
      </w:r>
      <w:r w:rsidR="00170117">
        <w:rPr>
          <w:rFonts w:eastAsia="Calibri" w:cs="Arial"/>
          <w:szCs w:val="20"/>
        </w:rPr>
        <w:t xml:space="preserve">also </w:t>
      </w:r>
      <w:r w:rsidRPr="00EC0529">
        <w:rPr>
          <w:rFonts w:eastAsia="Calibri" w:cs="Arial"/>
          <w:szCs w:val="20"/>
        </w:rPr>
        <w:t>play an important role in maintaining c</w:t>
      </w:r>
      <w:r w:rsidR="00170BA5" w:rsidRPr="00EC0529">
        <w:rPr>
          <w:rFonts w:eastAsia="Calibri" w:cs="Arial"/>
          <w:szCs w:val="20"/>
        </w:rPr>
        <w:t>onnectivity</w:t>
      </w:r>
      <w:r w:rsidRPr="00EC0529">
        <w:rPr>
          <w:rFonts w:eastAsia="Calibri" w:cs="Arial"/>
          <w:szCs w:val="20"/>
        </w:rPr>
        <w:t xml:space="preserve"> between marine </w:t>
      </w:r>
      <w:r w:rsidR="00340AFF">
        <w:rPr>
          <w:rFonts w:eastAsia="Calibri" w:cs="Arial"/>
          <w:szCs w:val="20"/>
        </w:rPr>
        <w:t xml:space="preserve">(including coral reefs) and coastal ecosystems </w:t>
      </w:r>
      <w:r w:rsidRPr="00EC0529">
        <w:rPr>
          <w:rFonts w:eastAsia="Calibri" w:cs="Arial"/>
          <w:szCs w:val="20"/>
        </w:rPr>
        <w:t>in and adjacent to the Marine Park</w:t>
      </w:r>
      <w:r w:rsidR="00EC0529">
        <w:rPr>
          <w:rFonts w:eastAsia="Calibri" w:cs="Arial"/>
          <w:szCs w:val="20"/>
        </w:rPr>
        <w:t xml:space="preserve">. Connectivity allows for </w:t>
      </w:r>
      <w:r w:rsidR="00EC0529" w:rsidRPr="00EC0529">
        <w:rPr>
          <w:rFonts w:eastAsia="Calibri" w:cs="Arial"/>
          <w:szCs w:val="20"/>
        </w:rPr>
        <w:t>spawning patterns, larval dispersal, and movement of adult fishes and other animals</w:t>
      </w:r>
      <w:r w:rsidR="00954B57">
        <w:rPr>
          <w:rFonts w:eastAsia="Calibri" w:cs="Arial"/>
          <w:szCs w:val="20"/>
        </w:rPr>
        <w:t xml:space="preserve"> across ecosystems</w:t>
      </w:r>
      <w:r w:rsidR="00EC0529" w:rsidRPr="00EC0529">
        <w:rPr>
          <w:rFonts w:eastAsia="Calibri" w:cs="Arial"/>
          <w:szCs w:val="20"/>
        </w:rPr>
        <w:t>. Connectivity is an important process to ensure the productive function of th</w:t>
      </w:r>
      <w:r w:rsidR="005D7845">
        <w:rPr>
          <w:rFonts w:eastAsia="Calibri" w:cs="Arial"/>
          <w:szCs w:val="20"/>
        </w:rPr>
        <w:t xml:space="preserve">e plant and animal species </w:t>
      </w:r>
      <w:r w:rsidR="00EC0529" w:rsidRPr="00EC0529">
        <w:rPr>
          <w:rFonts w:eastAsia="Calibri" w:cs="Arial"/>
          <w:szCs w:val="20"/>
        </w:rPr>
        <w:t>contribute to the overall health of an ecosystem</w:t>
      </w:r>
      <w:r w:rsidR="00E001D3">
        <w:rPr>
          <w:rFonts w:eastAsia="Calibri" w:cs="Arial"/>
          <w:szCs w:val="20"/>
        </w:rPr>
        <w:t xml:space="preserve"> and adjacent ecosystems</w:t>
      </w:r>
      <w:r w:rsidR="006A27DD">
        <w:rPr>
          <w:rFonts w:eastAsia="Calibri" w:cs="Arial"/>
          <w:szCs w:val="20"/>
        </w:rPr>
        <w:t>.</w:t>
      </w:r>
      <w:r w:rsidR="006A27DD" w:rsidRPr="00EA13A5">
        <w:rPr>
          <w:rFonts w:eastAsia="Calibri" w:cs="Arial"/>
          <w:szCs w:val="20"/>
        </w:rPr>
        <w:fldChar w:fldCharType="begin"/>
      </w:r>
      <w:r w:rsidR="00EE558C">
        <w:rPr>
          <w:rFonts w:eastAsia="Calibri" w:cs="Arial"/>
          <w:szCs w:val="20"/>
        </w:rPr>
        <w:instrText>ADDIN RW.CITE{{3880 Johnson,J.E. 2007}}</w:instrText>
      </w:r>
      <w:r w:rsidR="006A27DD" w:rsidRPr="00EA13A5">
        <w:rPr>
          <w:rFonts w:eastAsia="Calibri" w:cs="Arial"/>
          <w:szCs w:val="20"/>
        </w:rPr>
        <w:fldChar w:fldCharType="separate"/>
      </w:r>
      <w:r w:rsidR="00EE558C" w:rsidRPr="00EE558C">
        <w:rPr>
          <w:rFonts w:eastAsia="Calibri" w:cs="Arial"/>
          <w:szCs w:val="20"/>
          <w:vertAlign w:val="superscript"/>
        </w:rPr>
        <w:t>11</w:t>
      </w:r>
      <w:r w:rsidR="006A27DD" w:rsidRPr="00EA13A5">
        <w:rPr>
          <w:rFonts w:eastAsia="Calibri" w:cs="Arial"/>
          <w:szCs w:val="20"/>
        </w:rPr>
        <w:fldChar w:fldCharType="end"/>
      </w:r>
      <w:r w:rsidR="006A27DD">
        <w:rPr>
          <w:rFonts w:eastAsia="Calibri" w:cs="Arial"/>
          <w:szCs w:val="20"/>
        </w:rPr>
        <w:t xml:space="preserve"> </w:t>
      </w:r>
    </w:p>
    <w:p w14:paraId="614D95BD" w14:textId="77777777" w:rsidR="004770A9" w:rsidRPr="001B6545" w:rsidRDefault="004770A9" w:rsidP="00331A31">
      <w:pPr>
        <w:pStyle w:val="BodyTextNumbering"/>
        <w:numPr>
          <w:ilvl w:val="0"/>
          <w:numId w:val="29"/>
        </w:numPr>
        <w:spacing w:before="120"/>
        <w:rPr>
          <w:rFonts w:eastAsia="Calibri" w:cs="Arial"/>
          <w:szCs w:val="20"/>
        </w:rPr>
      </w:pPr>
      <w:r w:rsidRPr="00340AFF">
        <w:rPr>
          <w:rFonts w:eastAsia="Calibri" w:cs="Arial"/>
          <w:szCs w:val="20"/>
        </w:rPr>
        <w:t>Seagrasses represent good bio-indicators of overall marine</w:t>
      </w:r>
      <w:r w:rsidRPr="001B6545">
        <w:rPr>
          <w:rFonts w:eastAsia="Calibri" w:cs="Arial"/>
          <w:szCs w:val="20"/>
        </w:rPr>
        <w:t xml:space="preserve"> and coastal health due to their:</w:t>
      </w:r>
    </w:p>
    <w:p w14:paraId="78765C2F" w14:textId="77777777" w:rsidR="004770A9" w:rsidRPr="00345C29" w:rsidRDefault="004770A9" w:rsidP="00331A31">
      <w:pPr>
        <w:pStyle w:val="BodyTextNumbering"/>
        <w:numPr>
          <w:ilvl w:val="0"/>
          <w:numId w:val="30"/>
        </w:numPr>
        <w:spacing w:before="0"/>
        <w:rPr>
          <w:rFonts w:eastAsia="Calibri" w:cs="Arial"/>
          <w:szCs w:val="20"/>
        </w:rPr>
      </w:pPr>
      <w:r w:rsidRPr="00345C29">
        <w:rPr>
          <w:rFonts w:eastAsia="Calibri" w:cs="Arial"/>
          <w:szCs w:val="20"/>
        </w:rPr>
        <w:t>widespread distribution</w:t>
      </w:r>
    </w:p>
    <w:p w14:paraId="6FBB5FD2" w14:textId="77777777" w:rsidR="004770A9" w:rsidRPr="00345C29" w:rsidRDefault="004770A9" w:rsidP="00331A31">
      <w:pPr>
        <w:pStyle w:val="BodyTextNumbering"/>
        <w:numPr>
          <w:ilvl w:val="0"/>
          <w:numId w:val="30"/>
        </w:numPr>
        <w:spacing w:before="0"/>
        <w:rPr>
          <w:rFonts w:eastAsia="Calibri" w:cs="Arial"/>
          <w:szCs w:val="20"/>
        </w:rPr>
      </w:pPr>
      <w:r w:rsidRPr="00345C29">
        <w:rPr>
          <w:rFonts w:eastAsia="Calibri" w:cs="Arial"/>
          <w:szCs w:val="20"/>
        </w:rPr>
        <w:t>important ecological role</w:t>
      </w:r>
    </w:p>
    <w:p w14:paraId="0257F919" w14:textId="77777777" w:rsidR="00055460" w:rsidRDefault="004770A9" w:rsidP="00331A31">
      <w:pPr>
        <w:pStyle w:val="BodyTextNumbering"/>
        <w:numPr>
          <w:ilvl w:val="0"/>
          <w:numId w:val="30"/>
        </w:numPr>
        <w:spacing w:before="0"/>
        <w:rPr>
          <w:rFonts w:eastAsia="Calibri" w:cs="Arial"/>
          <w:szCs w:val="20"/>
        </w:rPr>
      </w:pPr>
      <w:r>
        <w:rPr>
          <w:rFonts w:eastAsia="Calibri" w:cs="Arial"/>
          <w:szCs w:val="20"/>
        </w:rPr>
        <w:t>fixed, immobile</w:t>
      </w:r>
      <w:r w:rsidRPr="00345C29">
        <w:rPr>
          <w:rFonts w:eastAsia="Calibri" w:cs="Arial"/>
          <w:szCs w:val="20"/>
        </w:rPr>
        <w:t xml:space="preserve"> nature</w:t>
      </w:r>
      <w:r>
        <w:rPr>
          <w:rFonts w:eastAsia="Calibri" w:cs="Arial"/>
          <w:szCs w:val="20"/>
        </w:rPr>
        <w:t xml:space="preserve"> (anchored to the substrate)</w:t>
      </w:r>
    </w:p>
    <w:p w14:paraId="03FBE6AA" w14:textId="3B74606E" w:rsidR="00170BA5" w:rsidRPr="00055460" w:rsidRDefault="004770A9" w:rsidP="00331A31">
      <w:pPr>
        <w:pStyle w:val="BodyTextNumbering"/>
        <w:numPr>
          <w:ilvl w:val="0"/>
          <w:numId w:val="30"/>
        </w:numPr>
        <w:spacing w:before="0"/>
        <w:rPr>
          <w:rFonts w:eastAsia="Calibri" w:cs="Arial"/>
          <w:szCs w:val="20"/>
        </w:rPr>
      </w:pPr>
      <w:r w:rsidRPr="00055460">
        <w:rPr>
          <w:rFonts w:eastAsia="Calibri" w:cs="Arial"/>
          <w:szCs w:val="20"/>
        </w:rPr>
        <w:t>measurable and timely responses to environmental conditions and impacts (</w:t>
      </w:r>
      <w:r w:rsidR="00464576" w:rsidRPr="00055460">
        <w:rPr>
          <w:rFonts w:eastAsia="Calibri" w:cs="Arial"/>
          <w:szCs w:val="20"/>
        </w:rPr>
        <w:t xml:space="preserve">for example </w:t>
      </w:r>
      <w:r w:rsidRPr="00055460">
        <w:rPr>
          <w:rFonts w:eastAsia="Calibri" w:cs="Arial"/>
          <w:szCs w:val="20"/>
        </w:rPr>
        <w:t xml:space="preserve">pollution, </w:t>
      </w:r>
      <w:r w:rsidR="007E4267">
        <w:rPr>
          <w:rFonts w:eastAsia="Calibri" w:cs="Arial"/>
          <w:szCs w:val="20"/>
        </w:rPr>
        <w:t xml:space="preserve">light, </w:t>
      </w:r>
      <w:r w:rsidRPr="00055460">
        <w:rPr>
          <w:rFonts w:eastAsia="Calibri" w:cs="Arial"/>
          <w:szCs w:val="20"/>
        </w:rPr>
        <w:t>temperature, sediment resuspension, salinity)</w:t>
      </w:r>
      <w:r w:rsidR="008B0659" w:rsidRPr="00055460">
        <w:rPr>
          <w:rFonts w:eastAsia="Calibri" w:cs="Arial"/>
          <w:szCs w:val="20"/>
        </w:rPr>
        <w:t>.</w:t>
      </w:r>
    </w:p>
    <w:p w14:paraId="71CCAC2C" w14:textId="77777777" w:rsidR="00EF383F" w:rsidRPr="00511304" w:rsidRDefault="00EF383F" w:rsidP="00511304">
      <w:pPr>
        <w:pStyle w:val="Heading1"/>
        <w:widowControl/>
        <w:autoSpaceDE/>
        <w:autoSpaceDN/>
        <w:adjustRightInd/>
        <w:spacing w:before="200" w:after="100"/>
        <w:ind w:right="0"/>
        <w:jc w:val="left"/>
        <w:rPr>
          <w:rFonts w:ascii="Calibri" w:hAnsi="Calibri" w:cs="Times New Roman"/>
          <w:bCs w:val="0"/>
          <w:color w:val="005782"/>
          <w:sz w:val="30"/>
          <w:szCs w:val="30"/>
        </w:rPr>
      </w:pPr>
      <w:bookmarkStart w:id="2" w:name="_Management"/>
      <w:bookmarkEnd w:id="2"/>
      <w:r w:rsidRPr="00511304">
        <w:rPr>
          <w:rFonts w:ascii="Calibri" w:hAnsi="Calibri" w:cs="Times New Roman"/>
          <w:bCs w:val="0"/>
          <w:color w:val="005782"/>
          <w:sz w:val="30"/>
          <w:szCs w:val="30"/>
        </w:rPr>
        <w:t xml:space="preserve">Management </w:t>
      </w:r>
    </w:p>
    <w:p w14:paraId="53F60F75" w14:textId="2EBD6E2F" w:rsidR="001D17CC" w:rsidRPr="007B464A" w:rsidRDefault="00511304" w:rsidP="007B464A">
      <w:pPr>
        <w:pStyle w:val="BodyTextNumbering"/>
        <w:numPr>
          <w:ilvl w:val="0"/>
          <w:numId w:val="9"/>
        </w:numPr>
        <w:spacing w:before="120"/>
      </w:pPr>
      <w:r w:rsidRPr="007E020B">
        <w:t xml:space="preserve">This section explains the most commonly used legislation, policies and management plans in managing </w:t>
      </w:r>
      <w:r w:rsidR="00117283">
        <w:t>seagrass and seagrass meadows</w:t>
      </w:r>
      <w:r w:rsidRPr="007E020B">
        <w:t>. Also refer to the</w:t>
      </w:r>
      <w:r w:rsidR="00D16FD9">
        <w:t xml:space="preserve"> </w:t>
      </w:r>
      <w:hyperlink r:id="rId24" w:history="1">
        <w:r w:rsidR="00D16FD9" w:rsidRPr="00A67014">
          <w:rPr>
            <w:rStyle w:val="Hyperlink"/>
          </w:rPr>
          <w:t xml:space="preserve">Policy – Environmental </w:t>
        </w:r>
        <w:r w:rsidR="00A67014" w:rsidRPr="00A67014">
          <w:rPr>
            <w:rStyle w:val="Hyperlink"/>
          </w:rPr>
          <w:t>Impact Management – Permission System</w:t>
        </w:r>
      </w:hyperlink>
      <w:r w:rsidR="00A67014">
        <w:t xml:space="preserve"> </w:t>
      </w:r>
      <w:r w:rsidRPr="007E020B">
        <w:t xml:space="preserve">for a list of legislation, standards and policies used through the permission system. </w:t>
      </w:r>
    </w:p>
    <w:p w14:paraId="21BBD366" w14:textId="77777777" w:rsidR="00EF383F" w:rsidRPr="00511304" w:rsidRDefault="00EF383F" w:rsidP="00387FE3">
      <w:pPr>
        <w:pStyle w:val="Heading2"/>
      </w:pPr>
      <w:r w:rsidRPr="00511304">
        <w:t xml:space="preserve">Zoning and Legislation </w:t>
      </w:r>
    </w:p>
    <w:p w14:paraId="2BFBCD6D" w14:textId="6602E3C7" w:rsidR="00C85228" w:rsidRDefault="003F0413" w:rsidP="00331A31">
      <w:pPr>
        <w:pStyle w:val="BodyTextNumbering"/>
        <w:numPr>
          <w:ilvl w:val="0"/>
          <w:numId w:val="9"/>
        </w:numPr>
        <w:spacing w:before="120"/>
        <w:rPr>
          <w:rFonts w:cs="Arial"/>
          <w:szCs w:val="20"/>
        </w:rPr>
      </w:pPr>
      <w:r w:rsidRPr="00C85228">
        <w:rPr>
          <w:rFonts w:cs="Arial"/>
          <w:szCs w:val="20"/>
        </w:rPr>
        <w:t xml:space="preserve">The </w:t>
      </w:r>
      <w:r w:rsidR="00616AC2" w:rsidRPr="00C85228">
        <w:rPr>
          <w:rFonts w:cs="Arial"/>
          <w:szCs w:val="20"/>
        </w:rPr>
        <w:t>main object</w:t>
      </w:r>
      <w:r w:rsidR="00616AC2">
        <w:rPr>
          <w:rFonts w:cs="Arial"/>
          <w:szCs w:val="20"/>
        </w:rPr>
        <w:t xml:space="preserve"> of the</w:t>
      </w:r>
      <w:r w:rsidR="00616AC2" w:rsidRPr="00C85228">
        <w:rPr>
          <w:rFonts w:cs="Arial"/>
          <w:szCs w:val="20"/>
        </w:rPr>
        <w:t xml:space="preserve"> </w:t>
      </w:r>
      <w:hyperlink r:id="rId25" w:history="1">
        <w:r w:rsidRPr="00C85228">
          <w:rPr>
            <w:rStyle w:val="Hyperlink"/>
            <w:rFonts w:cs="Arial"/>
            <w:i/>
            <w:szCs w:val="20"/>
          </w:rPr>
          <w:t>Great Barrier Reef Marine Park Act 1975</w:t>
        </w:r>
      </w:hyperlink>
      <w:r w:rsidRPr="00C85228">
        <w:rPr>
          <w:rFonts w:cs="Arial"/>
          <w:szCs w:val="20"/>
        </w:rPr>
        <w:t xml:space="preserve"> (GBRMP Act) is to provide for the long term protection and conservation of the environment, biodiversity and heritage values of the Great Barrier Reef Region. The GBRMP Act also allows for ecologically sustainable use.</w:t>
      </w:r>
    </w:p>
    <w:p w14:paraId="07E6E877" w14:textId="5D12178F" w:rsidR="00942F25" w:rsidRPr="00A56F39" w:rsidRDefault="00942F25" w:rsidP="00331A31">
      <w:pPr>
        <w:pStyle w:val="BodyTextNumbering"/>
        <w:numPr>
          <w:ilvl w:val="0"/>
          <w:numId w:val="9"/>
        </w:numPr>
        <w:spacing w:before="120"/>
        <w:rPr>
          <w:rFonts w:cs="Arial"/>
          <w:szCs w:val="20"/>
        </w:rPr>
      </w:pPr>
      <w:r>
        <w:rPr>
          <w:rFonts w:cs="Arial"/>
          <w:szCs w:val="20"/>
        </w:rPr>
        <w:t>T</w:t>
      </w:r>
      <w:r w:rsidRPr="00A56F39">
        <w:rPr>
          <w:rFonts w:cs="Arial"/>
          <w:szCs w:val="20"/>
        </w:rPr>
        <w:t xml:space="preserve">he </w:t>
      </w:r>
      <w:hyperlink r:id="rId26" w:history="1">
        <w:r w:rsidRPr="00055460">
          <w:rPr>
            <w:rStyle w:val="Hyperlink"/>
            <w:rFonts w:cs="Arial"/>
            <w:szCs w:val="20"/>
          </w:rPr>
          <w:t>Great Barrier Reef Zoning Plan 2003</w:t>
        </w:r>
      </w:hyperlink>
      <w:r w:rsidRPr="00055460">
        <w:rPr>
          <w:rFonts w:cs="Arial"/>
          <w:szCs w:val="20"/>
        </w:rPr>
        <w:t xml:space="preserve"> </w:t>
      </w:r>
      <w:r>
        <w:rPr>
          <w:rFonts w:cs="Arial"/>
          <w:szCs w:val="20"/>
        </w:rPr>
        <w:t>(</w:t>
      </w:r>
      <w:r w:rsidR="00387FE3">
        <w:rPr>
          <w:rFonts w:cs="Arial"/>
          <w:szCs w:val="20"/>
        </w:rPr>
        <w:t xml:space="preserve">the </w:t>
      </w:r>
      <w:r>
        <w:rPr>
          <w:rFonts w:cs="Arial"/>
          <w:szCs w:val="20"/>
        </w:rPr>
        <w:t xml:space="preserve">Zoning Plan 2003) </w:t>
      </w:r>
      <w:r w:rsidRPr="00055460">
        <w:rPr>
          <w:rFonts w:cs="Arial"/>
          <w:szCs w:val="20"/>
        </w:rPr>
        <w:t xml:space="preserve">specifies </w:t>
      </w:r>
      <w:r w:rsidR="00387FE3">
        <w:rPr>
          <w:rFonts w:cs="Arial"/>
          <w:szCs w:val="20"/>
        </w:rPr>
        <w:t xml:space="preserve">that </w:t>
      </w:r>
      <w:r w:rsidRPr="00055460">
        <w:rPr>
          <w:rFonts w:cs="Arial"/>
          <w:szCs w:val="20"/>
        </w:rPr>
        <w:t>th</w:t>
      </w:r>
      <w:r>
        <w:rPr>
          <w:rFonts w:cs="Arial"/>
          <w:szCs w:val="20"/>
        </w:rPr>
        <w:t>e t</w:t>
      </w:r>
      <w:r w:rsidRPr="00A56F39">
        <w:rPr>
          <w:rFonts w:cs="Arial"/>
          <w:szCs w:val="20"/>
        </w:rPr>
        <w:t>aking of plants</w:t>
      </w:r>
      <w:r>
        <w:rPr>
          <w:rFonts w:cs="Arial"/>
          <w:szCs w:val="20"/>
        </w:rPr>
        <w:t xml:space="preserve"> (such as seagrass)</w:t>
      </w:r>
      <w:r w:rsidRPr="00A56F39">
        <w:rPr>
          <w:rFonts w:cs="Arial"/>
          <w:szCs w:val="20"/>
        </w:rPr>
        <w:t xml:space="preserve"> </w:t>
      </w:r>
      <w:r>
        <w:rPr>
          <w:rFonts w:cs="Arial"/>
          <w:szCs w:val="20"/>
        </w:rPr>
        <w:t xml:space="preserve">from the Marine Park </w:t>
      </w:r>
      <w:r w:rsidRPr="00A56F39">
        <w:rPr>
          <w:rFonts w:cs="Arial"/>
          <w:szCs w:val="20"/>
        </w:rPr>
        <w:t>requires permission</w:t>
      </w:r>
      <w:r>
        <w:rPr>
          <w:rFonts w:cs="Arial"/>
          <w:szCs w:val="20"/>
        </w:rPr>
        <w:t xml:space="preserve">. Queensland’s </w:t>
      </w:r>
      <w:hyperlink r:id="rId27" w:history="1">
        <w:r w:rsidRPr="00A357C5">
          <w:rPr>
            <w:rStyle w:val="Hyperlink"/>
            <w:rFonts w:cs="Arial"/>
            <w:szCs w:val="20"/>
          </w:rPr>
          <w:t>Marine Parks (Great Barrier Reef Coast) Zoning Plan 2004</w:t>
        </w:r>
      </w:hyperlink>
      <w:r>
        <w:rPr>
          <w:rFonts w:cs="Arial"/>
          <w:szCs w:val="20"/>
        </w:rPr>
        <w:t xml:space="preserve"> aligns with the Zoning Plan 2003.</w:t>
      </w:r>
    </w:p>
    <w:p w14:paraId="08F96BFB" w14:textId="77CE33A8" w:rsidR="00954B57" w:rsidRPr="00954B57" w:rsidRDefault="003F0413" w:rsidP="00331A31">
      <w:pPr>
        <w:pStyle w:val="BodyTextNumbering"/>
        <w:numPr>
          <w:ilvl w:val="0"/>
          <w:numId w:val="9"/>
        </w:numPr>
        <w:spacing w:before="120"/>
        <w:rPr>
          <w:rFonts w:cs="Arial"/>
          <w:szCs w:val="20"/>
        </w:rPr>
      </w:pPr>
      <w:r w:rsidRPr="00C85228">
        <w:rPr>
          <w:rFonts w:cs="Arial"/>
          <w:szCs w:val="20"/>
        </w:rPr>
        <w:t xml:space="preserve">The </w:t>
      </w:r>
      <w:hyperlink r:id="rId28" w:history="1">
        <w:r w:rsidRPr="00C85228">
          <w:rPr>
            <w:rStyle w:val="Hyperlink"/>
            <w:rFonts w:cs="Arial"/>
            <w:szCs w:val="20"/>
          </w:rPr>
          <w:t>Great Barrier Reef Marine Park Regulation</w:t>
        </w:r>
        <w:r w:rsidR="000A2638" w:rsidRPr="00C85228">
          <w:rPr>
            <w:rStyle w:val="Hyperlink"/>
            <w:rFonts w:cs="Arial"/>
            <w:szCs w:val="20"/>
          </w:rPr>
          <w:t>s</w:t>
        </w:r>
        <w:r w:rsidRPr="00C85228">
          <w:rPr>
            <w:rStyle w:val="Hyperlink"/>
            <w:rFonts w:cs="Arial"/>
            <w:szCs w:val="20"/>
          </w:rPr>
          <w:t xml:space="preserve"> 1983</w:t>
        </w:r>
      </w:hyperlink>
      <w:r w:rsidRPr="00C85228">
        <w:rPr>
          <w:rFonts w:cs="Arial"/>
          <w:szCs w:val="20"/>
        </w:rPr>
        <w:t xml:space="preserve"> </w:t>
      </w:r>
      <w:r w:rsidR="000A2638" w:rsidRPr="00C85228">
        <w:rPr>
          <w:rFonts w:cs="Arial"/>
          <w:szCs w:val="20"/>
        </w:rPr>
        <w:t xml:space="preserve">(GBRMP Regulations) </w:t>
      </w:r>
      <w:r w:rsidRPr="00C85228">
        <w:rPr>
          <w:rFonts w:cs="Arial"/>
          <w:szCs w:val="20"/>
        </w:rPr>
        <w:t xml:space="preserve">require a permission application to be assessed to determine the potential impacts and risk to Marine Park values, </w:t>
      </w:r>
      <w:r w:rsidR="00F60E2D" w:rsidRPr="00C85228">
        <w:rPr>
          <w:rFonts w:cs="Arial"/>
          <w:szCs w:val="20"/>
        </w:rPr>
        <w:t>including</w:t>
      </w:r>
      <w:r w:rsidRPr="00C85228">
        <w:rPr>
          <w:rFonts w:cs="Arial"/>
          <w:szCs w:val="20"/>
        </w:rPr>
        <w:t xml:space="preserve"> seagrass and seagrass meadows</w:t>
      </w:r>
      <w:r w:rsidR="000A2638" w:rsidRPr="00C85228">
        <w:rPr>
          <w:rFonts w:cs="Arial"/>
          <w:szCs w:val="20"/>
        </w:rPr>
        <w:t xml:space="preserve">. </w:t>
      </w:r>
    </w:p>
    <w:p w14:paraId="4A442A89" w14:textId="17272C6E" w:rsidR="00954B57" w:rsidRPr="00942F25" w:rsidRDefault="00942F25" w:rsidP="00331A31">
      <w:pPr>
        <w:pStyle w:val="BodyTextNumbering"/>
        <w:numPr>
          <w:ilvl w:val="0"/>
          <w:numId w:val="9"/>
        </w:numPr>
        <w:spacing w:before="120"/>
        <w:rPr>
          <w:rFonts w:cs="Arial"/>
          <w:szCs w:val="20"/>
        </w:rPr>
      </w:pPr>
      <w:r w:rsidRPr="00942F25">
        <w:rPr>
          <w:rFonts w:cs="Arial"/>
          <w:szCs w:val="20"/>
        </w:rPr>
        <w:t xml:space="preserve">There are several </w:t>
      </w:r>
      <w:hyperlink r:id="rId29" w:history="1">
        <w:r w:rsidRPr="00942F25">
          <w:rPr>
            <w:rStyle w:val="Hyperlink"/>
            <w:rFonts w:cs="Arial"/>
            <w:szCs w:val="20"/>
          </w:rPr>
          <w:t>S</w:t>
        </w:r>
        <w:r w:rsidR="00954B57" w:rsidRPr="00942F25">
          <w:rPr>
            <w:rStyle w:val="Hyperlink"/>
            <w:rFonts w:cs="Arial"/>
            <w:szCs w:val="20"/>
          </w:rPr>
          <w:t>pecies Conservation (Dugong Protection) Special Management Areas</w:t>
        </w:r>
      </w:hyperlink>
      <w:r w:rsidRPr="00942F25">
        <w:rPr>
          <w:rFonts w:cs="Arial"/>
          <w:szCs w:val="20"/>
        </w:rPr>
        <w:t xml:space="preserve"> in the GBRMP Regulations designated for species conservation</w:t>
      </w:r>
      <w:r>
        <w:rPr>
          <w:rFonts w:cs="Arial"/>
          <w:szCs w:val="20"/>
        </w:rPr>
        <w:t xml:space="preserve"> and reflect the requirements of Dugong Protection Areas under Queenland Fisheries legislation</w:t>
      </w:r>
      <w:r w:rsidRPr="00942F25">
        <w:rPr>
          <w:rFonts w:cs="Arial"/>
          <w:szCs w:val="20"/>
        </w:rPr>
        <w:t xml:space="preserve">. The Zoning Plan 2003 provides for restrictions on access to, or use of, specific areas (such as Special Management Areas) of the Marine Park.  </w:t>
      </w:r>
    </w:p>
    <w:p w14:paraId="35DA9E7D" w14:textId="42276E3A" w:rsidR="00E001D3" w:rsidRDefault="00E001D3" w:rsidP="00331A31">
      <w:pPr>
        <w:pStyle w:val="BodyTextNumbering"/>
        <w:numPr>
          <w:ilvl w:val="0"/>
          <w:numId w:val="9"/>
        </w:numPr>
        <w:spacing w:before="120"/>
        <w:rPr>
          <w:rFonts w:cs="Arial"/>
          <w:szCs w:val="20"/>
        </w:rPr>
      </w:pPr>
      <w:r w:rsidRPr="00C85228">
        <w:rPr>
          <w:rFonts w:cs="Arial"/>
          <w:szCs w:val="20"/>
        </w:rPr>
        <w:lastRenderedPageBreak/>
        <w:t xml:space="preserve">Further, the GBRMP Regulations prohibit any amount of capital dredge spoil material that is more than 15 000 cubic metres in volume, prior to its excavation, to be disposed of in the Marine Park (excluding material excavated to create a trench in which </w:t>
      </w:r>
      <w:r w:rsidR="00387FE3">
        <w:rPr>
          <w:rFonts w:cs="Arial"/>
          <w:szCs w:val="20"/>
        </w:rPr>
        <w:t>a</w:t>
      </w:r>
      <w:r w:rsidR="00387FE3" w:rsidRPr="00C85228">
        <w:rPr>
          <w:rFonts w:cs="Arial"/>
          <w:szCs w:val="20"/>
        </w:rPr>
        <w:t xml:space="preserve"> </w:t>
      </w:r>
      <w:r w:rsidRPr="00C85228">
        <w:rPr>
          <w:rFonts w:cs="Arial"/>
          <w:szCs w:val="20"/>
        </w:rPr>
        <w:t>pipe, cable or tube is laid and then used to backfill the trench).</w:t>
      </w:r>
    </w:p>
    <w:p w14:paraId="282E03F3" w14:textId="77918629" w:rsidR="00A357C5" w:rsidRPr="00A357C5" w:rsidRDefault="00A357C5" w:rsidP="00331A31">
      <w:pPr>
        <w:pStyle w:val="BodyTextNumbering"/>
        <w:numPr>
          <w:ilvl w:val="0"/>
          <w:numId w:val="9"/>
        </w:numPr>
        <w:spacing w:before="120"/>
        <w:rPr>
          <w:rFonts w:cs="Arial"/>
          <w:szCs w:val="20"/>
        </w:rPr>
      </w:pPr>
      <w:r w:rsidRPr="00A357C5">
        <w:rPr>
          <w:rFonts w:cs="Arial"/>
          <w:szCs w:val="20"/>
        </w:rPr>
        <w:t xml:space="preserve">Other legislation that aims to protect biodiversity values (such as seagrass and seagrass meadows), include </w:t>
      </w:r>
      <w:hyperlink r:id="rId30" w:history="1">
        <w:r w:rsidRPr="00B664DE">
          <w:rPr>
            <w:rStyle w:val="Hyperlink"/>
            <w:rFonts w:cs="Arial"/>
            <w:i/>
            <w:szCs w:val="20"/>
          </w:rPr>
          <w:t>Environment Protection and Biodiversity Conservation Act 1999</w:t>
        </w:r>
      </w:hyperlink>
      <w:r w:rsidR="002E5360">
        <w:rPr>
          <w:rFonts w:cs="Arial"/>
          <w:szCs w:val="20"/>
        </w:rPr>
        <w:t xml:space="preserve"> (</w:t>
      </w:r>
      <w:r w:rsidR="00387FE3">
        <w:rPr>
          <w:rFonts w:cs="Arial"/>
          <w:szCs w:val="20"/>
        </w:rPr>
        <w:t xml:space="preserve">the </w:t>
      </w:r>
      <w:r w:rsidR="002E5360">
        <w:rPr>
          <w:rFonts w:cs="Arial"/>
          <w:szCs w:val="20"/>
        </w:rPr>
        <w:t>EPBC Act</w:t>
      </w:r>
      <w:r w:rsidR="00616AC2">
        <w:rPr>
          <w:rFonts w:cs="Arial"/>
          <w:szCs w:val="20"/>
        </w:rPr>
        <w:t xml:space="preserve">). </w:t>
      </w:r>
      <w:r w:rsidR="00B801D9">
        <w:rPr>
          <w:rFonts w:cs="Arial"/>
          <w:szCs w:val="20"/>
        </w:rPr>
        <w:t>F</w:t>
      </w:r>
      <w:r w:rsidR="00616AC2">
        <w:rPr>
          <w:rFonts w:cs="Arial"/>
          <w:szCs w:val="20"/>
        </w:rPr>
        <w:t>or further information</w:t>
      </w:r>
      <w:r w:rsidR="00616AC2" w:rsidDel="00616AC2">
        <w:rPr>
          <w:rFonts w:cs="Arial"/>
          <w:szCs w:val="20"/>
        </w:rPr>
        <w:t xml:space="preserve"> </w:t>
      </w:r>
      <w:r w:rsidR="002E5360">
        <w:rPr>
          <w:rFonts w:cs="Arial"/>
          <w:szCs w:val="20"/>
        </w:rPr>
        <w:t xml:space="preserve">refer to the </w:t>
      </w:r>
      <w:hyperlink r:id="rId31" w:history="1">
        <w:r w:rsidR="002E5360" w:rsidRPr="002E5360">
          <w:rPr>
            <w:rStyle w:val="Hyperlink"/>
            <w:rFonts w:cs="Arial"/>
            <w:szCs w:val="20"/>
          </w:rPr>
          <w:t xml:space="preserve">Deemed application </w:t>
        </w:r>
        <w:r w:rsidR="002E5360">
          <w:rPr>
            <w:rStyle w:val="Hyperlink"/>
            <w:rFonts w:cs="Arial"/>
            <w:szCs w:val="20"/>
          </w:rPr>
          <w:t xml:space="preserve">under the EPBC Act </w:t>
        </w:r>
        <w:r w:rsidR="002E5360" w:rsidRPr="002E5360">
          <w:rPr>
            <w:rStyle w:val="Hyperlink"/>
            <w:rFonts w:cs="Arial"/>
            <w:szCs w:val="20"/>
          </w:rPr>
          <w:t>information sheet</w:t>
        </w:r>
      </w:hyperlink>
      <w:r w:rsidR="002E5360">
        <w:rPr>
          <w:rFonts w:cs="Arial"/>
          <w:szCs w:val="20"/>
        </w:rPr>
        <w:t xml:space="preserve"> and</w:t>
      </w:r>
      <w:r w:rsidRPr="00A357C5">
        <w:rPr>
          <w:rFonts w:cs="Arial"/>
          <w:szCs w:val="20"/>
        </w:rPr>
        <w:t xml:space="preserve"> </w:t>
      </w:r>
      <w:hyperlink r:id="rId32" w:history="1">
        <w:r w:rsidRPr="00B664DE">
          <w:rPr>
            <w:rStyle w:val="Hyperlink"/>
            <w:rFonts w:cs="Arial"/>
            <w:i/>
            <w:szCs w:val="20"/>
          </w:rPr>
          <w:t>Environment Protection (Sea Dumping) Act 1981</w:t>
        </w:r>
      </w:hyperlink>
      <w:r w:rsidR="007367C1">
        <w:rPr>
          <w:rFonts w:cs="Arial"/>
          <w:szCs w:val="20"/>
        </w:rPr>
        <w:t xml:space="preserve"> (</w:t>
      </w:r>
      <w:r w:rsidR="00387FE3">
        <w:rPr>
          <w:rFonts w:cs="Arial"/>
          <w:szCs w:val="20"/>
        </w:rPr>
        <w:t xml:space="preserve">the </w:t>
      </w:r>
      <w:r w:rsidR="007367C1">
        <w:rPr>
          <w:rFonts w:cs="Arial"/>
          <w:szCs w:val="20"/>
        </w:rPr>
        <w:t>Sea Dumping Act)</w:t>
      </w:r>
      <w:r w:rsidR="002E5360">
        <w:rPr>
          <w:rFonts w:cs="Arial"/>
          <w:szCs w:val="20"/>
        </w:rPr>
        <w:t>.</w:t>
      </w:r>
      <w:r w:rsidRPr="00A357C5">
        <w:rPr>
          <w:rFonts w:cs="Arial"/>
          <w:szCs w:val="20"/>
        </w:rPr>
        <w:t xml:space="preserve"> </w:t>
      </w:r>
      <w:r w:rsidR="007367C1">
        <w:rPr>
          <w:rFonts w:cs="Arial"/>
          <w:szCs w:val="20"/>
        </w:rPr>
        <w:t>GBRMPA administers the Sea Dumping Act when disposal is proposed in the Marine Park.</w:t>
      </w:r>
    </w:p>
    <w:p w14:paraId="085A4BE9" w14:textId="7AC4DC0B" w:rsidR="00A56F39" w:rsidRPr="00A62030" w:rsidRDefault="002E5360" w:rsidP="00331A31">
      <w:pPr>
        <w:pStyle w:val="BodyTextNumbering"/>
        <w:numPr>
          <w:ilvl w:val="0"/>
          <w:numId w:val="9"/>
        </w:numPr>
        <w:spacing w:before="120"/>
        <w:rPr>
          <w:rFonts w:cs="Arial"/>
          <w:szCs w:val="20"/>
        </w:rPr>
      </w:pPr>
      <w:r>
        <w:rPr>
          <w:rFonts w:cs="Arial"/>
          <w:szCs w:val="20"/>
        </w:rPr>
        <w:t xml:space="preserve">Queensland </w:t>
      </w:r>
      <w:r w:rsidR="003F0413">
        <w:rPr>
          <w:rFonts w:cs="Arial"/>
          <w:szCs w:val="20"/>
        </w:rPr>
        <w:t xml:space="preserve">state legislation is </w:t>
      </w:r>
      <w:r>
        <w:rPr>
          <w:rFonts w:cs="Arial"/>
          <w:szCs w:val="20"/>
        </w:rPr>
        <w:t xml:space="preserve">also </w:t>
      </w:r>
      <w:r w:rsidR="003F0413">
        <w:rPr>
          <w:rFonts w:cs="Arial"/>
          <w:szCs w:val="20"/>
        </w:rPr>
        <w:t>in place, such as t</w:t>
      </w:r>
      <w:r w:rsidR="00A56F39">
        <w:rPr>
          <w:rFonts w:cs="Arial"/>
          <w:szCs w:val="20"/>
        </w:rPr>
        <w:t xml:space="preserve">he </w:t>
      </w:r>
      <w:hyperlink r:id="rId33" w:history="1">
        <w:r w:rsidR="00A56F39" w:rsidRPr="001E11FD">
          <w:rPr>
            <w:rStyle w:val="Hyperlink"/>
            <w:rFonts w:cs="Arial"/>
            <w:i/>
            <w:szCs w:val="20"/>
          </w:rPr>
          <w:t>Fisheries Act 1994</w:t>
        </w:r>
      </w:hyperlink>
      <w:r w:rsidR="00A56F39">
        <w:rPr>
          <w:rFonts w:cs="Arial"/>
          <w:szCs w:val="20"/>
        </w:rPr>
        <w:t xml:space="preserve"> (Qld) </w:t>
      </w:r>
      <w:r w:rsidR="003F0413">
        <w:rPr>
          <w:rFonts w:cs="Arial"/>
          <w:szCs w:val="20"/>
        </w:rPr>
        <w:t xml:space="preserve">which provides </w:t>
      </w:r>
      <w:r w:rsidR="001E11FD">
        <w:rPr>
          <w:rFonts w:cs="Arial"/>
          <w:szCs w:val="20"/>
        </w:rPr>
        <w:t xml:space="preserve">protection of marine plants, including </w:t>
      </w:r>
      <w:r w:rsidR="003F0413">
        <w:rPr>
          <w:rFonts w:cs="Arial"/>
          <w:szCs w:val="20"/>
        </w:rPr>
        <w:t>seagrass and i</w:t>
      </w:r>
      <w:r w:rsidR="001E11FD">
        <w:rPr>
          <w:rFonts w:cs="Arial"/>
          <w:szCs w:val="20"/>
        </w:rPr>
        <w:t xml:space="preserve">t </w:t>
      </w:r>
      <w:r w:rsidR="00A56F39">
        <w:rPr>
          <w:rFonts w:cs="Arial"/>
          <w:szCs w:val="20"/>
        </w:rPr>
        <w:t xml:space="preserve">is a </w:t>
      </w:r>
      <w:r w:rsidR="00A56F39" w:rsidRPr="006903B5">
        <w:rPr>
          <w:rFonts w:cs="Arial"/>
          <w:szCs w:val="20"/>
        </w:rPr>
        <w:t>require</w:t>
      </w:r>
      <w:r w:rsidR="00A56F39">
        <w:rPr>
          <w:rFonts w:cs="Arial"/>
          <w:szCs w:val="20"/>
        </w:rPr>
        <w:t>ment</w:t>
      </w:r>
      <w:r w:rsidR="00A56F39" w:rsidRPr="006903B5">
        <w:rPr>
          <w:rFonts w:cs="Arial"/>
          <w:szCs w:val="20"/>
        </w:rPr>
        <w:t xml:space="preserve"> for notification a</w:t>
      </w:r>
      <w:r w:rsidR="003F0413">
        <w:rPr>
          <w:rFonts w:cs="Arial"/>
          <w:szCs w:val="20"/>
        </w:rPr>
        <w:t xml:space="preserve">nd permission for plant removal. </w:t>
      </w:r>
      <w:r w:rsidR="00E63ADD">
        <w:rPr>
          <w:rFonts w:cs="Arial"/>
          <w:szCs w:val="20"/>
        </w:rPr>
        <w:t>Other relevant Queensland legislation includes</w:t>
      </w:r>
      <w:r w:rsidR="00A62030" w:rsidRPr="00A62030">
        <w:rPr>
          <w:rFonts w:cs="Arial"/>
          <w:szCs w:val="20"/>
        </w:rPr>
        <w:t xml:space="preserve"> </w:t>
      </w:r>
      <w:hyperlink r:id="rId34" w:history="1">
        <w:r w:rsidRPr="00A62030">
          <w:rPr>
            <w:rStyle w:val="Hyperlink"/>
            <w:rFonts w:cs="Arial"/>
            <w:i/>
            <w:szCs w:val="20"/>
          </w:rPr>
          <w:t>Environmental Protection Act 1994 (Qld)</w:t>
        </w:r>
      </w:hyperlink>
      <w:r w:rsidRPr="00A62030">
        <w:rPr>
          <w:rFonts w:cs="Arial"/>
          <w:szCs w:val="20"/>
        </w:rPr>
        <w:t xml:space="preserve"> and the </w:t>
      </w:r>
      <w:hyperlink r:id="rId35" w:history="1">
        <w:r w:rsidRPr="005D7C82">
          <w:rPr>
            <w:rStyle w:val="Hyperlink"/>
            <w:rFonts w:cs="Arial"/>
            <w:i/>
            <w:szCs w:val="20"/>
          </w:rPr>
          <w:t>Marine Park Act 2004</w:t>
        </w:r>
        <w:r w:rsidR="00A33E8E" w:rsidRPr="005D7C82">
          <w:rPr>
            <w:rStyle w:val="Hyperlink"/>
            <w:rFonts w:cs="Arial"/>
            <w:i/>
            <w:szCs w:val="20"/>
          </w:rPr>
          <w:t xml:space="preserve"> (Qld)</w:t>
        </w:r>
      </w:hyperlink>
      <w:r w:rsidRPr="00A62030">
        <w:rPr>
          <w:rFonts w:cs="Arial"/>
          <w:szCs w:val="20"/>
        </w:rPr>
        <w:t xml:space="preserve">. </w:t>
      </w:r>
    </w:p>
    <w:p w14:paraId="0B1ED9D4" w14:textId="77777777" w:rsidR="00EF383F" w:rsidRPr="00511304" w:rsidRDefault="00EF383F" w:rsidP="00E57F53">
      <w:pPr>
        <w:pStyle w:val="Heading2"/>
      </w:pPr>
      <w:r w:rsidRPr="00511304">
        <w:t xml:space="preserve">Policy </w:t>
      </w:r>
    </w:p>
    <w:p w14:paraId="399745A0" w14:textId="2FB49D65" w:rsidR="008155E7" w:rsidRDefault="00042684" w:rsidP="00331A31">
      <w:pPr>
        <w:pStyle w:val="BodyTextNumbering"/>
        <w:numPr>
          <w:ilvl w:val="0"/>
          <w:numId w:val="9"/>
        </w:numPr>
        <w:spacing w:before="120"/>
        <w:rPr>
          <w:rFonts w:cs="Arial"/>
          <w:szCs w:val="20"/>
        </w:rPr>
      </w:pPr>
      <w:r>
        <w:rPr>
          <w:rFonts w:cs="Arial"/>
          <w:szCs w:val="20"/>
        </w:rPr>
        <w:t>A</w:t>
      </w:r>
      <w:r w:rsidR="008155E7" w:rsidRPr="006903B5">
        <w:rPr>
          <w:rFonts w:cs="Arial"/>
          <w:szCs w:val="20"/>
        </w:rPr>
        <w:t xml:space="preserve">ctions </w:t>
      </w:r>
      <w:r>
        <w:rPr>
          <w:rFonts w:cs="Arial"/>
          <w:szCs w:val="20"/>
        </w:rPr>
        <w:t xml:space="preserve">focussed </w:t>
      </w:r>
      <w:r w:rsidR="008155E7" w:rsidRPr="006903B5">
        <w:rPr>
          <w:rFonts w:cs="Arial"/>
          <w:szCs w:val="20"/>
        </w:rPr>
        <w:t xml:space="preserve">to protect seagrass </w:t>
      </w:r>
      <w:r w:rsidR="004E7DE7">
        <w:rPr>
          <w:rFonts w:cs="Arial"/>
          <w:szCs w:val="20"/>
        </w:rPr>
        <w:t>aims</w:t>
      </w:r>
      <w:r w:rsidR="004E7DE7" w:rsidRPr="006903B5">
        <w:rPr>
          <w:rFonts w:cs="Arial"/>
          <w:szCs w:val="20"/>
        </w:rPr>
        <w:t xml:space="preserve"> </w:t>
      </w:r>
      <w:r>
        <w:rPr>
          <w:rFonts w:cs="Arial"/>
          <w:szCs w:val="20"/>
        </w:rPr>
        <w:t xml:space="preserve">to improve the </w:t>
      </w:r>
      <w:r w:rsidR="008155E7" w:rsidRPr="006903B5">
        <w:rPr>
          <w:rFonts w:cs="Arial"/>
          <w:szCs w:val="20"/>
        </w:rPr>
        <w:t xml:space="preserve">quality </w:t>
      </w:r>
      <w:r w:rsidR="00773BCF">
        <w:rPr>
          <w:rFonts w:cs="Arial"/>
          <w:szCs w:val="20"/>
        </w:rPr>
        <w:t xml:space="preserve">of water </w:t>
      </w:r>
      <w:r w:rsidR="008155E7" w:rsidRPr="006903B5">
        <w:rPr>
          <w:rFonts w:cs="Arial"/>
          <w:szCs w:val="20"/>
        </w:rPr>
        <w:t>enter</w:t>
      </w:r>
      <w:r w:rsidR="00656FCA">
        <w:rPr>
          <w:rFonts w:cs="Arial"/>
          <w:szCs w:val="20"/>
        </w:rPr>
        <w:t xml:space="preserve">ing the Great Barrier Reef. The </w:t>
      </w:r>
      <w:hyperlink r:id="rId36" w:history="1">
        <w:r w:rsidR="008155E7" w:rsidRPr="002111E7">
          <w:rPr>
            <w:rStyle w:val="Hyperlink"/>
          </w:rPr>
          <w:t xml:space="preserve">Reef </w:t>
        </w:r>
        <w:r w:rsidR="009D06D9">
          <w:rPr>
            <w:rStyle w:val="Hyperlink"/>
          </w:rPr>
          <w:t xml:space="preserve">2050 </w:t>
        </w:r>
        <w:r w:rsidR="008155E7" w:rsidRPr="002111E7">
          <w:rPr>
            <w:rStyle w:val="Hyperlink"/>
          </w:rPr>
          <w:t xml:space="preserve">Water Quality </w:t>
        </w:r>
        <w:r w:rsidR="009D06D9">
          <w:rPr>
            <w:rStyle w:val="Hyperlink"/>
          </w:rPr>
          <w:t>Improvement</w:t>
        </w:r>
        <w:r w:rsidR="009D06D9" w:rsidRPr="002111E7">
          <w:rPr>
            <w:rStyle w:val="Hyperlink"/>
          </w:rPr>
          <w:t xml:space="preserve"> </w:t>
        </w:r>
        <w:r w:rsidR="008155E7" w:rsidRPr="002111E7">
          <w:rPr>
            <w:rStyle w:val="Hyperlink"/>
          </w:rPr>
          <w:t>Plan 20</w:t>
        </w:r>
        <w:r w:rsidR="009D06D9">
          <w:rPr>
            <w:rStyle w:val="Hyperlink"/>
          </w:rPr>
          <w:t>17-2022</w:t>
        </w:r>
      </w:hyperlink>
      <w:r w:rsidR="00656FCA">
        <w:rPr>
          <w:rFonts w:cs="Arial"/>
          <w:szCs w:val="20"/>
        </w:rPr>
        <w:t xml:space="preserve"> (in draft) s</w:t>
      </w:r>
      <w:r w:rsidR="008155E7" w:rsidRPr="009D06D9">
        <w:rPr>
          <w:rFonts w:cs="Arial"/>
          <w:szCs w:val="20"/>
        </w:rPr>
        <w:t>ets targets for improvement and</w:t>
      </w:r>
      <w:r w:rsidR="008155E7" w:rsidRPr="006903B5">
        <w:rPr>
          <w:rFonts w:cs="Arial"/>
          <w:szCs w:val="20"/>
        </w:rPr>
        <w:t xml:space="preserve"> is supported by the resources of the Australian and Queensland governments, as well as significant investment by industry, to implement change and monitor progress.</w:t>
      </w:r>
    </w:p>
    <w:p w14:paraId="7B56DA05" w14:textId="521694D1" w:rsidR="00B1372A" w:rsidRPr="005E15F7" w:rsidRDefault="00B1372A" w:rsidP="00331A31">
      <w:pPr>
        <w:pStyle w:val="BodyTextNumbering"/>
        <w:numPr>
          <w:ilvl w:val="0"/>
          <w:numId w:val="9"/>
        </w:numPr>
        <w:spacing w:before="120"/>
        <w:rPr>
          <w:rFonts w:cs="Arial"/>
          <w:szCs w:val="20"/>
        </w:rPr>
      </w:pPr>
      <w:r w:rsidRPr="00DD24AD">
        <w:t>The</w:t>
      </w:r>
      <w:r w:rsidR="00DD24AD">
        <w:t xml:space="preserve"> </w:t>
      </w:r>
      <w:r w:rsidR="008E1F44">
        <w:t>Reef 2050</w:t>
      </w:r>
      <w:r w:rsidR="008E1F44" w:rsidRPr="00DD24AD">
        <w:t xml:space="preserve"> </w:t>
      </w:r>
      <w:hyperlink r:id="rId37" w:history="1">
        <w:r w:rsidRPr="00A24D93">
          <w:rPr>
            <w:rStyle w:val="Hyperlink"/>
          </w:rPr>
          <w:t>Cumulative Impact Management Policy</w:t>
        </w:r>
      </w:hyperlink>
      <w:r w:rsidR="00DD24AD" w:rsidRPr="00A24D93">
        <w:t xml:space="preserve"> </w:t>
      </w:r>
      <w:r w:rsidR="00A24D93">
        <w:t>(in draft)</w:t>
      </w:r>
      <w:r w:rsidR="00DD24AD">
        <w:t xml:space="preserve"> </w:t>
      </w:r>
      <w:r w:rsidR="00DD24AD" w:rsidRPr="00DD24AD">
        <w:t>provides a systematic and consistent approach to managing and reducing cumulative impacts on the Great Barrier Reef</w:t>
      </w:r>
      <w:r w:rsidRPr="00DD24AD">
        <w:t>.</w:t>
      </w:r>
    </w:p>
    <w:p w14:paraId="4DF6FC49" w14:textId="48B88E07" w:rsidR="008B6AB6" w:rsidRDefault="008B6AB6" w:rsidP="00331A31">
      <w:pPr>
        <w:pStyle w:val="BodyTextNumbering"/>
        <w:numPr>
          <w:ilvl w:val="0"/>
          <w:numId w:val="9"/>
        </w:numPr>
        <w:spacing w:before="120"/>
        <w:rPr>
          <w:rFonts w:cs="Arial"/>
          <w:szCs w:val="20"/>
        </w:rPr>
      </w:pPr>
      <w:r>
        <w:rPr>
          <w:rFonts w:cs="Arial"/>
          <w:szCs w:val="20"/>
        </w:rPr>
        <w:t xml:space="preserve">The GBRMPA 2010 </w:t>
      </w:r>
      <w:hyperlink r:id="rId38" w:history="1">
        <w:r w:rsidR="001568B0" w:rsidRPr="00EE5730">
          <w:rPr>
            <w:rStyle w:val="Hyperlink"/>
            <w:rFonts w:cs="Arial"/>
            <w:szCs w:val="20"/>
          </w:rPr>
          <w:t xml:space="preserve">Water quality guidelines for the Great Barrier Reef </w:t>
        </w:r>
        <w:r w:rsidR="00EE5730" w:rsidRPr="00EE5730">
          <w:rPr>
            <w:rStyle w:val="Hyperlink"/>
            <w:rFonts w:cs="Arial"/>
            <w:szCs w:val="20"/>
          </w:rPr>
          <w:t>Marine Park</w:t>
        </w:r>
      </w:hyperlink>
      <w:r w:rsidR="00EE5730">
        <w:rPr>
          <w:rFonts w:cs="Arial"/>
          <w:szCs w:val="20"/>
        </w:rPr>
        <w:t xml:space="preserve"> </w:t>
      </w:r>
      <w:r w:rsidR="001568B0">
        <w:rPr>
          <w:rFonts w:cs="Arial"/>
          <w:szCs w:val="20"/>
        </w:rPr>
        <w:t xml:space="preserve">includes </w:t>
      </w:r>
      <w:r w:rsidR="00D06A1C">
        <w:rPr>
          <w:rFonts w:cs="Arial"/>
          <w:szCs w:val="20"/>
        </w:rPr>
        <w:t xml:space="preserve">set trigger levels for specific pollutants (such as </w:t>
      </w:r>
      <w:r>
        <w:rPr>
          <w:rFonts w:cs="Arial"/>
          <w:szCs w:val="20"/>
        </w:rPr>
        <w:t>sediment, nutrient</w:t>
      </w:r>
      <w:r w:rsidR="00D06A1C">
        <w:rPr>
          <w:rFonts w:cs="Arial"/>
          <w:szCs w:val="20"/>
        </w:rPr>
        <w:t>s</w:t>
      </w:r>
      <w:r>
        <w:rPr>
          <w:rFonts w:cs="Arial"/>
          <w:szCs w:val="20"/>
        </w:rPr>
        <w:t xml:space="preserve"> and pesticide</w:t>
      </w:r>
      <w:r w:rsidR="00D06A1C">
        <w:rPr>
          <w:rFonts w:cs="Arial"/>
          <w:szCs w:val="20"/>
        </w:rPr>
        <w:t>s)</w:t>
      </w:r>
      <w:r>
        <w:rPr>
          <w:rFonts w:cs="Arial"/>
          <w:szCs w:val="20"/>
        </w:rPr>
        <w:t xml:space="preserve"> </w:t>
      </w:r>
      <w:r w:rsidR="00D06A1C">
        <w:rPr>
          <w:rFonts w:cs="Arial"/>
          <w:szCs w:val="20"/>
        </w:rPr>
        <w:t xml:space="preserve">which </w:t>
      </w:r>
      <w:r>
        <w:rPr>
          <w:rFonts w:cs="Arial"/>
          <w:szCs w:val="20"/>
        </w:rPr>
        <w:t>a</w:t>
      </w:r>
      <w:r w:rsidR="001568B0">
        <w:rPr>
          <w:rFonts w:cs="Arial"/>
          <w:szCs w:val="20"/>
        </w:rPr>
        <w:t>im to pro</w:t>
      </w:r>
      <w:r w:rsidR="00DC2BDF">
        <w:rPr>
          <w:rFonts w:cs="Arial"/>
          <w:szCs w:val="20"/>
        </w:rPr>
        <w:t xml:space="preserve">tect a desired ecosystem state. </w:t>
      </w:r>
      <w:r w:rsidR="0054101B">
        <w:rPr>
          <w:rFonts w:cs="Arial"/>
          <w:szCs w:val="20"/>
        </w:rPr>
        <w:t xml:space="preserve">The water quality guidelines </w:t>
      </w:r>
      <w:r w:rsidR="00DC2BDF">
        <w:rPr>
          <w:rFonts w:cs="Arial"/>
          <w:szCs w:val="20"/>
        </w:rPr>
        <w:t>are generally applied to longer-term water quality targets.  They were</w:t>
      </w:r>
      <w:r w:rsidR="0054101B">
        <w:rPr>
          <w:rFonts w:cs="Arial"/>
          <w:szCs w:val="20"/>
        </w:rPr>
        <w:t xml:space="preserve"> reviewed in 2014 and deemed to be still relevant and up to date. </w:t>
      </w:r>
      <w:r>
        <w:rPr>
          <w:rFonts w:cs="Arial"/>
          <w:szCs w:val="20"/>
        </w:rPr>
        <w:t xml:space="preserve">The water quality guidelines are in line with the </w:t>
      </w:r>
      <w:hyperlink r:id="rId39" w:history="1">
        <w:r w:rsidRPr="0054101B">
          <w:rPr>
            <w:rStyle w:val="Hyperlink"/>
            <w:rFonts w:cs="Arial"/>
            <w:szCs w:val="20"/>
          </w:rPr>
          <w:t>Australian and New Zealand Guidelines for Fresh and Marine Water Quality</w:t>
        </w:r>
      </w:hyperlink>
      <w:r>
        <w:rPr>
          <w:rFonts w:cs="Arial"/>
          <w:szCs w:val="20"/>
        </w:rPr>
        <w:t xml:space="preserve"> (ANZECC). </w:t>
      </w:r>
    </w:p>
    <w:p w14:paraId="173949C6" w14:textId="605145CE" w:rsidR="00EB6866" w:rsidRPr="00EB6866" w:rsidRDefault="008B6AB6" w:rsidP="00331A31">
      <w:pPr>
        <w:pStyle w:val="BodyTextNumbering"/>
        <w:numPr>
          <w:ilvl w:val="0"/>
          <w:numId w:val="9"/>
        </w:numPr>
        <w:spacing w:before="120"/>
        <w:rPr>
          <w:rFonts w:cs="Arial"/>
          <w:szCs w:val="20"/>
        </w:rPr>
      </w:pPr>
      <w:r>
        <w:rPr>
          <w:rFonts w:cs="Arial"/>
          <w:szCs w:val="20"/>
        </w:rPr>
        <w:t xml:space="preserve">The </w:t>
      </w:r>
      <w:hyperlink r:id="rId40" w:history="1">
        <w:r w:rsidRPr="00EE5730">
          <w:rPr>
            <w:rStyle w:val="Hyperlink"/>
            <w:rFonts w:cs="Arial"/>
            <w:szCs w:val="20"/>
          </w:rPr>
          <w:t>Queensland Environmental Protection (Water) Policy 2009</w:t>
        </w:r>
      </w:hyperlink>
      <w:r>
        <w:rPr>
          <w:rFonts w:cs="Arial"/>
          <w:szCs w:val="20"/>
        </w:rPr>
        <w:t xml:space="preserve"> (EPP Water) </w:t>
      </w:r>
      <w:r w:rsidR="005D7C82">
        <w:rPr>
          <w:rFonts w:cs="Arial"/>
          <w:szCs w:val="20"/>
        </w:rPr>
        <w:t>provides catchment-</w:t>
      </w:r>
      <w:r w:rsidR="00A4693D">
        <w:rPr>
          <w:rFonts w:cs="Arial"/>
          <w:szCs w:val="20"/>
        </w:rPr>
        <w:t xml:space="preserve">specific </w:t>
      </w:r>
      <w:r>
        <w:rPr>
          <w:rFonts w:cs="Arial"/>
          <w:szCs w:val="20"/>
        </w:rPr>
        <w:t>water quality objectives for Queensland waters that aim to protect environmental values</w:t>
      </w:r>
      <w:r w:rsidR="00D06A1C">
        <w:rPr>
          <w:rFonts w:cs="Arial"/>
          <w:szCs w:val="20"/>
        </w:rPr>
        <w:t xml:space="preserve">. Locally applicable data has been </w:t>
      </w:r>
      <w:r w:rsidR="0054101B">
        <w:rPr>
          <w:rFonts w:cs="Arial"/>
          <w:szCs w:val="20"/>
        </w:rPr>
        <w:t xml:space="preserve">used </w:t>
      </w:r>
      <w:r w:rsidR="00D06A1C">
        <w:rPr>
          <w:rFonts w:cs="Arial"/>
          <w:szCs w:val="20"/>
        </w:rPr>
        <w:t xml:space="preserve">to develop the </w:t>
      </w:r>
      <w:r w:rsidR="0054101B">
        <w:rPr>
          <w:rFonts w:cs="Arial"/>
          <w:szCs w:val="20"/>
        </w:rPr>
        <w:t xml:space="preserve">catchment </w:t>
      </w:r>
      <w:r w:rsidR="00D06A1C">
        <w:rPr>
          <w:rFonts w:cs="Arial"/>
          <w:szCs w:val="20"/>
        </w:rPr>
        <w:t xml:space="preserve">water quality schedules. Benthic light </w:t>
      </w:r>
      <w:r w:rsidR="00EB6866">
        <w:rPr>
          <w:rFonts w:cs="Arial"/>
          <w:szCs w:val="20"/>
        </w:rPr>
        <w:t>requirements</w:t>
      </w:r>
      <w:r w:rsidR="00D06A1C">
        <w:rPr>
          <w:rFonts w:cs="Arial"/>
          <w:szCs w:val="20"/>
        </w:rPr>
        <w:t xml:space="preserve"> that support seagrass growth </w:t>
      </w:r>
      <w:r w:rsidR="00CB3E78">
        <w:rPr>
          <w:rFonts w:cs="Arial"/>
          <w:szCs w:val="20"/>
        </w:rPr>
        <w:t xml:space="preserve">in the Great Barrier Reef </w:t>
      </w:r>
      <w:r w:rsidR="003508EF">
        <w:rPr>
          <w:rFonts w:cs="Arial"/>
          <w:szCs w:val="20"/>
        </w:rPr>
        <w:t xml:space="preserve">are </w:t>
      </w:r>
      <w:r w:rsidR="00CB1053">
        <w:rPr>
          <w:rFonts w:cs="Arial"/>
          <w:szCs w:val="20"/>
        </w:rPr>
        <w:t>available and are catchment specific</w:t>
      </w:r>
      <w:r w:rsidR="00D06A1C">
        <w:rPr>
          <w:rFonts w:cs="Arial"/>
          <w:szCs w:val="20"/>
        </w:rPr>
        <w:t xml:space="preserve">. </w:t>
      </w:r>
    </w:p>
    <w:p w14:paraId="0BCFEED3" w14:textId="43907E14" w:rsidR="001568B0" w:rsidRDefault="00EE5730" w:rsidP="00331A31">
      <w:pPr>
        <w:pStyle w:val="BodyTextNumbering"/>
        <w:numPr>
          <w:ilvl w:val="0"/>
          <w:numId w:val="9"/>
        </w:numPr>
        <w:spacing w:before="120"/>
        <w:rPr>
          <w:rFonts w:cs="Arial"/>
          <w:szCs w:val="20"/>
        </w:rPr>
      </w:pPr>
      <w:r>
        <w:rPr>
          <w:rFonts w:cs="Arial"/>
          <w:szCs w:val="20"/>
        </w:rPr>
        <w:t xml:space="preserve">The </w:t>
      </w:r>
      <w:hyperlink r:id="rId41" w:history="1">
        <w:r w:rsidRPr="00961C96">
          <w:rPr>
            <w:rStyle w:val="Hyperlink"/>
            <w:rFonts w:cs="Arial"/>
            <w:szCs w:val="20"/>
          </w:rPr>
          <w:t>Dredging and Dredge Spoil Material Disposal Policy</w:t>
        </w:r>
      </w:hyperlink>
      <w:r>
        <w:rPr>
          <w:rFonts w:cs="Arial"/>
          <w:szCs w:val="20"/>
        </w:rPr>
        <w:t xml:space="preserve"> provides the approach to managing impacts to the values of the Marine Park from dredging and dredge spoil material disposal activities.  </w:t>
      </w:r>
    </w:p>
    <w:p w14:paraId="4309C97A" w14:textId="416908AA" w:rsidR="003324C0" w:rsidRDefault="003324C0" w:rsidP="00331A31">
      <w:pPr>
        <w:pStyle w:val="BodyTextNumbering"/>
        <w:numPr>
          <w:ilvl w:val="0"/>
          <w:numId w:val="9"/>
        </w:numPr>
        <w:spacing w:before="120"/>
        <w:rPr>
          <w:rFonts w:cs="Arial"/>
          <w:szCs w:val="20"/>
        </w:rPr>
      </w:pPr>
      <w:r>
        <w:rPr>
          <w:rFonts w:cs="Arial"/>
          <w:szCs w:val="20"/>
        </w:rPr>
        <w:t xml:space="preserve">The </w:t>
      </w:r>
      <w:hyperlink r:id="rId42" w:history="1">
        <w:r w:rsidRPr="003324C0">
          <w:rPr>
            <w:rStyle w:val="Hyperlink"/>
            <w:rFonts w:cs="Arial"/>
            <w:szCs w:val="20"/>
          </w:rPr>
          <w:t>Guidelines on the use of hydrodynamic numerical modelling for dredging projects in the Great Barrier Reef Marine Park</w:t>
        </w:r>
      </w:hyperlink>
      <w:r>
        <w:rPr>
          <w:rFonts w:cs="Arial"/>
          <w:szCs w:val="20"/>
        </w:rPr>
        <w:t xml:space="preserve"> </w:t>
      </w:r>
      <w:r w:rsidR="00362D1A">
        <w:rPr>
          <w:rFonts w:cs="Arial"/>
          <w:szCs w:val="20"/>
        </w:rPr>
        <w:t>(</w:t>
      </w:r>
      <w:r w:rsidR="00954B57" w:rsidRPr="00954B57">
        <w:rPr>
          <w:rFonts w:cs="Arial"/>
          <w:szCs w:val="20"/>
        </w:rPr>
        <w:t>GBRMPA Hydrodynamic Numerical Modelling guidelines</w:t>
      </w:r>
      <w:r w:rsidR="00362D1A">
        <w:rPr>
          <w:rFonts w:cs="Arial"/>
          <w:szCs w:val="20"/>
        </w:rPr>
        <w:t xml:space="preserve">) </w:t>
      </w:r>
      <w:r>
        <w:rPr>
          <w:rFonts w:cs="Arial"/>
          <w:szCs w:val="20"/>
        </w:rPr>
        <w:t xml:space="preserve">provide the specific procedures, methodologies and frameworks of hydrodynamic modelling and dredge plume modelling expected for dredging and spoil disposal projects in the Marine Park. </w:t>
      </w:r>
    </w:p>
    <w:p w14:paraId="69832954" w14:textId="210DF365" w:rsidR="00852ED3" w:rsidRPr="007367C1" w:rsidRDefault="008D2A85" w:rsidP="00331A31">
      <w:pPr>
        <w:pStyle w:val="BodyTextNumbering"/>
        <w:numPr>
          <w:ilvl w:val="0"/>
          <w:numId w:val="9"/>
        </w:numPr>
        <w:spacing w:before="120"/>
        <w:rPr>
          <w:rFonts w:cs="Arial"/>
          <w:szCs w:val="20"/>
        </w:rPr>
      </w:pPr>
      <w:hyperlink r:id="rId43" w:history="1">
        <w:r w:rsidR="007367C1" w:rsidRPr="007367C1">
          <w:rPr>
            <w:rStyle w:val="Hyperlink"/>
            <w:rFonts w:cs="Arial"/>
            <w:szCs w:val="20"/>
          </w:rPr>
          <w:t>National Assessment Guidelines for Dredging 2009</w:t>
        </w:r>
      </w:hyperlink>
      <w:r w:rsidR="007367C1" w:rsidRPr="007367C1">
        <w:rPr>
          <w:rFonts w:cs="Arial"/>
          <w:szCs w:val="20"/>
        </w:rPr>
        <w:t xml:space="preserve"> (NAGD)</w:t>
      </w:r>
      <w:r w:rsidR="007367C1">
        <w:rPr>
          <w:rFonts w:cs="Arial"/>
          <w:szCs w:val="20"/>
        </w:rPr>
        <w:t xml:space="preserve"> sets out the framework for environmental impact assessment</w:t>
      </w:r>
      <w:r w:rsidR="001B608E">
        <w:rPr>
          <w:rFonts w:cs="Arial"/>
          <w:szCs w:val="20"/>
        </w:rPr>
        <w:t xml:space="preserve"> (including</w:t>
      </w:r>
      <w:r w:rsidR="007367C1">
        <w:rPr>
          <w:rFonts w:cs="Arial"/>
          <w:szCs w:val="20"/>
        </w:rPr>
        <w:t xml:space="preserve"> </w:t>
      </w:r>
      <w:r w:rsidR="001B608E">
        <w:rPr>
          <w:rFonts w:cs="Arial"/>
          <w:szCs w:val="20"/>
        </w:rPr>
        <w:t xml:space="preserve">assessing potential impacts on the marine ecosystems) </w:t>
      </w:r>
      <w:r w:rsidR="007367C1">
        <w:rPr>
          <w:rFonts w:cs="Arial"/>
          <w:szCs w:val="20"/>
        </w:rPr>
        <w:t xml:space="preserve">and permitting of the ocean disposal of dredge material. </w:t>
      </w:r>
    </w:p>
    <w:p w14:paraId="67D57DD0" w14:textId="1B4491EE" w:rsidR="00971CBB" w:rsidRPr="00511304" w:rsidRDefault="00734BCA" w:rsidP="00E57F53">
      <w:pPr>
        <w:pStyle w:val="Heading2"/>
      </w:pPr>
      <w:r>
        <w:t>Management o</w:t>
      </w:r>
      <w:r w:rsidR="00971CBB" w:rsidRPr="00511304">
        <w:t xml:space="preserve">bjectives </w:t>
      </w:r>
    </w:p>
    <w:p w14:paraId="04488FE6" w14:textId="48DD547B" w:rsidR="007C6272" w:rsidRPr="007B464A" w:rsidRDefault="007C6272" w:rsidP="00331A31">
      <w:pPr>
        <w:pStyle w:val="BodyTextNumbering"/>
        <w:numPr>
          <w:ilvl w:val="0"/>
          <w:numId w:val="9"/>
        </w:numPr>
        <w:spacing w:before="120"/>
      </w:pPr>
      <w:r>
        <w:t>The Austral</w:t>
      </w:r>
      <w:r w:rsidR="007E4C67">
        <w:t xml:space="preserve">ian and Queensland governments’ </w:t>
      </w:r>
      <w:hyperlink r:id="rId44" w:history="1">
        <w:r w:rsidRPr="00FD6348">
          <w:rPr>
            <w:rStyle w:val="Hyperlink"/>
          </w:rPr>
          <w:t>Reef 2050 Long-Term Sustainability Plan</w:t>
        </w:r>
      </w:hyperlink>
      <w:r>
        <w:t xml:space="preserve"> provides an overarching strategy for managing the Great Barrier Reef – it coordinates actions and guides adaptive management to 2050. The actions are intended to fulfil a 2035 objective that “the Great Barrier Reef World Heritage Area retains its integrity and system function by maintaining and restoring the connectivity, resilience and condition of marine and coastal ecosystems”.  </w:t>
      </w:r>
    </w:p>
    <w:p w14:paraId="160A200D" w14:textId="495EC79F" w:rsidR="0001548E" w:rsidRDefault="008155E7" w:rsidP="00331A31">
      <w:pPr>
        <w:pStyle w:val="BodyTextNumbering"/>
        <w:numPr>
          <w:ilvl w:val="0"/>
          <w:numId w:val="9"/>
        </w:numPr>
        <w:spacing w:before="120"/>
        <w:rPr>
          <w:rFonts w:cs="Arial"/>
          <w:szCs w:val="20"/>
        </w:rPr>
      </w:pPr>
      <w:r w:rsidRPr="006903B5">
        <w:rPr>
          <w:rFonts w:cs="Arial"/>
          <w:szCs w:val="20"/>
        </w:rPr>
        <w:t xml:space="preserve">The values of the Marine Park, their integrity and current condition are described in the </w:t>
      </w:r>
      <w:r w:rsidR="009A72D3">
        <w:rPr>
          <w:rFonts w:cs="Arial"/>
          <w:szCs w:val="20"/>
        </w:rPr>
        <w:t>Outlook Report 2014</w:t>
      </w:r>
      <w:r w:rsidR="000B729F">
        <w:rPr>
          <w:rFonts w:cs="Arial"/>
          <w:szCs w:val="20"/>
        </w:rPr>
        <w:t xml:space="preserve">. The assessment of </w:t>
      </w:r>
      <w:r w:rsidR="003508EF">
        <w:rPr>
          <w:rFonts w:cs="Arial"/>
          <w:szCs w:val="20"/>
        </w:rPr>
        <w:t>‘</w:t>
      </w:r>
      <w:r w:rsidR="000B729F">
        <w:rPr>
          <w:rFonts w:cs="Arial"/>
          <w:szCs w:val="20"/>
        </w:rPr>
        <w:t>seagrass meadows habitat to support species</w:t>
      </w:r>
      <w:r w:rsidR="003508EF">
        <w:rPr>
          <w:rFonts w:cs="Arial"/>
          <w:szCs w:val="20"/>
        </w:rPr>
        <w:t>’</w:t>
      </w:r>
      <w:r w:rsidR="000B729F">
        <w:rPr>
          <w:rFonts w:cs="Arial"/>
          <w:szCs w:val="20"/>
        </w:rPr>
        <w:t xml:space="preserve"> was scored ‘poor and de</w:t>
      </w:r>
      <w:r w:rsidR="00BC4E91">
        <w:rPr>
          <w:rFonts w:cs="Arial"/>
          <w:szCs w:val="20"/>
        </w:rPr>
        <w:t>teriorated</w:t>
      </w:r>
      <w:r w:rsidR="000B729F">
        <w:rPr>
          <w:rFonts w:cs="Arial"/>
          <w:szCs w:val="20"/>
        </w:rPr>
        <w:t xml:space="preserve">’ compared to ‘good’ in Outlook Report 2009. Similarly, </w:t>
      </w:r>
      <w:r w:rsidR="003508EF">
        <w:rPr>
          <w:rFonts w:cs="Arial"/>
          <w:szCs w:val="20"/>
        </w:rPr>
        <w:t>‘</w:t>
      </w:r>
      <w:r w:rsidR="000B729F">
        <w:rPr>
          <w:rFonts w:cs="Arial"/>
          <w:szCs w:val="20"/>
        </w:rPr>
        <w:t>populations of species and species groups for seagrass</w:t>
      </w:r>
      <w:r w:rsidR="003508EF">
        <w:rPr>
          <w:rFonts w:cs="Arial"/>
          <w:szCs w:val="20"/>
        </w:rPr>
        <w:t>’</w:t>
      </w:r>
      <w:r w:rsidR="000B729F">
        <w:rPr>
          <w:rFonts w:cs="Arial"/>
          <w:szCs w:val="20"/>
        </w:rPr>
        <w:t xml:space="preserve"> was also scored ‘poor and de</w:t>
      </w:r>
      <w:r w:rsidR="00BC4E91">
        <w:rPr>
          <w:rFonts w:cs="Arial"/>
          <w:szCs w:val="20"/>
        </w:rPr>
        <w:t>teriorated</w:t>
      </w:r>
      <w:r w:rsidR="000B729F">
        <w:rPr>
          <w:rFonts w:cs="Arial"/>
          <w:szCs w:val="20"/>
        </w:rPr>
        <w:t xml:space="preserve">’ compared to ‘good’ in Outlook Report 2009. </w:t>
      </w:r>
      <w:r w:rsidR="0001548E">
        <w:rPr>
          <w:rFonts w:cs="Arial"/>
          <w:szCs w:val="20"/>
        </w:rPr>
        <w:t>The Out</w:t>
      </w:r>
      <w:r w:rsidR="00CE01BD">
        <w:rPr>
          <w:rFonts w:cs="Arial"/>
          <w:szCs w:val="20"/>
        </w:rPr>
        <w:t>look Report is published every five</w:t>
      </w:r>
      <w:r w:rsidR="0001548E">
        <w:rPr>
          <w:rFonts w:cs="Arial"/>
          <w:szCs w:val="20"/>
        </w:rPr>
        <w:t xml:space="preserve"> years. </w:t>
      </w:r>
    </w:p>
    <w:p w14:paraId="1B012BE0" w14:textId="00CAEC2E" w:rsidR="008155E7" w:rsidRDefault="000B729F" w:rsidP="00331A31">
      <w:pPr>
        <w:pStyle w:val="BodyTextNumbering"/>
        <w:numPr>
          <w:ilvl w:val="0"/>
          <w:numId w:val="9"/>
        </w:numPr>
        <w:spacing w:before="120"/>
        <w:rPr>
          <w:rFonts w:cs="Arial"/>
          <w:szCs w:val="20"/>
        </w:rPr>
      </w:pPr>
      <w:r>
        <w:rPr>
          <w:rFonts w:cs="Arial"/>
          <w:szCs w:val="20"/>
        </w:rPr>
        <w:t>T</w:t>
      </w:r>
      <w:r w:rsidR="008155E7" w:rsidRPr="006903B5">
        <w:rPr>
          <w:rFonts w:cs="Arial"/>
          <w:szCs w:val="20"/>
        </w:rPr>
        <w:t xml:space="preserve">he </w:t>
      </w:r>
      <w:hyperlink r:id="rId45" w:history="1">
        <w:r w:rsidR="00EE1DD8" w:rsidRPr="00734BCA">
          <w:rPr>
            <w:rStyle w:val="Hyperlink"/>
          </w:rPr>
          <w:t>Great Barrier Reef Region Strategic Assessment Report</w:t>
        </w:r>
        <w:r w:rsidR="003E40C2" w:rsidRPr="00734BCA">
          <w:rPr>
            <w:rStyle w:val="Hyperlink"/>
          </w:rPr>
          <w:t xml:space="preserve"> 2014</w:t>
        </w:r>
      </w:hyperlink>
      <w:r w:rsidR="008155E7" w:rsidRPr="006903B5">
        <w:rPr>
          <w:rFonts w:cs="Arial"/>
          <w:i/>
          <w:szCs w:val="20"/>
        </w:rPr>
        <w:t xml:space="preserve"> </w:t>
      </w:r>
      <w:r w:rsidR="007C6272">
        <w:rPr>
          <w:rFonts w:cs="Arial"/>
          <w:szCs w:val="20"/>
        </w:rPr>
        <w:t xml:space="preserve">(Strategic Assessment) </w:t>
      </w:r>
      <w:r w:rsidR="0060567D">
        <w:rPr>
          <w:rFonts w:cs="Arial"/>
          <w:szCs w:val="20"/>
        </w:rPr>
        <w:t>provides a</w:t>
      </w:r>
      <w:r w:rsidR="008155E7" w:rsidRPr="006903B5">
        <w:rPr>
          <w:rFonts w:cs="Arial"/>
          <w:szCs w:val="20"/>
        </w:rPr>
        <w:t xml:space="preserve"> sum</w:t>
      </w:r>
      <w:r w:rsidR="007C6272">
        <w:rPr>
          <w:rFonts w:cs="Arial"/>
          <w:szCs w:val="20"/>
        </w:rPr>
        <w:t>mary assessment of seagrass condition, trend a</w:t>
      </w:r>
      <w:r w:rsidR="0060567D">
        <w:rPr>
          <w:rFonts w:cs="Arial"/>
          <w:szCs w:val="20"/>
        </w:rPr>
        <w:t xml:space="preserve">nd overall management objective (refer to </w:t>
      </w:r>
      <w:r w:rsidR="00734BCA">
        <w:rPr>
          <w:rFonts w:cs="Arial"/>
          <w:szCs w:val="20"/>
        </w:rPr>
        <w:fldChar w:fldCharType="begin"/>
      </w:r>
      <w:r w:rsidR="00734BCA">
        <w:rPr>
          <w:rFonts w:cs="Arial"/>
          <w:szCs w:val="20"/>
        </w:rPr>
        <w:instrText xml:space="preserve"> REF _Ref508093418 \h </w:instrText>
      </w:r>
      <w:r w:rsidR="00734BCA">
        <w:rPr>
          <w:rFonts w:cs="Arial"/>
          <w:szCs w:val="20"/>
        </w:rPr>
      </w:r>
      <w:r w:rsidR="00734BCA">
        <w:rPr>
          <w:rFonts w:cs="Arial"/>
          <w:szCs w:val="20"/>
        </w:rPr>
        <w:fldChar w:fldCharType="separate"/>
      </w:r>
      <w:r w:rsidR="00734BCA" w:rsidRPr="00734BCA">
        <w:rPr>
          <w:color w:val="365F91" w:themeColor="accent1" w:themeShade="BF"/>
          <w:szCs w:val="20"/>
        </w:rPr>
        <w:t xml:space="preserve">Table </w:t>
      </w:r>
      <w:r w:rsidR="00734BCA" w:rsidRPr="00734BCA">
        <w:rPr>
          <w:noProof/>
          <w:color w:val="365F91" w:themeColor="accent1" w:themeShade="BF"/>
          <w:szCs w:val="20"/>
        </w:rPr>
        <w:t>1</w:t>
      </w:r>
      <w:r w:rsidR="00734BCA">
        <w:rPr>
          <w:rFonts w:cs="Arial"/>
          <w:szCs w:val="20"/>
        </w:rPr>
        <w:fldChar w:fldCharType="end"/>
      </w:r>
      <w:r w:rsidR="0060567D">
        <w:rPr>
          <w:rFonts w:cs="Arial"/>
          <w:szCs w:val="20"/>
        </w:rPr>
        <w:t>)</w:t>
      </w:r>
      <w:r w:rsidR="008155E7" w:rsidRPr="006903B5">
        <w:rPr>
          <w:rFonts w:cs="Arial"/>
          <w:szCs w:val="20"/>
        </w:rPr>
        <w:t>.</w:t>
      </w:r>
      <w:r w:rsidR="0032257F">
        <w:rPr>
          <w:rFonts w:cs="Arial"/>
          <w:szCs w:val="20"/>
        </w:rPr>
        <w:t xml:space="preserve"> </w:t>
      </w:r>
      <w:r w:rsidR="00A01B4E">
        <w:rPr>
          <w:rFonts w:cs="Arial"/>
          <w:szCs w:val="20"/>
        </w:rPr>
        <w:t>T</w:t>
      </w:r>
      <w:r w:rsidR="005A29B2">
        <w:rPr>
          <w:rFonts w:cs="Arial"/>
          <w:szCs w:val="20"/>
        </w:rPr>
        <w:t xml:space="preserve">he projected condition of seagrass meadows and seagrasses is </w:t>
      </w:r>
      <w:r w:rsidR="00A01B4E">
        <w:rPr>
          <w:rFonts w:cs="Arial"/>
          <w:szCs w:val="20"/>
        </w:rPr>
        <w:t xml:space="preserve">considered to be </w:t>
      </w:r>
      <w:r w:rsidR="005A29B2">
        <w:rPr>
          <w:rFonts w:cs="Arial"/>
          <w:szCs w:val="20"/>
        </w:rPr>
        <w:t xml:space="preserve">very poor. </w:t>
      </w:r>
    </w:p>
    <w:p w14:paraId="28723AEA" w14:textId="413A9FD3" w:rsidR="00734BCA" w:rsidRPr="00734BCA" w:rsidRDefault="00734BCA" w:rsidP="00734BCA">
      <w:pPr>
        <w:pStyle w:val="Caption"/>
        <w:keepNext/>
        <w:spacing w:before="200" w:after="0"/>
        <w:ind w:left="1418" w:hanging="851"/>
        <w:rPr>
          <w:color w:val="365F91" w:themeColor="accent1" w:themeShade="BF"/>
          <w:sz w:val="20"/>
          <w:szCs w:val="20"/>
        </w:rPr>
      </w:pPr>
      <w:bookmarkStart w:id="3" w:name="_Ref508093418"/>
      <w:r w:rsidRPr="00734BCA">
        <w:rPr>
          <w:color w:val="365F91" w:themeColor="accent1" w:themeShade="BF"/>
          <w:sz w:val="20"/>
          <w:szCs w:val="20"/>
        </w:rPr>
        <w:lastRenderedPageBreak/>
        <w:t xml:space="preserve">Table </w:t>
      </w:r>
      <w:r w:rsidRPr="00734BCA">
        <w:rPr>
          <w:color w:val="365F91" w:themeColor="accent1" w:themeShade="BF"/>
          <w:sz w:val="20"/>
          <w:szCs w:val="20"/>
        </w:rPr>
        <w:fldChar w:fldCharType="begin"/>
      </w:r>
      <w:r w:rsidRPr="00734BCA">
        <w:rPr>
          <w:color w:val="365F91" w:themeColor="accent1" w:themeShade="BF"/>
          <w:sz w:val="20"/>
          <w:szCs w:val="20"/>
        </w:rPr>
        <w:instrText xml:space="preserve"> SEQ Table \* ARABIC </w:instrText>
      </w:r>
      <w:r w:rsidRPr="00734BCA">
        <w:rPr>
          <w:color w:val="365F91" w:themeColor="accent1" w:themeShade="BF"/>
          <w:sz w:val="20"/>
          <w:szCs w:val="20"/>
        </w:rPr>
        <w:fldChar w:fldCharType="separate"/>
      </w:r>
      <w:r w:rsidR="00332B4D">
        <w:rPr>
          <w:noProof/>
          <w:color w:val="365F91" w:themeColor="accent1" w:themeShade="BF"/>
          <w:sz w:val="20"/>
          <w:szCs w:val="20"/>
        </w:rPr>
        <w:t>1</w:t>
      </w:r>
      <w:r w:rsidRPr="00734BCA">
        <w:rPr>
          <w:color w:val="365F91" w:themeColor="accent1" w:themeShade="BF"/>
          <w:sz w:val="20"/>
          <w:szCs w:val="20"/>
        </w:rPr>
        <w:fldChar w:fldCharType="end"/>
      </w:r>
      <w:bookmarkEnd w:id="3"/>
      <w:r w:rsidRPr="00734BCA">
        <w:rPr>
          <w:b w:val="0"/>
          <w:color w:val="365F91" w:themeColor="accent1" w:themeShade="BF"/>
          <w:sz w:val="20"/>
          <w:szCs w:val="20"/>
        </w:rPr>
        <w:t xml:space="preserve">: </w:t>
      </w:r>
      <w:r>
        <w:rPr>
          <w:b w:val="0"/>
          <w:color w:val="365F91" w:themeColor="accent1" w:themeShade="BF"/>
          <w:sz w:val="20"/>
          <w:szCs w:val="20"/>
        </w:rPr>
        <w:tab/>
      </w:r>
      <w:r w:rsidRPr="00734BCA">
        <w:rPr>
          <w:b w:val="0"/>
          <w:color w:val="365F91" w:themeColor="accent1" w:themeShade="BF"/>
          <w:sz w:val="20"/>
          <w:szCs w:val="20"/>
        </w:rPr>
        <w:t>Summary assessment of seagrass condition, trend and overall management objective based on the Strategic Assessment (based on limited or very limited evidence or consensus).</w:t>
      </w:r>
    </w:p>
    <w:tbl>
      <w:tblPr>
        <w:tblW w:w="468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assessment of seagrass condition, trend and management objectives from the Great barrier Reef Strategic Assessment (based on limited or very limited evidence or consensus)"/>
        <w:tblDescription w:val="The table lists the four areas Northern Inshore, Northern Offshore, Southern Inshore, Southern Offshore as decribed above in the guideline and provides the current status on the condition and trend, as well as the management objective.&#10;"/>
      </w:tblPr>
      <w:tblGrid>
        <w:gridCol w:w="2101"/>
        <w:gridCol w:w="2396"/>
        <w:gridCol w:w="2176"/>
        <w:gridCol w:w="2657"/>
      </w:tblGrid>
      <w:tr w:rsidR="008155E7" w:rsidRPr="006903B5" w14:paraId="1009C4BA" w14:textId="77777777" w:rsidTr="00734BCA">
        <w:trPr>
          <w:trHeight w:val="397"/>
        </w:trPr>
        <w:tc>
          <w:tcPr>
            <w:tcW w:w="1126" w:type="pct"/>
            <w:shd w:val="clear" w:color="auto" w:fill="C6D9F1" w:themeFill="text2" w:themeFillTint="33"/>
            <w:vAlign w:val="center"/>
            <w:hideMark/>
          </w:tcPr>
          <w:p w14:paraId="7F19EFBA" w14:textId="77777777" w:rsidR="008155E7" w:rsidRPr="00734BCA" w:rsidRDefault="008155E7" w:rsidP="00734BCA">
            <w:pPr>
              <w:pStyle w:val="Level2Heading"/>
              <w:spacing w:before="0"/>
              <w:jc w:val="center"/>
              <w:rPr>
                <w:rFonts w:ascii="Arial" w:hAnsi="Arial" w:cs="Arial"/>
                <w:color w:val="1F497D" w:themeColor="text2"/>
                <w:sz w:val="20"/>
                <w:szCs w:val="20"/>
              </w:rPr>
            </w:pPr>
            <w:r w:rsidRPr="00734BCA">
              <w:rPr>
                <w:rFonts w:ascii="Arial" w:hAnsi="Arial" w:cs="Arial"/>
                <w:color w:val="1F497D" w:themeColor="text2"/>
                <w:sz w:val="20"/>
                <w:szCs w:val="20"/>
              </w:rPr>
              <w:t>Area</w:t>
            </w:r>
          </w:p>
        </w:tc>
        <w:tc>
          <w:tcPr>
            <w:tcW w:w="1284" w:type="pct"/>
            <w:shd w:val="clear" w:color="auto" w:fill="C6D9F1" w:themeFill="text2" w:themeFillTint="33"/>
            <w:vAlign w:val="center"/>
            <w:hideMark/>
          </w:tcPr>
          <w:p w14:paraId="210EA18B" w14:textId="77777777" w:rsidR="008155E7" w:rsidRPr="00734BCA" w:rsidRDefault="008155E7" w:rsidP="00734BCA">
            <w:pPr>
              <w:pStyle w:val="Level2Heading"/>
              <w:spacing w:before="0"/>
              <w:jc w:val="center"/>
              <w:rPr>
                <w:rFonts w:ascii="Arial" w:hAnsi="Arial" w:cs="Arial"/>
                <w:color w:val="1F497D" w:themeColor="text2"/>
                <w:sz w:val="20"/>
                <w:szCs w:val="20"/>
              </w:rPr>
            </w:pPr>
            <w:r w:rsidRPr="00734BCA">
              <w:rPr>
                <w:rFonts w:ascii="Arial" w:hAnsi="Arial" w:cs="Arial"/>
                <w:color w:val="1F497D" w:themeColor="text2"/>
                <w:sz w:val="20"/>
                <w:szCs w:val="20"/>
              </w:rPr>
              <w:t>Current Condition</w:t>
            </w:r>
          </w:p>
        </w:tc>
        <w:tc>
          <w:tcPr>
            <w:tcW w:w="1166" w:type="pct"/>
            <w:shd w:val="clear" w:color="auto" w:fill="C6D9F1" w:themeFill="text2" w:themeFillTint="33"/>
            <w:vAlign w:val="center"/>
            <w:hideMark/>
          </w:tcPr>
          <w:p w14:paraId="4958056C" w14:textId="77777777" w:rsidR="008155E7" w:rsidRPr="00734BCA" w:rsidRDefault="008155E7" w:rsidP="00734BCA">
            <w:pPr>
              <w:pStyle w:val="Level2Heading"/>
              <w:spacing w:before="0"/>
              <w:jc w:val="center"/>
              <w:rPr>
                <w:rFonts w:ascii="Arial" w:hAnsi="Arial" w:cs="Arial"/>
                <w:color w:val="1F497D" w:themeColor="text2"/>
                <w:sz w:val="20"/>
                <w:szCs w:val="20"/>
              </w:rPr>
            </w:pPr>
            <w:r w:rsidRPr="00734BCA">
              <w:rPr>
                <w:rFonts w:ascii="Arial" w:hAnsi="Arial" w:cs="Arial"/>
                <w:color w:val="1F497D" w:themeColor="text2"/>
                <w:sz w:val="20"/>
                <w:szCs w:val="20"/>
              </w:rPr>
              <w:t>Trend</w:t>
            </w:r>
          </w:p>
        </w:tc>
        <w:tc>
          <w:tcPr>
            <w:tcW w:w="1424" w:type="pct"/>
            <w:shd w:val="clear" w:color="auto" w:fill="C6D9F1" w:themeFill="text2" w:themeFillTint="33"/>
            <w:vAlign w:val="center"/>
            <w:hideMark/>
          </w:tcPr>
          <w:p w14:paraId="50D4D55A" w14:textId="77777777" w:rsidR="008155E7" w:rsidRPr="00734BCA" w:rsidRDefault="008155E7" w:rsidP="00734BCA">
            <w:pPr>
              <w:pStyle w:val="Level2Heading"/>
              <w:spacing w:before="0"/>
              <w:jc w:val="center"/>
              <w:rPr>
                <w:rFonts w:ascii="Arial" w:hAnsi="Arial" w:cs="Arial"/>
                <w:color w:val="1F497D" w:themeColor="text2"/>
                <w:sz w:val="20"/>
                <w:szCs w:val="20"/>
              </w:rPr>
            </w:pPr>
            <w:r w:rsidRPr="00734BCA">
              <w:rPr>
                <w:rFonts w:ascii="Arial" w:hAnsi="Arial" w:cs="Arial"/>
                <w:color w:val="1F497D" w:themeColor="text2"/>
                <w:sz w:val="20"/>
                <w:szCs w:val="20"/>
              </w:rPr>
              <w:t>Management Objective</w:t>
            </w:r>
          </w:p>
        </w:tc>
      </w:tr>
      <w:tr w:rsidR="008155E7" w:rsidRPr="006903B5" w14:paraId="278F7A5F" w14:textId="77777777" w:rsidTr="00734BCA">
        <w:trPr>
          <w:trHeight w:val="397"/>
        </w:trPr>
        <w:tc>
          <w:tcPr>
            <w:tcW w:w="1126" w:type="pct"/>
            <w:shd w:val="clear" w:color="auto" w:fill="C6D9F1" w:themeFill="text2" w:themeFillTint="33"/>
            <w:vAlign w:val="center"/>
            <w:hideMark/>
          </w:tcPr>
          <w:p w14:paraId="61CCBDAE" w14:textId="06B82E71" w:rsidR="008155E7" w:rsidRPr="006903B5" w:rsidRDefault="008155E7" w:rsidP="00734BCA">
            <w:pPr>
              <w:rPr>
                <w:rFonts w:ascii="Arial" w:eastAsia="Times New Roman" w:hAnsi="Arial" w:cs="Arial"/>
                <w:b/>
                <w:bCs/>
                <w:color w:val="000000"/>
                <w:sz w:val="20"/>
                <w:szCs w:val="20"/>
              </w:rPr>
            </w:pPr>
            <w:r w:rsidRPr="006903B5">
              <w:rPr>
                <w:rFonts w:ascii="Arial" w:eastAsia="Times New Roman" w:hAnsi="Arial" w:cs="Arial"/>
                <w:b/>
                <w:bCs/>
                <w:color w:val="000000"/>
                <w:sz w:val="20"/>
                <w:szCs w:val="20"/>
              </w:rPr>
              <w:t xml:space="preserve">Northern </w:t>
            </w:r>
            <w:r w:rsidR="003D010E">
              <w:rPr>
                <w:rFonts w:ascii="Arial" w:eastAsia="Times New Roman" w:hAnsi="Arial" w:cs="Arial"/>
                <w:b/>
                <w:bCs/>
                <w:color w:val="000000"/>
                <w:sz w:val="20"/>
                <w:szCs w:val="20"/>
              </w:rPr>
              <w:t>I</w:t>
            </w:r>
            <w:r w:rsidRPr="006903B5">
              <w:rPr>
                <w:rFonts w:ascii="Arial" w:eastAsia="Times New Roman" w:hAnsi="Arial" w:cs="Arial"/>
                <w:b/>
                <w:bCs/>
                <w:color w:val="000000"/>
                <w:sz w:val="20"/>
                <w:szCs w:val="20"/>
              </w:rPr>
              <w:t>nshore</w:t>
            </w:r>
          </w:p>
        </w:tc>
        <w:tc>
          <w:tcPr>
            <w:tcW w:w="1284" w:type="pct"/>
            <w:shd w:val="clear" w:color="auto" w:fill="auto"/>
            <w:vAlign w:val="center"/>
            <w:hideMark/>
          </w:tcPr>
          <w:p w14:paraId="06959933" w14:textId="77777777" w:rsidR="008155E7" w:rsidRPr="006903B5" w:rsidRDefault="008155E7" w:rsidP="00734BCA">
            <w:pPr>
              <w:jc w:val="center"/>
              <w:rPr>
                <w:rFonts w:ascii="Arial" w:eastAsia="Times New Roman" w:hAnsi="Arial" w:cs="Arial"/>
                <w:color w:val="000000"/>
                <w:sz w:val="20"/>
                <w:szCs w:val="20"/>
              </w:rPr>
            </w:pPr>
            <w:r w:rsidRPr="006903B5">
              <w:rPr>
                <w:rFonts w:ascii="Arial" w:eastAsia="Times New Roman" w:hAnsi="Arial" w:cs="Arial"/>
                <w:color w:val="000000"/>
                <w:sz w:val="20"/>
                <w:szCs w:val="20"/>
              </w:rPr>
              <w:t>Very good</w:t>
            </w:r>
          </w:p>
        </w:tc>
        <w:tc>
          <w:tcPr>
            <w:tcW w:w="1166" w:type="pct"/>
            <w:shd w:val="clear" w:color="auto" w:fill="auto"/>
            <w:vAlign w:val="center"/>
          </w:tcPr>
          <w:p w14:paraId="3422FCF7" w14:textId="77777777" w:rsidR="008155E7" w:rsidRPr="006903B5" w:rsidRDefault="008155E7" w:rsidP="00734BCA">
            <w:pPr>
              <w:jc w:val="center"/>
              <w:rPr>
                <w:rFonts w:ascii="Arial" w:eastAsia="Times New Roman" w:hAnsi="Arial" w:cs="Arial"/>
                <w:bCs/>
                <w:color w:val="000000"/>
                <w:sz w:val="20"/>
                <w:szCs w:val="20"/>
              </w:rPr>
            </w:pPr>
            <w:r w:rsidRPr="006903B5">
              <w:rPr>
                <w:rFonts w:ascii="Arial" w:eastAsia="Times New Roman" w:hAnsi="Arial" w:cs="Arial"/>
                <w:bCs/>
                <w:color w:val="000000"/>
                <w:sz w:val="20"/>
                <w:szCs w:val="20"/>
              </w:rPr>
              <w:t>Stable</w:t>
            </w:r>
          </w:p>
        </w:tc>
        <w:tc>
          <w:tcPr>
            <w:tcW w:w="1424" w:type="pct"/>
            <w:shd w:val="clear" w:color="auto" w:fill="auto"/>
            <w:vAlign w:val="center"/>
            <w:hideMark/>
          </w:tcPr>
          <w:p w14:paraId="3D4F557D" w14:textId="77777777" w:rsidR="008155E7" w:rsidRPr="006903B5" w:rsidRDefault="008155E7" w:rsidP="00734BCA">
            <w:pPr>
              <w:jc w:val="center"/>
              <w:rPr>
                <w:rFonts w:ascii="Arial" w:eastAsia="Times New Roman" w:hAnsi="Arial" w:cs="Arial"/>
                <w:bCs/>
                <w:color w:val="000000"/>
                <w:sz w:val="20"/>
                <w:szCs w:val="20"/>
              </w:rPr>
            </w:pPr>
            <w:r w:rsidRPr="006903B5">
              <w:rPr>
                <w:rFonts w:ascii="Arial" w:eastAsia="Times New Roman" w:hAnsi="Arial" w:cs="Arial"/>
                <w:bCs/>
                <w:color w:val="000000"/>
                <w:sz w:val="20"/>
                <w:szCs w:val="20"/>
              </w:rPr>
              <w:t>Maintain</w:t>
            </w:r>
          </w:p>
        </w:tc>
      </w:tr>
      <w:tr w:rsidR="00DB61A8" w:rsidRPr="006903B5" w14:paraId="057EADFC" w14:textId="77777777" w:rsidTr="00734BCA">
        <w:trPr>
          <w:trHeight w:val="397"/>
        </w:trPr>
        <w:tc>
          <w:tcPr>
            <w:tcW w:w="1126" w:type="pct"/>
            <w:shd w:val="clear" w:color="auto" w:fill="C6D9F1" w:themeFill="text2" w:themeFillTint="33"/>
            <w:vAlign w:val="center"/>
          </w:tcPr>
          <w:p w14:paraId="46565FCF" w14:textId="77777777" w:rsidR="00DB61A8" w:rsidRPr="006903B5" w:rsidRDefault="00DB61A8" w:rsidP="00734BCA">
            <w:pPr>
              <w:rPr>
                <w:rFonts w:ascii="Arial" w:eastAsia="Times New Roman" w:hAnsi="Arial" w:cs="Arial"/>
                <w:b/>
                <w:bCs/>
                <w:color w:val="000000"/>
                <w:sz w:val="20"/>
                <w:szCs w:val="20"/>
              </w:rPr>
            </w:pPr>
            <w:r w:rsidRPr="006903B5">
              <w:rPr>
                <w:rFonts w:ascii="Arial" w:eastAsia="Times New Roman" w:hAnsi="Arial" w:cs="Arial"/>
                <w:b/>
                <w:bCs/>
                <w:color w:val="000000"/>
                <w:sz w:val="20"/>
                <w:szCs w:val="20"/>
              </w:rPr>
              <w:t>Northern Offshore</w:t>
            </w:r>
          </w:p>
        </w:tc>
        <w:tc>
          <w:tcPr>
            <w:tcW w:w="1284" w:type="pct"/>
            <w:shd w:val="clear" w:color="auto" w:fill="auto"/>
            <w:vAlign w:val="center"/>
          </w:tcPr>
          <w:p w14:paraId="7AA6651B" w14:textId="77777777" w:rsidR="00DB61A8" w:rsidRPr="006903B5" w:rsidRDefault="00DB61A8" w:rsidP="00734BCA">
            <w:pPr>
              <w:jc w:val="center"/>
              <w:rPr>
                <w:rFonts w:ascii="Arial" w:eastAsia="Times New Roman" w:hAnsi="Arial" w:cs="Arial"/>
                <w:color w:val="000000"/>
                <w:sz w:val="20"/>
                <w:szCs w:val="20"/>
              </w:rPr>
            </w:pPr>
            <w:r w:rsidRPr="006903B5">
              <w:rPr>
                <w:rFonts w:ascii="Arial" w:eastAsia="Times New Roman" w:hAnsi="Arial" w:cs="Arial"/>
                <w:color w:val="000000"/>
                <w:sz w:val="20"/>
                <w:szCs w:val="20"/>
              </w:rPr>
              <w:t>Very good</w:t>
            </w:r>
          </w:p>
        </w:tc>
        <w:tc>
          <w:tcPr>
            <w:tcW w:w="1166" w:type="pct"/>
            <w:shd w:val="clear" w:color="auto" w:fill="auto"/>
            <w:vAlign w:val="center"/>
          </w:tcPr>
          <w:p w14:paraId="5C81C600" w14:textId="77777777" w:rsidR="00DB61A8" w:rsidRPr="006903B5" w:rsidRDefault="00DB61A8" w:rsidP="00734BCA">
            <w:pPr>
              <w:jc w:val="center"/>
              <w:rPr>
                <w:rFonts w:ascii="Arial" w:eastAsia="Times New Roman" w:hAnsi="Arial" w:cs="Arial"/>
                <w:bCs/>
                <w:color w:val="000000"/>
                <w:sz w:val="20"/>
                <w:szCs w:val="20"/>
              </w:rPr>
            </w:pPr>
            <w:r w:rsidRPr="006903B5">
              <w:rPr>
                <w:rFonts w:ascii="Arial" w:eastAsia="Times New Roman" w:hAnsi="Arial" w:cs="Arial"/>
                <w:bCs/>
                <w:color w:val="000000"/>
                <w:sz w:val="20"/>
                <w:szCs w:val="20"/>
              </w:rPr>
              <w:t>Stable</w:t>
            </w:r>
          </w:p>
        </w:tc>
        <w:tc>
          <w:tcPr>
            <w:tcW w:w="1424" w:type="pct"/>
            <w:shd w:val="clear" w:color="auto" w:fill="auto"/>
            <w:vAlign w:val="center"/>
          </w:tcPr>
          <w:p w14:paraId="7995DE50" w14:textId="77777777" w:rsidR="00DB61A8" w:rsidRPr="006903B5" w:rsidRDefault="00DB61A8" w:rsidP="00734BCA">
            <w:pPr>
              <w:jc w:val="center"/>
              <w:rPr>
                <w:rFonts w:ascii="Arial" w:eastAsia="Times New Roman" w:hAnsi="Arial" w:cs="Arial"/>
                <w:bCs/>
                <w:color w:val="000000"/>
                <w:sz w:val="20"/>
                <w:szCs w:val="20"/>
              </w:rPr>
            </w:pPr>
            <w:r w:rsidRPr="006903B5">
              <w:rPr>
                <w:rFonts w:ascii="Arial" w:eastAsia="Times New Roman" w:hAnsi="Arial" w:cs="Arial"/>
                <w:bCs/>
                <w:color w:val="000000"/>
                <w:sz w:val="20"/>
                <w:szCs w:val="20"/>
              </w:rPr>
              <w:t>Maintain</w:t>
            </w:r>
          </w:p>
        </w:tc>
      </w:tr>
      <w:tr w:rsidR="00DB61A8" w:rsidRPr="006903B5" w14:paraId="2E181951" w14:textId="77777777" w:rsidTr="00734BCA">
        <w:trPr>
          <w:trHeight w:val="397"/>
        </w:trPr>
        <w:tc>
          <w:tcPr>
            <w:tcW w:w="1126" w:type="pct"/>
            <w:shd w:val="clear" w:color="auto" w:fill="C6D9F1" w:themeFill="text2" w:themeFillTint="33"/>
            <w:vAlign w:val="center"/>
            <w:hideMark/>
          </w:tcPr>
          <w:p w14:paraId="67E54707" w14:textId="77777777" w:rsidR="00DB61A8" w:rsidRPr="006903B5" w:rsidRDefault="00DB61A8" w:rsidP="00734BCA">
            <w:pPr>
              <w:rPr>
                <w:rFonts w:ascii="Arial" w:eastAsia="Times New Roman" w:hAnsi="Arial" w:cs="Arial"/>
                <w:b/>
                <w:bCs/>
                <w:color w:val="000000"/>
                <w:sz w:val="20"/>
                <w:szCs w:val="20"/>
              </w:rPr>
            </w:pPr>
            <w:r w:rsidRPr="006903B5">
              <w:rPr>
                <w:rFonts w:ascii="Arial" w:eastAsia="Times New Roman" w:hAnsi="Arial" w:cs="Arial"/>
                <w:b/>
                <w:bCs/>
                <w:color w:val="000000"/>
                <w:sz w:val="20"/>
                <w:szCs w:val="20"/>
              </w:rPr>
              <w:t>Southern Inshore</w:t>
            </w:r>
          </w:p>
        </w:tc>
        <w:tc>
          <w:tcPr>
            <w:tcW w:w="1284" w:type="pct"/>
            <w:shd w:val="clear" w:color="auto" w:fill="auto"/>
            <w:vAlign w:val="center"/>
            <w:hideMark/>
          </w:tcPr>
          <w:p w14:paraId="61E2D75E" w14:textId="77777777" w:rsidR="00DB61A8" w:rsidRPr="006903B5" w:rsidRDefault="00DB61A8" w:rsidP="00734BCA">
            <w:pPr>
              <w:jc w:val="center"/>
              <w:rPr>
                <w:rFonts w:ascii="Arial" w:eastAsia="Times New Roman" w:hAnsi="Arial" w:cs="Arial"/>
                <w:color w:val="000000"/>
                <w:sz w:val="20"/>
                <w:szCs w:val="20"/>
              </w:rPr>
            </w:pPr>
            <w:r w:rsidRPr="006903B5">
              <w:rPr>
                <w:rFonts w:ascii="Arial" w:eastAsia="Times New Roman" w:hAnsi="Arial" w:cs="Arial"/>
                <w:color w:val="000000"/>
                <w:sz w:val="20"/>
                <w:szCs w:val="20"/>
              </w:rPr>
              <w:t>Very poor</w:t>
            </w:r>
          </w:p>
        </w:tc>
        <w:tc>
          <w:tcPr>
            <w:tcW w:w="1166" w:type="pct"/>
            <w:shd w:val="clear" w:color="auto" w:fill="auto"/>
            <w:vAlign w:val="center"/>
          </w:tcPr>
          <w:p w14:paraId="566D2CB4" w14:textId="77777777" w:rsidR="00DB61A8" w:rsidRPr="006903B5" w:rsidRDefault="00DB61A8" w:rsidP="00734BCA">
            <w:pPr>
              <w:jc w:val="center"/>
              <w:rPr>
                <w:rFonts w:ascii="Arial" w:eastAsia="Times New Roman" w:hAnsi="Arial" w:cs="Arial"/>
                <w:bCs/>
                <w:color w:val="000000"/>
                <w:sz w:val="20"/>
                <w:szCs w:val="20"/>
              </w:rPr>
            </w:pPr>
            <w:r w:rsidRPr="006903B5">
              <w:rPr>
                <w:rFonts w:ascii="Arial" w:eastAsia="Times New Roman" w:hAnsi="Arial" w:cs="Arial"/>
                <w:bCs/>
                <w:color w:val="000000"/>
                <w:sz w:val="20"/>
                <w:szCs w:val="20"/>
              </w:rPr>
              <w:t>Declining</w:t>
            </w:r>
          </w:p>
        </w:tc>
        <w:tc>
          <w:tcPr>
            <w:tcW w:w="1424" w:type="pct"/>
            <w:shd w:val="clear" w:color="auto" w:fill="auto"/>
            <w:vAlign w:val="center"/>
            <w:hideMark/>
          </w:tcPr>
          <w:p w14:paraId="3558E363" w14:textId="77777777" w:rsidR="00DB61A8" w:rsidRPr="006903B5" w:rsidRDefault="00DB61A8" w:rsidP="00734BCA">
            <w:pPr>
              <w:jc w:val="center"/>
              <w:rPr>
                <w:rFonts w:ascii="Arial" w:eastAsia="Times New Roman" w:hAnsi="Arial" w:cs="Arial"/>
                <w:bCs/>
                <w:color w:val="000000"/>
                <w:sz w:val="20"/>
                <w:szCs w:val="20"/>
              </w:rPr>
            </w:pPr>
            <w:r w:rsidRPr="006903B5">
              <w:rPr>
                <w:rFonts w:ascii="Arial" w:eastAsia="Times New Roman" w:hAnsi="Arial" w:cs="Arial"/>
                <w:bCs/>
                <w:color w:val="000000"/>
                <w:sz w:val="20"/>
                <w:szCs w:val="20"/>
              </w:rPr>
              <w:t>Improve</w:t>
            </w:r>
          </w:p>
        </w:tc>
      </w:tr>
      <w:tr w:rsidR="00DB61A8" w:rsidRPr="006903B5" w14:paraId="7A9A8872" w14:textId="77777777" w:rsidTr="00734BCA">
        <w:trPr>
          <w:trHeight w:val="397"/>
        </w:trPr>
        <w:tc>
          <w:tcPr>
            <w:tcW w:w="1126" w:type="pct"/>
            <w:shd w:val="clear" w:color="auto" w:fill="C6D9F1" w:themeFill="text2" w:themeFillTint="33"/>
            <w:vAlign w:val="center"/>
            <w:hideMark/>
          </w:tcPr>
          <w:p w14:paraId="6D9015C9" w14:textId="77777777" w:rsidR="00DB61A8" w:rsidRPr="006903B5" w:rsidRDefault="00DB61A8" w:rsidP="00734BCA">
            <w:pPr>
              <w:rPr>
                <w:rFonts w:ascii="Arial" w:eastAsia="Times New Roman" w:hAnsi="Arial" w:cs="Arial"/>
                <w:b/>
                <w:bCs/>
                <w:color w:val="000000"/>
                <w:sz w:val="20"/>
                <w:szCs w:val="20"/>
              </w:rPr>
            </w:pPr>
            <w:r w:rsidRPr="006903B5">
              <w:rPr>
                <w:rFonts w:ascii="Arial" w:eastAsia="Times New Roman" w:hAnsi="Arial" w:cs="Arial"/>
                <w:b/>
                <w:bCs/>
                <w:color w:val="000000"/>
                <w:sz w:val="20"/>
                <w:szCs w:val="20"/>
              </w:rPr>
              <w:t>Southern Offshore</w:t>
            </w:r>
          </w:p>
        </w:tc>
        <w:tc>
          <w:tcPr>
            <w:tcW w:w="1284" w:type="pct"/>
            <w:shd w:val="clear" w:color="auto" w:fill="auto"/>
            <w:vAlign w:val="center"/>
            <w:hideMark/>
          </w:tcPr>
          <w:p w14:paraId="4BA0A64C" w14:textId="77777777" w:rsidR="00DB61A8" w:rsidRPr="006903B5" w:rsidRDefault="00DB61A8" w:rsidP="00734BCA">
            <w:pPr>
              <w:jc w:val="center"/>
              <w:rPr>
                <w:rFonts w:ascii="Arial" w:eastAsia="Times New Roman" w:hAnsi="Arial" w:cs="Arial"/>
                <w:color w:val="000000"/>
                <w:sz w:val="20"/>
                <w:szCs w:val="20"/>
              </w:rPr>
            </w:pPr>
            <w:r w:rsidRPr="006903B5">
              <w:rPr>
                <w:rFonts w:ascii="Arial" w:eastAsia="Times New Roman" w:hAnsi="Arial" w:cs="Arial"/>
                <w:color w:val="000000"/>
                <w:sz w:val="20"/>
                <w:szCs w:val="20"/>
              </w:rPr>
              <w:t>Poor</w:t>
            </w:r>
          </w:p>
        </w:tc>
        <w:tc>
          <w:tcPr>
            <w:tcW w:w="1166" w:type="pct"/>
            <w:shd w:val="clear" w:color="auto" w:fill="auto"/>
            <w:vAlign w:val="center"/>
          </w:tcPr>
          <w:p w14:paraId="6D188933" w14:textId="77777777" w:rsidR="00DB61A8" w:rsidRPr="006903B5" w:rsidRDefault="00DB61A8" w:rsidP="00734BCA">
            <w:pPr>
              <w:jc w:val="center"/>
              <w:rPr>
                <w:rFonts w:ascii="Arial" w:eastAsia="Times New Roman" w:hAnsi="Arial" w:cs="Arial"/>
                <w:bCs/>
                <w:color w:val="000000"/>
                <w:sz w:val="20"/>
                <w:szCs w:val="20"/>
              </w:rPr>
            </w:pPr>
            <w:r w:rsidRPr="006903B5">
              <w:rPr>
                <w:rFonts w:ascii="Arial" w:eastAsia="Times New Roman" w:hAnsi="Arial" w:cs="Arial"/>
                <w:bCs/>
                <w:color w:val="000000"/>
                <w:sz w:val="20"/>
                <w:szCs w:val="20"/>
              </w:rPr>
              <w:t>No clear trend</w:t>
            </w:r>
          </w:p>
        </w:tc>
        <w:tc>
          <w:tcPr>
            <w:tcW w:w="1424" w:type="pct"/>
            <w:shd w:val="clear" w:color="auto" w:fill="auto"/>
            <w:vAlign w:val="center"/>
            <w:hideMark/>
          </w:tcPr>
          <w:p w14:paraId="61545054" w14:textId="77777777" w:rsidR="00DB61A8" w:rsidRPr="006903B5" w:rsidRDefault="00DB61A8" w:rsidP="00734BCA">
            <w:pPr>
              <w:jc w:val="center"/>
              <w:rPr>
                <w:rFonts w:ascii="Arial" w:eastAsia="Times New Roman" w:hAnsi="Arial" w:cs="Arial"/>
                <w:bCs/>
                <w:color w:val="000000"/>
                <w:sz w:val="20"/>
                <w:szCs w:val="20"/>
              </w:rPr>
            </w:pPr>
            <w:r w:rsidRPr="006903B5">
              <w:rPr>
                <w:rFonts w:ascii="Arial" w:eastAsia="Times New Roman" w:hAnsi="Arial" w:cs="Arial"/>
                <w:bCs/>
                <w:color w:val="000000"/>
                <w:sz w:val="20"/>
                <w:szCs w:val="20"/>
              </w:rPr>
              <w:t>Improve</w:t>
            </w:r>
          </w:p>
        </w:tc>
      </w:tr>
    </w:tbl>
    <w:p w14:paraId="157166C4" w14:textId="77777777" w:rsidR="00EF383F" w:rsidRPr="00511304" w:rsidRDefault="00EF383F" w:rsidP="00511304">
      <w:pPr>
        <w:pStyle w:val="Heading1"/>
        <w:widowControl/>
        <w:tabs>
          <w:tab w:val="left" w:pos="7905"/>
        </w:tabs>
        <w:autoSpaceDE/>
        <w:autoSpaceDN/>
        <w:adjustRightInd/>
        <w:spacing w:before="200" w:after="100"/>
        <w:ind w:right="0"/>
        <w:jc w:val="left"/>
        <w:rPr>
          <w:rFonts w:ascii="Calibri" w:hAnsi="Calibri" w:cs="Times New Roman"/>
          <w:bCs w:val="0"/>
          <w:color w:val="005782"/>
          <w:sz w:val="30"/>
          <w:szCs w:val="30"/>
        </w:rPr>
      </w:pPr>
      <w:r w:rsidRPr="00511304">
        <w:rPr>
          <w:rFonts w:ascii="Calibri" w:hAnsi="Calibri" w:cs="Times New Roman"/>
          <w:bCs w:val="0"/>
          <w:color w:val="005782"/>
          <w:sz w:val="30"/>
          <w:szCs w:val="30"/>
        </w:rPr>
        <w:t xml:space="preserve">Common </w:t>
      </w:r>
      <w:r w:rsidR="00511304">
        <w:rPr>
          <w:rFonts w:ascii="Calibri" w:hAnsi="Calibri" w:cs="Times New Roman"/>
          <w:bCs w:val="0"/>
          <w:color w:val="005782"/>
          <w:sz w:val="30"/>
          <w:szCs w:val="30"/>
        </w:rPr>
        <w:t xml:space="preserve">assessment </w:t>
      </w:r>
      <w:r w:rsidRPr="00511304">
        <w:rPr>
          <w:rFonts w:ascii="Calibri" w:hAnsi="Calibri" w:cs="Times New Roman"/>
          <w:bCs w:val="0"/>
          <w:color w:val="005782"/>
          <w:sz w:val="30"/>
          <w:szCs w:val="30"/>
        </w:rPr>
        <w:t>considerations</w:t>
      </w:r>
      <w:r w:rsidR="00511304">
        <w:rPr>
          <w:rFonts w:ascii="Calibri" w:hAnsi="Calibri" w:cs="Times New Roman"/>
          <w:bCs w:val="0"/>
          <w:color w:val="005782"/>
          <w:sz w:val="30"/>
          <w:szCs w:val="30"/>
        </w:rPr>
        <w:tab/>
      </w:r>
    </w:p>
    <w:p w14:paraId="18B5969B" w14:textId="6EB0A632" w:rsidR="008C1855" w:rsidRDefault="003033A7" w:rsidP="001B432F">
      <w:pPr>
        <w:pStyle w:val="BodyTextNumbering"/>
        <w:numPr>
          <w:ilvl w:val="0"/>
          <w:numId w:val="9"/>
        </w:numPr>
        <w:spacing w:before="120"/>
        <w:rPr>
          <w:rFonts w:eastAsia="Calibri"/>
        </w:rPr>
      </w:pPr>
      <w:r>
        <w:rPr>
          <w:rFonts w:eastAsia="Calibri"/>
        </w:rPr>
        <w:t>D</w:t>
      </w:r>
      <w:r w:rsidR="00395227">
        <w:rPr>
          <w:rFonts w:eastAsia="Calibri"/>
        </w:rPr>
        <w:t xml:space="preserve">egradation </w:t>
      </w:r>
      <w:r w:rsidR="006B4FDE">
        <w:rPr>
          <w:rFonts w:eastAsia="Calibri"/>
        </w:rPr>
        <w:t xml:space="preserve">of ecosystem health and function of seagrass meadows will have negative implications on other values of the Marine Park, </w:t>
      </w:r>
      <w:r w:rsidR="001B432F">
        <w:rPr>
          <w:rFonts w:eastAsia="Calibri"/>
        </w:rPr>
        <w:t>in particular</w:t>
      </w:r>
      <w:r w:rsidR="006B4FDE">
        <w:rPr>
          <w:rFonts w:eastAsia="Calibri"/>
        </w:rPr>
        <w:t xml:space="preserve"> biodiversity values, social values</w:t>
      </w:r>
      <w:r w:rsidR="008F3381">
        <w:rPr>
          <w:rFonts w:eastAsia="Calibri"/>
        </w:rPr>
        <w:t xml:space="preserve"> and Traditional Owner </w:t>
      </w:r>
      <w:r w:rsidR="008C1855">
        <w:rPr>
          <w:rFonts w:eastAsia="Calibri"/>
        </w:rPr>
        <w:t xml:space="preserve">heritage </w:t>
      </w:r>
      <w:r w:rsidR="008F3381">
        <w:rPr>
          <w:rFonts w:eastAsia="Calibri"/>
        </w:rPr>
        <w:t xml:space="preserve">values. </w:t>
      </w:r>
    </w:p>
    <w:p w14:paraId="4D99B67E" w14:textId="035221F2" w:rsidR="00811941" w:rsidRPr="008C1855" w:rsidRDefault="004E7DE7" w:rsidP="008C1855">
      <w:pPr>
        <w:pStyle w:val="BodyTextNumbering"/>
        <w:numPr>
          <w:ilvl w:val="0"/>
          <w:numId w:val="9"/>
        </w:numPr>
        <w:spacing w:before="120"/>
        <w:rPr>
          <w:rFonts w:eastAsia="Calibri"/>
        </w:rPr>
      </w:pPr>
      <w:r>
        <w:t>Wherever possible, i</w:t>
      </w:r>
      <w:r w:rsidR="008C1855">
        <w:t xml:space="preserve">mpacts to seagrass should be avoided </w:t>
      </w:r>
      <w:r w:rsidR="00B22EC6">
        <w:t xml:space="preserve">by the applicant </w:t>
      </w:r>
      <w:r w:rsidR="008C1855">
        <w:t xml:space="preserve">and prudent and feasible alternatives examined upfront. </w:t>
      </w:r>
      <w:r w:rsidR="00811941" w:rsidRPr="008C1855">
        <w:rPr>
          <w:rFonts w:eastAsia="Calibri"/>
        </w:rPr>
        <w:t xml:space="preserve"> </w:t>
      </w:r>
    </w:p>
    <w:p w14:paraId="7B17D116" w14:textId="2A34EEC3" w:rsidR="00811941" w:rsidRPr="0033046B" w:rsidRDefault="00811941" w:rsidP="0033046B">
      <w:pPr>
        <w:pStyle w:val="BodyTextNumbering"/>
        <w:numPr>
          <w:ilvl w:val="0"/>
          <w:numId w:val="9"/>
        </w:numPr>
        <w:spacing w:before="120"/>
        <w:rPr>
          <w:rFonts w:eastAsia="Calibri"/>
        </w:rPr>
      </w:pPr>
      <w:r>
        <w:t xml:space="preserve">Where </w:t>
      </w:r>
      <w:r w:rsidR="00734BCA">
        <w:t xml:space="preserve">it </w:t>
      </w:r>
      <w:r>
        <w:t>is no</w:t>
      </w:r>
      <w:r w:rsidR="00B22EC6">
        <w:t>t possible to avoid impacts, impacts</w:t>
      </w:r>
      <w:r>
        <w:t xml:space="preserve"> </w:t>
      </w:r>
      <w:r w:rsidRPr="00864FC7">
        <w:t>should be mitigated</w:t>
      </w:r>
      <w:r>
        <w:t>.</w:t>
      </w:r>
      <w:r w:rsidRPr="00864FC7">
        <w:t xml:space="preserve"> If there is any residual impact, a determination should be made whether the impact is acceptable or not. </w:t>
      </w:r>
      <w:r>
        <w:t xml:space="preserve">If a permission is granted, appropriate monitoring measures (such as works monitoring and long-term monitoring programs) </w:t>
      </w:r>
      <w:r w:rsidR="004E7DE7">
        <w:t xml:space="preserve">should be </w:t>
      </w:r>
      <w:r w:rsidR="00933D6C">
        <w:t xml:space="preserve">imposed </w:t>
      </w:r>
      <w:r>
        <w:t>to ensure impacts are adequately</w:t>
      </w:r>
      <w:r w:rsidR="00933D6C">
        <w:t xml:space="preserve"> monitored and</w:t>
      </w:r>
      <w:r>
        <w:t xml:space="preserve"> </w:t>
      </w:r>
      <w:r w:rsidRPr="00954B57">
        <w:t xml:space="preserve">managed. </w:t>
      </w:r>
      <w:r w:rsidR="004E7DE7">
        <w:t>I</w:t>
      </w:r>
      <w:r w:rsidR="0033046B" w:rsidRPr="00954B57">
        <w:t>n the context of the overall degraded condition of seagrass popula</w:t>
      </w:r>
      <w:r w:rsidR="0033046B">
        <w:t>tions in the Marine Park even small losses may be critical.</w:t>
      </w:r>
      <w:r w:rsidR="0033046B">
        <w:fldChar w:fldCharType="begin"/>
      </w:r>
      <w:r w:rsidR="00EE558C">
        <w:instrText>ADDIN RW.CITE{{23873 McCook,L. 2015}}</w:instrText>
      </w:r>
      <w:r w:rsidR="0033046B">
        <w:fldChar w:fldCharType="separate"/>
      </w:r>
      <w:r w:rsidR="00EE558C" w:rsidRPr="00EE558C">
        <w:rPr>
          <w:rFonts w:cs="Arial"/>
          <w:vertAlign w:val="superscript"/>
        </w:rPr>
        <w:t>20</w:t>
      </w:r>
      <w:r w:rsidR="0033046B">
        <w:fldChar w:fldCharType="end"/>
      </w:r>
    </w:p>
    <w:p w14:paraId="6DD69357" w14:textId="0DB0E857" w:rsidR="008C1855" w:rsidRPr="00031DDD" w:rsidRDefault="004E7DE7" w:rsidP="008C1855">
      <w:pPr>
        <w:pStyle w:val="BodyTextNumbering"/>
        <w:numPr>
          <w:ilvl w:val="0"/>
          <w:numId w:val="9"/>
        </w:numPr>
        <w:spacing w:before="120"/>
        <w:rPr>
          <w:rFonts w:eastAsia="Calibri"/>
        </w:rPr>
      </w:pPr>
      <w:r>
        <w:rPr>
          <w:rFonts w:cs="Arial"/>
          <w:color w:val="auto"/>
          <w:szCs w:val="20"/>
        </w:rPr>
        <w:t xml:space="preserve">There should be </w:t>
      </w:r>
      <w:r w:rsidR="00933D6C">
        <w:rPr>
          <w:rFonts w:cs="Arial"/>
          <w:color w:val="auto"/>
          <w:szCs w:val="20"/>
        </w:rPr>
        <w:t xml:space="preserve">an </w:t>
      </w:r>
      <w:r w:rsidR="008C1855" w:rsidRPr="001B432F">
        <w:rPr>
          <w:rFonts w:cs="Arial"/>
          <w:color w:val="auto"/>
          <w:szCs w:val="20"/>
        </w:rPr>
        <w:t>adequate understanding of scale</w:t>
      </w:r>
      <w:r w:rsidR="008C1855">
        <w:rPr>
          <w:rFonts w:cs="Arial"/>
          <w:color w:val="auto"/>
          <w:szCs w:val="20"/>
        </w:rPr>
        <w:t xml:space="preserve"> (spatial and temporal)</w:t>
      </w:r>
      <w:r w:rsidR="008C1855" w:rsidRPr="001B432F">
        <w:rPr>
          <w:rFonts w:cs="Arial"/>
          <w:color w:val="auto"/>
          <w:szCs w:val="20"/>
        </w:rPr>
        <w:t xml:space="preserve">, and cause and effect </w:t>
      </w:r>
      <w:r w:rsidR="00933D6C">
        <w:rPr>
          <w:rFonts w:cs="Arial"/>
          <w:color w:val="auto"/>
          <w:szCs w:val="20"/>
        </w:rPr>
        <w:t xml:space="preserve">relationship </w:t>
      </w:r>
      <w:r w:rsidR="008C1855" w:rsidRPr="001B432F">
        <w:rPr>
          <w:rFonts w:cs="Arial"/>
          <w:color w:val="auto"/>
          <w:szCs w:val="20"/>
        </w:rPr>
        <w:t xml:space="preserve">(including direct, indirect and consequential impacts, </w:t>
      </w:r>
      <w:r>
        <w:rPr>
          <w:rFonts w:cs="Arial"/>
          <w:color w:val="auto"/>
          <w:szCs w:val="20"/>
        </w:rPr>
        <w:t>and</w:t>
      </w:r>
      <w:r w:rsidR="008C1855" w:rsidRPr="001B432F">
        <w:rPr>
          <w:rFonts w:cs="Arial"/>
          <w:color w:val="auto"/>
          <w:szCs w:val="20"/>
        </w:rPr>
        <w:t xml:space="preserve"> cumulative impacts)</w:t>
      </w:r>
      <w:r w:rsidR="008C1855">
        <w:rPr>
          <w:rFonts w:cs="Arial"/>
          <w:color w:val="auto"/>
          <w:szCs w:val="20"/>
        </w:rPr>
        <w:t xml:space="preserve"> </w:t>
      </w:r>
      <w:r w:rsidR="00933D6C">
        <w:rPr>
          <w:rFonts w:cs="Arial"/>
          <w:color w:val="auto"/>
          <w:szCs w:val="20"/>
        </w:rPr>
        <w:t xml:space="preserve">which may arise </w:t>
      </w:r>
      <w:r w:rsidR="008C1855">
        <w:rPr>
          <w:rFonts w:cs="Arial"/>
          <w:color w:val="auto"/>
          <w:szCs w:val="20"/>
        </w:rPr>
        <w:t>from the proposed activity</w:t>
      </w:r>
      <w:r w:rsidR="00933D6C">
        <w:rPr>
          <w:rFonts w:cs="Arial"/>
          <w:color w:val="auto"/>
          <w:szCs w:val="20"/>
        </w:rPr>
        <w:t>. This understanding should be evidence-based,</w:t>
      </w:r>
      <w:r w:rsidR="008C1855">
        <w:rPr>
          <w:rFonts w:cs="Arial"/>
          <w:color w:val="auto"/>
          <w:szCs w:val="20"/>
        </w:rPr>
        <w:t xml:space="preserve"> using the best available information. </w:t>
      </w:r>
    </w:p>
    <w:p w14:paraId="52662748" w14:textId="6C001D2E" w:rsidR="00EA3D0F" w:rsidRDefault="00EA3D0F" w:rsidP="00EA3D0F">
      <w:pPr>
        <w:pStyle w:val="BodyTextNumbering"/>
        <w:numPr>
          <w:ilvl w:val="0"/>
          <w:numId w:val="9"/>
        </w:numPr>
        <w:spacing w:before="120"/>
        <w:rPr>
          <w:rFonts w:eastAsia="Calibri"/>
        </w:rPr>
      </w:pPr>
      <w:r>
        <w:t>As s</w:t>
      </w:r>
      <w:r>
        <w:rPr>
          <w:rFonts w:eastAsia="Calibri"/>
        </w:rPr>
        <w:t>eagrass status and condition varies across the Marine Park both spatially and temporally, it is critical to consider imp</w:t>
      </w:r>
      <w:r w:rsidR="00933D6C">
        <w:rPr>
          <w:rFonts w:eastAsia="Calibri"/>
        </w:rPr>
        <w:t>acts in the context of location-</w:t>
      </w:r>
      <w:r>
        <w:rPr>
          <w:rFonts w:eastAsia="Calibri"/>
        </w:rPr>
        <w:t xml:space="preserve">specific conditions and their exposure to localised pressures over time (previous and predicted), as well as </w:t>
      </w:r>
      <w:r w:rsidR="0033046B">
        <w:rPr>
          <w:rFonts w:eastAsia="Calibri"/>
        </w:rPr>
        <w:t xml:space="preserve">in </w:t>
      </w:r>
      <w:r>
        <w:rPr>
          <w:rFonts w:eastAsia="Calibri"/>
        </w:rPr>
        <w:t xml:space="preserve">the broader, regional context. </w:t>
      </w:r>
    </w:p>
    <w:p w14:paraId="3A802FAA" w14:textId="56A521F8" w:rsidR="001B432F" w:rsidRDefault="008C1855" w:rsidP="00EA3D0F">
      <w:pPr>
        <w:pStyle w:val="BodyTextNumbering"/>
        <w:numPr>
          <w:ilvl w:val="0"/>
          <w:numId w:val="9"/>
        </w:numPr>
        <w:spacing w:before="120"/>
        <w:rPr>
          <w:rFonts w:eastAsia="Calibri"/>
        </w:rPr>
      </w:pPr>
      <w:r>
        <w:rPr>
          <w:rFonts w:cs="Arial"/>
          <w:szCs w:val="20"/>
        </w:rPr>
        <w:t>I</w:t>
      </w:r>
      <w:r w:rsidR="008F3381">
        <w:rPr>
          <w:rFonts w:cs="Arial"/>
          <w:szCs w:val="20"/>
        </w:rPr>
        <w:t xml:space="preserve">f </w:t>
      </w:r>
      <w:r w:rsidR="008F3381" w:rsidRPr="00516F63">
        <w:rPr>
          <w:rFonts w:cs="Arial"/>
          <w:szCs w:val="20"/>
        </w:rPr>
        <w:t xml:space="preserve">the condition of </w:t>
      </w:r>
      <w:r w:rsidR="008F3381" w:rsidRPr="00CB3957">
        <w:rPr>
          <w:rFonts w:cs="Arial"/>
          <w:szCs w:val="20"/>
        </w:rPr>
        <w:t xml:space="preserve">seagrass </w:t>
      </w:r>
      <w:r w:rsidR="00CB3957" w:rsidRPr="00CB3957">
        <w:rPr>
          <w:rFonts w:cs="Arial"/>
          <w:szCs w:val="20"/>
        </w:rPr>
        <w:t>has been compromised</w:t>
      </w:r>
      <w:r w:rsidR="008F79CB" w:rsidRPr="00CB3957">
        <w:rPr>
          <w:rFonts w:cs="Arial"/>
          <w:szCs w:val="20"/>
        </w:rPr>
        <w:t>,</w:t>
      </w:r>
      <w:r w:rsidR="008F3381" w:rsidRPr="00CB3957">
        <w:rPr>
          <w:rFonts w:cs="Arial"/>
          <w:szCs w:val="20"/>
        </w:rPr>
        <w:t xml:space="preserve"> any impact</w:t>
      </w:r>
      <w:r w:rsidR="008F3381" w:rsidRPr="00516F63">
        <w:rPr>
          <w:rFonts w:cs="Arial"/>
          <w:szCs w:val="20"/>
        </w:rPr>
        <w:t xml:space="preserve"> is likely to </w:t>
      </w:r>
      <w:r w:rsidR="008F79CB">
        <w:rPr>
          <w:rFonts w:cs="Arial"/>
          <w:szCs w:val="20"/>
        </w:rPr>
        <w:t xml:space="preserve">be of </w:t>
      </w:r>
      <w:r w:rsidR="008F3381">
        <w:t>greater consequence.</w:t>
      </w:r>
      <w:r w:rsidR="008F79CB" w:rsidRPr="008F79CB">
        <w:rPr>
          <w:rFonts w:eastAsia="Calibri"/>
        </w:rPr>
        <w:t xml:space="preserve"> </w:t>
      </w:r>
      <w:r w:rsidR="008F79CB">
        <w:rPr>
          <w:rFonts w:eastAsia="Calibri"/>
        </w:rPr>
        <w:t>It is particularly important to ascertain the resilience of seagrass and seagrass meadows and their ability to withstand impacts from the potential exposure</w:t>
      </w:r>
      <w:r>
        <w:rPr>
          <w:rFonts w:eastAsia="Calibri"/>
        </w:rPr>
        <w:t xml:space="preserve"> to hazards arising from the proposed</w:t>
      </w:r>
      <w:r w:rsidR="008F79CB">
        <w:rPr>
          <w:rFonts w:eastAsia="Calibri"/>
        </w:rPr>
        <w:t xml:space="preserve"> activity, as well as other pressures and potential future impacts.</w:t>
      </w:r>
    </w:p>
    <w:p w14:paraId="71CFCF5C" w14:textId="3AA21AA4" w:rsidR="005B1AEB" w:rsidRPr="00A76031" w:rsidRDefault="004E7DE7" w:rsidP="005B1AEB">
      <w:pPr>
        <w:pStyle w:val="BodyTextNumbering"/>
        <w:numPr>
          <w:ilvl w:val="0"/>
          <w:numId w:val="9"/>
        </w:numPr>
        <w:spacing w:before="120"/>
        <w:rPr>
          <w:rFonts w:cs="Arial"/>
          <w:szCs w:val="20"/>
        </w:rPr>
      </w:pPr>
      <w:r>
        <w:rPr>
          <w:rFonts w:cs="Arial"/>
          <w:szCs w:val="20"/>
        </w:rPr>
        <w:t>There should be an u</w:t>
      </w:r>
      <w:r w:rsidR="005B1AEB" w:rsidRPr="008837B9">
        <w:rPr>
          <w:rFonts w:cs="Arial"/>
          <w:szCs w:val="20"/>
        </w:rPr>
        <w:t>nderstand</w:t>
      </w:r>
      <w:r>
        <w:rPr>
          <w:rFonts w:cs="Arial"/>
          <w:szCs w:val="20"/>
        </w:rPr>
        <w:t>ing of</w:t>
      </w:r>
      <w:r w:rsidR="005B1AEB" w:rsidRPr="008837B9">
        <w:rPr>
          <w:rFonts w:cs="Arial"/>
          <w:szCs w:val="20"/>
        </w:rPr>
        <w:t xml:space="preserve"> the diversity </w:t>
      </w:r>
      <w:r w:rsidR="005B1AEB">
        <w:rPr>
          <w:rFonts w:cs="Arial"/>
          <w:szCs w:val="20"/>
        </w:rPr>
        <w:t>and the species composition</w:t>
      </w:r>
      <w:r w:rsidR="005B1AEB" w:rsidRPr="008837B9">
        <w:rPr>
          <w:rFonts w:cs="Arial"/>
          <w:szCs w:val="20"/>
        </w:rPr>
        <w:t xml:space="preserve"> of the habitats</w:t>
      </w:r>
      <w:r w:rsidR="005B1AEB">
        <w:rPr>
          <w:rFonts w:cs="Arial"/>
          <w:szCs w:val="20"/>
        </w:rPr>
        <w:t xml:space="preserve"> </w:t>
      </w:r>
      <w:r w:rsidR="00EA3D0F">
        <w:rPr>
          <w:rFonts w:cs="Arial"/>
          <w:szCs w:val="20"/>
        </w:rPr>
        <w:t>potentially</w:t>
      </w:r>
      <w:r w:rsidR="005B1AEB">
        <w:rPr>
          <w:rFonts w:cs="Arial"/>
          <w:szCs w:val="20"/>
        </w:rPr>
        <w:t xml:space="preserve"> exposed to the hazards</w:t>
      </w:r>
      <w:r w:rsidR="00933D6C">
        <w:rPr>
          <w:rFonts w:cs="Arial"/>
          <w:szCs w:val="20"/>
        </w:rPr>
        <w:t>,</w:t>
      </w:r>
      <w:r w:rsidR="005B1AEB">
        <w:rPr>
          <w:rFonts w:cs="Arial"/>
          <w:szCs w:val="20"/>
        </w:rPr>
        <w:t xml:space="preserve"> and the potential impacts on the most </w:t>
      </w:r>
      <w:r w:rsidR="005B1AEB" w:rsidRPr="00A76031">
        <w:rPr>
          <w:rFonts w:cs="Arial"/>
          <w:szCs w:val="20"/>
        </w:rPr>
        <w:t>sensitive species present</w:t>
      </w:r>
      <w:r w:rsidR="00933D6C">
        <w:rPr>
          <w:rFonts w:cs="Arial"/>
          <w:szCs w:val="20"/>
        </w:rPr>
        <w:t xml:space="preserve"> should be assessed</w:t>
      </w:r>
      <w:r w:rsidR="005B1AEB" w:rsidRPr="00A76031">
        <w:rPr>
          <w:rFonts w:cs="Arial"/>
          <w:szCs w:val="20"/>
        </w:rPr>
        <w:t xml:space="preserve">. </w:t>
      </w:r>
      <w:r w:rsidR="005B1AEB" w:rsidRPr="00A76031">
        <w:rPr>
          <w:rFonts w:cs="Arial"/>
          <w:color w:val="auto"/>
          <w:szCs w:val="20"/>
        </w:rPr>
        <w:t>Changes to species composition of seagrass meadows may occur in the short and longer terms.</w:t>
      </w:r>
      <w:r w:rsidR="006C3183">
        <w:rPr>
          <w:rFonts w:cs="Arial"/>
          <w:color w:val="auto"/>
          <w:szCs w:val="20"/>
        </w:rPr>
        <w:t xml:space="preserve"> Further, the capacity of a particular species to recover may also differ across locations.</w:t>
      </w:r>
      <w:r w:rsidR="006C3183">
        <w:rPr>
          <w:rFonts w:cs="Arial"/>
          <w:color w:val="auto"/>
          <w:szCs w:val="20"/>
        </w:rPr>
        <w:fldChar w:fldCharType="begin"/>
      </w:r>
      <w:r w:rsidR="00EE558C">
        <w:rPr>
          <w:rFonts w:cs="Arial"/>
          <w:color w:val="auto"/>
          <w:szCs w:val="20"/>
        </w:rPr>
        <w:instrText>ADDIN RW.CITE{{22603 Rasheed,M.A. 2014}}</w:instrText>
      </w:r>
      <w:r w:rsidR="006C3183">
        <w:rPr>
          <w:rFonts w:cs="Arial"/>
          <w:color w:val="auto"/>
          <w:szCs w:val="20"/>
        </w:rPr>
        <w:fldChar w:fldCharType="separate"/>
      </w:r>
      <w:r w:rsidR="00EE558C" w:rsidRPr="00EE558C">
        <w:rPr>
          <w:rFonts w:cs="Arial"/>
          <w:color w:val="auto"/>
          <w:szCs w:val="20"/>
          <w:vertAlign w:val="superscript"/>
        </w:rPr>
        <w:t>21</w:t>
      </w:r>
      <w:r w:rsidR="006C3183">
        <w:rPr>
          <w:rFonts w:cs="Arial"/>
          <w:color w:val="auto"/>
          <w:szCs w:val="20"/>
        </w:rPr>
        <w:fldChar w:fldCharType="end"/>
      </w:r>
    </w:p>
    <w:p w14:paraId="43E5804A" w14:textId="7CA3FF77" w:rsidR="000A2638" w:rsidRDefault="000A2638" w:rsidP="000A2638">
      <w:pPr>
        <w:pStyle w:val="BodyTextNumbering"/>
        <w:numPr>
          <w:ilvl w:val="0"/>
          <w:numId w:val="9"/>
        </w:numPr>
        <w:spacing w:before="120"/>
        <w:rPr>
          <w:rFonts w:cs="Arial"/>
          <w:szCs w:val="20"/>
        </w:rPr>
      </w:pPr>
      <w:r>
        <w:rPr>
          <w:rFonts w:cs="Arial"/>
          <w:szCs w:val="20"/>
        </w:rPr>
        <w:t>It can be difficult to ascertain the cause of impacts to seagrass, as they are subject to a wide range of pressures related to water quality, sea temperature and hydrodynamic changes,</w:t>
      </w:r>
      <w:r w:rsidR="008837B9">
        <w:rPr>
          <w:rFonts w:cs="Arial"/>
          <w:szCs w:val="20"/>
        </w:rPr>
        <w:t xml:space="preserve"> and a range of human uses</w:t>
      </w:r>
      <w:r>
        <w:rPr>
          <w:rFonts w:cs="Arial"/>
          <w:szCs w:val="20"/>
        </w:rPr>
        <w:t xml:space="preserve">. This is particularly true for near-shore, shallow water seagrass meadows, where they are affected by land based run-off and other non-point sources of pollution. The focus of a risk assessment </w:t>
      </w:r>
      <w:r w:rsidR="00CB3957">
        <w:rPr>
          <w:rFonts w:cs="Arial"/>
          <w:szCs w:val="20"/>
        </w:rPr>
        <w:t xml:space="preserve">for </w:t>
      </w:r>
      <w:r w:rsidR="00DB4D87">
        <w:rPr>
          <w:rFonts w:cs="Arial"/>
          <w:szCs w:val="20"/>
        </w:rPr>
        <w:t>public i</w:t>
      </w:r>
      <w:r w:rsidR="00CB3957">
        <w:rPr>
          <w:rFonts w:cs="Arial"/>
          <w:szCs w:val="20"/>
        </w:rPr>
        <w:t>nforma</w:t>
      </w:r>
      <w:r w:rsidR="00DB4D87">
        <w:rPr>
          <w:rFonts w:cs="Arial"/>
          <w:szCs w:val="20"/>
        </w:rPr>
        <w:t>tion package, public environment report</w:t>
      </w:r>
      <w:r w:rsidR="00B03CE1">
        <w:rPr>
          <w:rFonts w:cs="Arial"/>
          <w:szCs w:val="20"/>
        </w:rPr>
        <w:t>,</w:t>
      </w:r>
      <w:r w:rsidR="00DB4D87">
        <w:rPr>
          <w:rFonts w:cs="Arial"/>
          <w:szCs w:val="20"/>
        </w:rPr>
        <w:t xml:space="preserve"> and environment i</w:t>
      </w:r>
      <w:r w:rsidR="00CB3957">
        <w:rPr>
          <w:rFonts w:cs="Arial"/>
          <w:szCs w:val="20"/>
        </w:rPr>
        <w:t xml:space="preserve">mpact </w:t>
      </w:r>
      <w:r w:rsidR="00DB4D87">
        <w:rPr>
          <w:rFonts w:cs="Arial"/>
          <w:szCs w:val="20"/>
        </w:rPr>
        <w:t>statement</w:t>
      </w:r>
      <w:r w:rsidR="00CB3957">
        <w:rPr>
          <w:rFonts w:cs="Arial"/>
          <w:szCs w:val="20"/>
        </w:rPr>
        <w:t xml:space="preserve"> </w:t>
      </w:r>
      <w:r w:rsidR="00DB4D87">
        <w:rPr>
          <w:rFonts w:cs="Arial"/>
          <w:szCs w:val="20"/>
        </w:rPr>
        <w:t xml:space="preserve">assessment approaches </w:t>
      </w:r>
      <w:r w:rsidR="00933D6C">
        <w:rPr>
          <w:rFonts w:cs="Arial"/>
          <w:szCs w:val="20"/>
        </w:rPr>
        <w:t>should therefore be to gain an</w:t>
      </w:r>
      <w:r>
        <w:rPr>
          <w:rFonts w:cs="Arial"/>
          <w:szCs w:val="20"/>
        </w:rPr>
        <w:t xml:space="preserve"> understanding</w:t>
      </w:r>
      <w:r w:rsidR="00933D6C">
        <w:rPr>
          <w:rFonts w:cs="Arial"/>
          <w:szCs w:val="20"/>
        </w:rPr>
        <w:t xml:space="preserve"> on</w:t>
      </w:r>
      <w:r>
        <w:rPr>
          <w:rFonts w:cs="Arial"/>
          <w:szCs w:val="20"/>
        </w:rPr>
        <w:t xml:space="preserve"> how a proposed a</w:t>
      </w:r>
      <w:r w:rsidR="00B85103">
        <w:rPr>
          <w:rFonts w:cs="Arial"/>
          <w:szCs w:val="20"/>
        </w:rPr>
        <w:t xml:space="preserve">ctivity may interact with other </w:t>
      </w:r>
      <w:r>
        <w:rPr>
          <w:rFonts w:cs="Arial"/>
          <w:szCs w:val="20"/>
        </w:rPr>
        <w:t>pressures (such as river runoff)</w:t>
      </w:r>
      <w:r w:rsidR="00DB4D87">
        <w:rPr>
          <w:rFonts w:cs="Arial"/>
          <w:szCs w:val="20"/>
        </w:rPr>
        <w:t xml:space="preserve">. </w:t>
      </w:r>
      <w:r w:rsidR="00B03CE1">
        <w:rPr>
          <w:rFonts w:cs="Arial"/>
          <w:szCs w:val="20"/>
        </w:rPr>
        <w:t>A risk assessment</w:t>
      </w:r>
      <w:r w:rsidR="00933D6C">
        <w:rPr>
          <w:rFonts w:cs="Arial"/>
          <w:szCs w:val="20"/>
        </w:rPr>
        <w:t xml:space="preserve"> should a</w:t>
      </w:r>
      <w:r w:rsidR="00DB4D87">
        <w:rPr>
          <w:rFonts w:cs="Arial"/>
          <w:szCs w:val="20"/>
        </w:rPr>
        <w:t xml:space="preserve">lso </w:t>
      </w:r>
      <w:r>
        <w:rPr>
          <w:rFonts w:cs="Arial"/>
          <w:szCs w:val="20"/>
        </w:rPr>
        <w:t xml:space="preserve">determine </w:t>
      </w:r>
      <w:r w:rsidR="00B03CE1">
        <w:rPr>
          <w:rFonts w:cs="Arial"/>
          <w:szCs w:val="20"/>
        </w:rPr>
        <w:t xml:space="preserve">whether </w:t>
      </w:r>
      <w:r>
        <w:rPr>
          <w:rFonts w:cs="Arial"/>
          <w:szCs w:val="20"/>
        </w:rPr>
        <w:t>the proposed activity</w:t>
      </w:r>
      <w:r w:rsidR="00364595">
        <w:rPr>
          <w:rFonts w:cs="Arial"/>
          <w:szCs w:val="20"/>
        </w:rPr>
        <w:t>,</w:t>
      </w:r>
      <w:r>
        <w:rPr>
          <w:rFonts w:cs="Arial"/>
          <w:szCs w:val="20"/>
        </w:rPr>
        <w:t xml:space="preserve"> in the context of the historic and current status </w:t>
      </w:r>
      <w:r w:rsidR="00364595">
        <w:rPr>
          <w:rFonts w:cs="Arial"/>
          <w:szCs w:val="20"/>
        </w:rPr>
        <w:t xml:space="preserve">of seagrass </w:t>
      </w:r>
      <w:r>
        <w:rPr>
          <w:rFonts w:cs="Arial"/>
          <w:szCs w:val="20"/>
        </w:rPr>
        <w:t>and the cumulative pressures, will improve or degrade the condition of seagrass</w:t>
      </w:r>
      <w:r w:rsidR="00D56518">
        <w:rPr>
          <w:rFonts w:cs="Arial"/>
          <w:szCs w:val="20"/>
        </w:rPr>
        <w:t xml:space="preserve"> locally and regionally</w:t>
      </w:r>
      <w:r w:rsidR="00B85103">
        <w:rPr>
          <w:rFonts w:cs="Arial"/>
          <w:szCs w:val="20"/>
        </w:rPr>
        <w:t xml:space="preserve"> (also refer to the </w:t>
      </w:r>
      <w:hyperlink r:id="rId46" w:history="1">
        <w:r w:rsidR="00B85103" w:rsidRPr="00A24D93">
          <w:rPr>
            <w:rStyle w:val="Hyperlink"/>
            <w:rFonts w:cs="Arial"/>
            <w:szCs w:val="20"/>
          </w:rPr>
          <w:t>Cumulative Impact Management Policy</w:t>
        </w:r>
      </w:hyperlink>
      <w:r w:rsidR="00A24D93">
        <w:rPr>
          <w:rFonts w:cs="Arial"/>
          <w:szCs w:val="20"/>
        </w:rPr>
        <w:t xml:space="preserve"> (in draft)</w:t>
      </w:r>
      <w:r w:rsidR="00B85103">
        <w:rPr>
          <w:rFonts w:cs="Arial"/>
          <w:szCs w:val="20"/>
        </w:rPr>
        <w:t>)</w:t>
      </w:r>
      <w:r>
        <w:rPr>
          <w:rFonts w:cs="Arial"/>
          <w:szCs w:val="20"/>
        </w:rPr>
        <w:t xml:space="preserve">. </w:t>
      </w:r>
    </w:p>
    <w:p w14:paraId="5A7D408D" w14:textId="1EC5B7A9" w:rsidR="00787762" w:rsidRPr="00B1372A" w:rsidRDefault="00787762" w:rsidP="00787762">
      <w:pPr>
        <w:pStyle w:val="BodyTextNumbering"/>
        <w:numPr>
          <w:ilvl w:val="0"/>
          <w:numId w:val="9"/>
        </w:numPr>
        <w:spacing w:before="120"/>
        <w:rPr>
          <w:rFonts w:eastAsia="Calibri"/>
        </w:rPr>
      </w:pPr>
      <w:r w:rsidRPr="00516F63">
        <w:rPr>
          <w:rFonts w:cs="Arial"/>
          <w:color w:val="auto"/>
          <w:szCs w:val="20"/>
        </w:rPr>
        <w:t>Information on the current and historic condition of seagrass and the threats and impacts at specific</w:t>
      </w:r>
      <w:r w:rsidRPr="00AA19B4">
        <w:rPr>
          <w:rFonts w:cs="Arial"/>
          <w:szCs w:val="20"/>
        </w:rPr>
        <w:t xml:space="preserve"> </w:t>
      </w:r>
      <w:r>
        <w:rPr>
          <w:rFonts w:cs="Arial"/>
          <w:szCs w:val="20"/>
        </w:rPr>
        <w:t>Marine M</w:t>
      </w:r>
      <w:r w:rsidRPr="00AA19B4">
        <w:rPr>
          <w:rFonts w:cs="Arial"/>
          <w:szCs w:val="20"/>
        </w:rPr>
        <w:t xml:space="preserve">onitoring </w:t>
      </w:r>
      <w:r w:rsidRPr="005C4396">
        <w:rPr>
          <w:rFonts w:cs="Arial"/>
          <w:szCs w:val="20"/>
        </w:rPr>
        <w:t>Program sites</w:t>
      </w:r>
      <w:r w:rsidRPr="005C4396">
        <w:t xml:space="preserve"> can be sourced from d</w:t>
      </w:r>
      <w:r w:rsidRPr="005C4396">
        <w:rPr>
          <w:rFonts w:cs="Arial"/>
          <w:szCs w:val="20"/>
        </w:rPr>
        <w:t xml:space="preserve">etailed </w:t>
      </w:r>
      <w:hyperlink r:id="rId47" w:history="1">
        <w:r w:rsidRPr="005C4396">
          <w:rPr>
            <w:rStyle w:val="Hyperlink"/>
            <w:rFonts w:cs="Arial"/>
            <w:szCs w:val="20"/>
          </w:rPr>
          <w:t>technical reports</w:t>
        </w:r>
      </w:hyperlink>
      <w:r w:rsidR="00B03CE1">
        <w:rPr>
          <w:rFonts w:cs="Arial"/>
          <w:szCs w:val="20"/>
        </w:rPr>
        <w:t>,</w:t>
      </w:r>
      <w:r w:rsidRPr="005C4396">
        <w:rPr>
          <w:rFonts w:cs="Arial"/>
          <w:szCs w:val="20"/>
        </w:rPr>
        <w:t xml:space="preserve">  published annually. If the seagrass under assessment is not </w:t>
      </w:r>
      <w:r w:rsidR="00B03CE1">
        <w:rPr>
          <w:rFonts w:cs="Arial"/>
          <w:szCs w:val="20"/>
        </w:rPr>
        <w:t xml:space="preserve">located </w:t>
      </w:r>
      <w:r w:rsidRPr="005C4396">
        <w:rPr>
          <w:rFonts w:cs="Arial"/>
          <w:szCs w:val="20"/>
        </w:rPr>
        <w:t>at one of the Marine Monitoring Program sites there may still be relevant regional information</w:t>
      </w:r>
      <w:r w:rsidR="00B03CE1">
        <w:rPr>
          <w:rFonts w:cs="Arial"/>
          <w:szCs w:val="20"/>
        </w:rPr>
        <w:t xml:space="preserve"> which applies</w:t>
      </w:r>
      <w:r w:rsidRPr="005C4396">
        <w:rPr>
          <w:rFonts w:cs="Arial"/>
          <w:szCs w:val="20"/>
        </w:rPr>
        <w:t xml:space="preserve">. </w:t>
      </w:r>
      <w:hyperlink r:id="rId48" w:history="1">
        <w:r w:rsidR="002842C9" w:rsidRPr="00D15A75">
          <w:rPr>
            <w:rStyle w:val="Hyperlink"/>
            <w:rFonts w:cs="Arial"/>
            <w:szCs w:val="20"/>
          </w:rPr>
          <w:t>S</w:t>
        </w:r>
        <w:r w:rsidR="00D15A75" w:rsidRPr="00D15A75">
          <w:rPr>
            <w:rStyle w:val="Hyperlink"/>
            <w:rFonts w:cs="Arial"/>
            <w:szCs w:val="20"/>
          </w:rPr>
          <w:t>eagrass-</w:t>
        </w:r>
        <w:r w:rsidR="002842C9" w:rsidRPr="00D15A75">
          <w:rPr>
            <w:rStyle w:val="Hyperlink"/>
            <w:rFonts w:cs="Arial"/>
            <w:szCs w:val="20"/>
          </w:rPr>
          <w:t>Watch</w:t>
        </w:r>
      </w:hyperlink>
      <w:r w:rsidR="002842C9">
        <w:rPr>
          <w:rFonts w:cs="Arial"/>
          <w:szCs w:val="20"/>
        </w:rPr>
        <w:t xml:space="preserve"> also </w:t>
      </w:r>
      <w:r w:rsidR="00D15A75">
        <w:rPr>
          <w:rFonts w:cs="Arial"/>
          <w:szCs w:val="20"/>
        </w:rPr>
        <w:t xml:space="preserve">provides long-term monitoring information at the program’s seagrass sites across the Great Barrier Reef. </w:t>
      </w:r>
    </w:p>
    <w:p w14:paraId="12224362" w14:textId="17DFCA24" w:rsidR="00787762" w:rsidRPr="00020459" w:rsidRDefault="00787762" w:rsidP="00811941">
      <w:pPr>
        <w:pStyle w:val="BodyTextNumbering"/>
        <w:numPr>
          <w:ilvl w:val="0"/>
          <w:numId w:val="9"/>
        </w:numPr>
        <w:spacing w:before="120"/>
      </w:pPr>
      <w:bookmarkStart w:id="4" w:name="_Ref508101211"/>
      <w:r>
        <w:lastRenderedPageBreak/>
        <w:t xml:space="preserve">If historic and current condition data is not available, the merits of requiring </w:t>
      </w:r>
      <w:r w:rsidR="001727F5">
        <w:t>background</w:t>
      </w:r>
      <w:r>
        <w:t xml:space="preserve"> monitoring should be considered (refer to </w:t>
      </w:r>
      <w:hyperlink r:id="rId49" w:history="1">
        <w:r w:rsidRPr="001A25B4">
          <w:rPr>
            <w:rStyle w:val="Hyperlink"/>
          </w:rPr>
          <w:t>Assessment Guidelines</w:t>
        </w:r>
      </w:hyperlink>
      <w:r>
        <w:t xml:space="preserve"> for further information about monitoring). The </w:t>
      </w:r>
      <w:r w:rsidR="001727F5">
        <w:t>background</w:t>
      </w:r>
      <w:r>
        <w:t xml:space="preserve"> </w:t>
      </w:r>
      <w:r w:rsidR="00B03CE1">
        <w:t xml:space="preserve">monitoring </w:t>
      </w:r>
      <w:r>
        <w:t>should take into account the likely intra and inter annual variability of seagrasses</w:t>
      </w:r>
      <w:r w:rsidR="00B03CE1">
        <w:t>,</w:t>
      </w:r>
      <w:r>
        <w:t xml:space="preserve"> and water quality and</w:t>
      </w:r>
      <w:r w:rsidR="000A2638">
        <w:t xml:space="preserve"> data</w:t>
      </w:r>
      <w:r>
        <w:t xml:space="preserve"> should be collected over at least three years.</w:t>
      </w:r>
      <w:r w:rsidR="00364595">
        <w:t xml:space="preserve"> </w:t>
      </w:r>
      <w:r w:rsidR="00A55F8A">
        <w:t>T</w:t>
      </w:r>
      <w:r w:rsidR="00364595">
        <w:t xml:space="preserve">he </w:t>
      </w:r>
      <w:hyperlink r:id="rId50" w:anchor="physical_and_chemical_assessment" w:history="1">
        <w:r w:rsidR="00364595" w:rsidRPr="00E04DA5">
          <w:rPr>
            <w:rStyle w:val="Hyperlink"/>
          </w:rPr>
          <w:t>Department of Envir</w:t>
        </w:r>
        <w:r w:rsidR="00E04DA5" w:rsidRPr="00E04DA5">
          <w:rPr>
            <w:rStyle w:val="Hyperlink"/>
          </w:rPr>
          <w:t>onment and Heritage Protection M</w:t>
        </w:r>
        <w:r w:rsidR="00364595" w:rsidRPr="00E04DA5">
          <w:rPr>
            <w:rStyle w:val="Hyperlink"/>
          </w:rPr>
          <w:t xml:space="preserve">onitoring </w:t>
        </w:r>
        <w:r w:rsidR="00E04DA5" w:rsidRPr="00E04DA5">
          <w:rPr>
            <w:rStyle w:val="Hyperlink"/>
          </w:rPr>
          <w:t>and Sampling manual</w:t>
        </w:r>
      </w:hyperlink>
      <w:r w:rsidR="00A55F8A">
        <w:t xml:space="preserve"> </w:t>
      </w:r>
      <w:r w:rsidR="00811941">
        <w:t>includes information on seagrass monitoring,</w:t>
      </w:r>
      <w:r w:rsidR="00A55F8A">
        <w:t xml:space="preserve"> and water </w:t>
      </w:r>
      <w:r w:rsidR="00811941">
        <w:t xml:space="preserve">and sediment </w:t>
      </w:r>
      <w:r w:rsidR="00811941" w:rsidRPr="00020459">
        <w:t>sampling</w:t>
      </w:r>
      <w:r w:rsidR="00A55F8A" w:rsidRPr="00020459">
        <w:t>.</w:t>
      </w:r>
      <w:bookmarkEnd w:id="4"/>
      <w:r w:rsidR="00A55F8A" w:rsidRPr="00020459">
        <w:t xml:space="preserve"> </w:t>
      </w:r>
    </w:p>
    <w:p w14:paraId="7E852D5D" w14:textId="60A6D728" w:rsidR="00020459" w:rsidRPr="007836C4" w:rsidRDefault="000A2638" w:rsidP="007A4F8C">
      <w:pPr>
        <w:pStyle w:val="BodyTextNumbering"/>
        <w:numPr>
          <w:ilvl w:val="0"/>
          <w:numId w:val="9"/>
        </w:numPr>
        <w:spacing w:before="120"/>
        <w:rPr>
          <w:rFonts w:cs="Arial"/>
          <w:szCs w:val="20"/>
        </w:rPr>
      </w:pPr>
      <w:r w:rsidRPr="00A33E8E">
        <w:rPr>
          <w:rFonts w:cs="Arial"/>
          <w:szCs w:val="20"/>
        </w:rPr>
        <w:t>Light is the main driver of seagrass growth</w:t>
      </w:r>
      <w:r w:rsidR="00B03CE1">
        <w:rPr>
          <w:rFonts w:cs="Arial"/>
          <w:szCs w:val="20"/>
        </w:rPr>
        <w:t>,</w:t>
      </w:r>
      <w:r w:rsidRPr="00A33E8E">
        <w:rPr>
          <w:rFonts w:cs="Arial"/>
          <w:szCs w:val="20"/>
        </w:rPr>
        <w:t xml:space="preserve"> and water clarity (i.e.</w:t>
      </w:r>
      <w:r w:rsidR="00B03CE1">
        <w:rPr>
          <w:rFonts w:cs="Arial"/>
          <w:szCs w:val="20"/>
        </w:rPr>
        <w:t>,</w:t>
      </w:r>
      <w:r w:rsidRPr="00A33E8E">
        <w:rPr>
          <w:rFonts w:cs="Arial"/>
          <w:szCs w:val="20"/>
        </w:rPr>
        <w:t xml:space="preserve"> turbidity) is the primary influence that determines how much light ultimately reaches seagrass leaves</w:t>
      </w:r>
      <w:r w:rsidR="002221F2">
        <w:rPr>
          <w:rFonts w:cs="Arial"/>
          <w:szCs w:val="20"/>
        </w:rPr>
        <w:t xml:space="preserve"> for photosynthesis. This,</w:t>
      </w:r>
      <w:r w:rsidRPr="00A33E8E">
        <w:rPr>
          <w:rFonts w:cs="Arial"/>
          <w:szCs w:val="20"/>
        </w:rPr>
        <w:t xml:space="preserve"> therefore </w:t>
      </w:r>
      <w:r w:rsidR="002221F2">
        <w:rPr>
          <w:rFonts w:cs="Arial"/>
          <w:szCs w:val="20"/>
        </w:rPr>
        <w:t xml:space="preserve">is </w:t>
      </w:r>
      <w:r w:rsidRPr="00A33E8E">
        <w:rPr>
          <w:rFonts w:cs="Arial"/>
          <w:szCs w:val="20"/>
        </w:rPr>
        <w:t xml:space="preserve">the </w:t>
      </w:r>
      <w:r w:rsidR="002221F2">
        <w:rPr>
          <w:rFonts w:cs="Arial"/>
          <w:szCs w:val="20"/>
        </w:rPr>
        <w:t xml:space="preserve">primary influence over the </w:t>
      </w:r>
      <w:r w:rsidRPr="00A33E8E">
        <w:rPr>
          <w:rFonts w:cs="Arial"/>
          <w:szCs w:val="20"/>
        </w:rPr>
        <w:t>health of the seagrass communities. Potential impacts to seagrass from an activity therefore needs to consider light levels at the seagrass canopy (i.e.</w:t>
      </w:r>
      <w:r w:rsidR="002221F2">
        <w:rPr>
          <w:rFonts w:cs="Arial"/>
          <w:szCs w:val="20"/>
        </w:rPr>
        <w:t>,</w:t>
      </w:r>
      <w:r w:rsidRPr="00A33E8E">
        <w:rPr>
          <w:rFonts w:cs="Arial"/>
          <w:szCs w:val="20"/>
        </w:rPr>
        <w:t xml:space="preserve"> benthic light). </w:t>
      </w:r>
      <w:r w:rsidRPr="00A33E8E">
        <w:rPr>
          <w:rFonts w:cs="Arial"/>
          <w:color w:val="auto"/>
          <w:szCs w:val="20"/>
        </w:rPr>
        <w:t>Light requirements are specified as a Photosynthetic Active Radiation (PAR) moving average, depending on seagrass species</w:t>
      </w:r>
      <w:r w:rsidRPr="00843A88">
        <w:rPr>
          <w:rFonts w:cs="Arial"/>
          <w:color w:val="auto"/>
          <w:szCs w:val="20"/>
        </w:rPr>
        <w:t>.</w:t>
      </w:r>
      <w:r w:rsidR="001442E0">
        <w:rPr>
          <w:rFonts w:cs="Arial"/>
          <w:color w:val="auto"/>
          <w:szCs w:val="20"/>
        </w:rPr>
        <w:fldChar w:fldCharType="begin"/>
      </w:r>
      <w:r w:rsidR="00EE558C">
        <w:rPr>
          <w:rFonts w:cs="Arial"/>
          <w:color w:val="auto"/>
          <w:szCs w:val="20"/>
        </w:rPr>
        <w:instrText>ADDIN RW.CITE{{24585 Collier,C. 2016; 25579 Chartrand,K.M. 2016; 20808 Chartrand,K.M. 2012}}</w:instrText>
      </w:r>
      <w:r w:rsidR="001442E0">
        <w:rPr>
          <w:rFonts w:cs="Arial"/>
          <w:color w:val="auto"/>
          <w:szCs w:val="20"/>
        </w:rPr>
        <w:fldChar w:fldCharType="separate"/>
      </w:r>
      <w:r w:rsidR="00EE558C" w:rsidRPr="00EE558C">
        <w:rPr>
          <w:rFonts w:cs="Arial"/>
          <w:color w:val="auto"/>
          <w:szCs w:val="20"/>
          <w:vertAlign w:val="superscript"/>
        </w:rPr>
        <w:t>15,22,23</w:t>
      </w:r>
      <w:r w:rsidR="001442E0">
        <w:rPr>
          <w:rFonts w:cs="Arial"/>
          <w:color w:val="auto"/>
          <w:szCs w:val="20"/>
        </w:rPr>
        <w:fldChar w:fldCharType="end"/>
      </w:r>
      <w:r w:rsidR="007A4F8C" w:rsidRPr="007A4F8C">
        <w:t xml:space="preserve"> </w:t>
      </w:r>
      <w:r w:rsidR="004C00E3">
        <w:rPr>
          <w:rFonts w:cs="Arial"/>
          <w:color w:val="auto"/>
          <w:szCs w:val="20"/>
        </w:rPr>
        <w:t>Regionally relevant PAR thresholds</w:t>
      </w:r>
      <w:r w:rsidR="004C00E3" w:rsidRPr="007836C4">
        <w:rPr>
          <w:rFonts w:cs="Arial"/>
          <w:szCs w:val="20"/>
        </w:rPr>
        <w:t xml:space="preserve"> </w:t>
      </w:r>
      <w:r w:rsidR="004C00E3">
        <w:rPr>
          <w:rFonts w:cs="Arial"/>
          <w:color w:val="auto"/>
          <w:szCs w:val="20"/>
        </w:rPr>
        <w:t xml:space="preserve">are scheduled in </w:t>
      </w:r>
      <w:r w:rsidR="004C00E3" w:rsidRPr="00843A88">
        <w:rPr>
          <w:rFonts w:cs="Arial"/>
          <w:color w:val="auto"/>
          <w:szCs w:val="20"/>
        </w:rPr>
        <w:t>EPP Water</w:t>
      </w:r>
      <w:r w:rsidR="004C00E3">
        <w:rPr>
          <w:rFonts w:cs="Arial"/>
          <w:color w:val="auto"/>
          <w:szCs w:val="20"/>
        </w:rPr>
        <w:t xml:space="preserve">. </w:t>
      </w:r>
      <w:r w:rsidR="00020459" w:rsidRPr="007836C4">
        <w:rPr>
          <w:rFonts w:cs="Arial"/>
          <w:szCs w:val="20"/>
        </w:rPr>
        <w:t xml:space="preserve">Other water quality parameters relevant to seagrass health, include </w:t>
      </w:r>
      <w:r w:rsidR="007836C4" w:rsidRPr="007836C4">
        <w:rPr>
          <w:rFonts w:cs="Arial"/>
          <w:szCs w:val="20"/>
        </w:rPr>
        <w:t>nutrients and sedimentation</w:t>
      </w:r>
      <w:r w:rsidR="00020459" w:rsidRPr="007836C4">
        <w:rPr>
          <w:rFonts w:cs="Arial"/>
          <w:szCs w:val="20"/>
        </w:rPr>
        <w:t xml:space="preserve">.  </w:t>
      </w:r>
    </w:p>
    <w:p w14:paraId="4B43A96B" w14:textId="5BA41F78" w:rsidR="0060567D" w:rsidRPr="00000408" w:rsidRDefault="00787762" w:rsidP="00516F63">
      <w:pPr>
        <w:pStyle w:val="BodyTextNumbering"/>
        <w:numPr>
          <w:ilvl w:val="0"/>
          <w:numId w:val="9"/>
        </w:numPr>
        <w:spacing w:before="120"/>
        <w:rPr>
          <w:rFonts w:cs="Arial"/>
          <w:szCs w:val="20"/>
        </w:rPr>
      </w:pPr>
      <w:r>
        <w:rPr>
          <w:rFonts w:cs="Arial"/>
          <w:szCs w:val="20"/>
        </w:rPr>
        <w:t xml:space="preserve">Modelling of sediment transport and </w:t>
      </w:r>
      <w:r w:rsidR="00000408">
        <w:rPr>
          <w:rFonts w:cs="Arial"/>
          <w:szCs w:val="20"/>
        </w:rPr>
        <w:t xml:space="preserve">sediment </w:t>
      </w:r>
      <w:r>
        <w:rPr>
          <w:rFonts w:cs="Arial"/>
          <w:szCs w:val="20"/>
        </w:rPr>
        <w:t xml:space="preserve">resuspension are important tools in </w:t>
      </w:r>
      <w:r w:rsidR="00000408">
        <w:rPr>
          <w:rFonts w:cs="Arial"/>
          <w:szCs w:val="20"/>
        </w:rPr>
        <w:t xml:space="preserve">predicting potential suspended </w:t>
      </w:r>
      <w:r w:rsidR="00000408" w:rsidRPr="00000408">
        <w:rPr>
          <w:rFonts w:cs="Arial"/>
          <w:szCs w:val="20"/>
        </w:rPr>
        <w:t>sediment plumes and sedimentation rates (accretion and deposition)</w:t>
      </w:r>
      <w:r w:rsidR="002221F2">
        <w:rPr>
          <w:rFonts w:cs="Arial"/>
          <w:szCs w:val="20"/>
        </w:rPr>
        <w:t>,</w:t>
      </w:r>
      <w:r w:rsidR="00000408" w:rsidRPr="00000408">
        <w:rPr>
          <w:rFonts w:cs="Arial"/>
          <w:szCs w:val="20"/>
        </w:rPr>
        <w:t xml:space="preserve"> and </w:t>
      </w:r>
      <w:r w:rsidR="002221F2">
        <w:rPr>
          <w:rFonts w:cs="Arial"/>
          <w:szCs w:val="20"/>
        </w:rPr>
        <w:t xml:space="preserve">in </w:t>
      </w:r>
      <w:r w:rsidR="00000408" w:rsidRPr="00000408">
        <w:rPr>
          <w:rFonts w:cs="Arial"/>
          <w:szCs w:val="20"/>
        </w:rPr>
        <w:t xml:space="preserve">assessing the likely exposure </w:t>
      </w:r>
      <w:r w:rsidR="000A2638">
        <w:rPr>
          <w:rFonts w:cs="Arial"/>
          <w:szCs w:val="20"/>
        </w:rPr>
        <w:t xml:space="preserve">of these hazards </w:t>
      </w:r>
      <w:r w:rsidR="00000408" w:rsidRPr="00000408">
        <w:rPr>
          <w:rFonts w:cs="Arial"/>
          <w:szCs w:val="20"/>
        </w:rPr>
        <w:t xml:space="preserve">to </w:t>
      </w:r>
      <w:r w:rsidR="004E1B33" w:rsidRPr="00000408">
        <w:rPr>
          <w:rFonts w:cs="Arial"/>
          <w:color w:val="auto"/>
          <w:szCs w:val="20"/>
        </w:rPr>
        <w:t>seagrass and seagrass meadows</w:t>
      </w:r>
      <w:r w:rsidR="00395227">
        <w:rPr>
          <w:rFonts w:cs="Arial"/>
          <w:color w:val="auto"/>
          <w:szCs w:val="20"/>
        </w:rPr>
        <w:t xml:space="preserve"> (and other ecosystems)</w:t>
      </w:r>
      <w:r w:rsidR="006B4FDE" w:rsidRPr="00000408">
        <w:rPr>
          <w:rFonts w:cs="Arial"/>
          <w:color w:val="auto"/>
          <w:szCs w:val="20"/>
        </w:rPr>
        <w:t xml:space="preserve">. </w:t>
      </w:r>
    </w:p>
    <w:p w14:paraId="0E771E08" w14:textId="500F848D" w:rsidR="00640AE8" w:rsidRPr="00640AE8" w:rsidRDefault="00640AE8" w:rsidP="00CF70A1">
      <w:pPr>
        <w:pStyle w:val="BodyTextNumbering"/>
        <w:numPr>
          <w:ilvl w:val="0"/>
          <w:numId w:val="9"/>
        </w:numPr>
        <w:spacing w:before="120"/>
        <w:rPr>
          <w:rFonts w:cs="Arial"/>
          <w:szCs w:val="20"/>
        </w:rPr>
      </w:pPr>
      <w:r>
        <w:t>Due to their highly seasonal nature</w:t>
      </w:r>
      <w:r w:rsidR="00E76D4B">
        <w:t>,</w:t>
      </w:r>
      <w:r>
        <w:t xml:space="preserve"> the timing of any seagrass s</w:t>
      </w:r>
      <w:r w:rsidR="002E42A4">
        <w:t>urvey is critical</w:t>
      </w:r>
      <w:r w:rsidR="002221F2">
        <w:t xml:space="preserve"> as follows</w:t>
      </w:r>
      <w:r w:rsidR="002E42A4">
        <w:t>:</w:t>
      </w:r>
    </w:p>
    <w:p w14:paraId="0AC7D00F" w14:textId="172F8BE4" w:rsidR="00640AE8" w:rsidRDefault="002221F2" w:rsidP="00331A31">
      <w:pPr>
        <w:pStyle w:val="BodyTextNumbering"/>
        <w:numPr>
          <w:ilvl w:val="0"/>
          <w:numId w:val="32"/>
        </w:numPr>
        <w:spacing w:before="0"/>
        <w:rPr>
          <w:rFonts w:cs="Arial"/>
          <w:szCs w:val="20"/>
        </w:rPr>
      </w:pPr>
      <w:r>
        <w:rPr>
          <w:rFonts w:cs="Arial"/>
          <w:szCs w:val="20"/>
        </w:rPr>
        <w:t>A</w:t>
      </w:r>
      <w:r w:rsidR="004467FD">
        <w:rPr>
          <w:rFonts w:cs="Arial"/>
          <w:szCs w:val="20"/>
        </w:rPr>
        <w:t xml:space="preserve">t least three </w:t>
      </w:r>
      <w:r w:rsidR="00640AE8" w:rsidRPr="00640AE8">
        <w:rPr>
          <w:rFonts w:cs="Arial"/>
          <w:szCs w:val="20"/>
        </w:rPr>
        <w:t>years of ba</w:t>
      </w:r>
      <w:r w:rsidR="004467FD">
        <w:rPr>
          <w:rFonts w:cs="Arial"/>
          <w:szCs w:val="20"/>
        </w:rPr>
        <w:t>ckground data is</w:t>
      </w:r>
      <w:r w:rsidR="00640AE8" w:rsidRPr="00640AE8">
        <w:rPr>
          <w:rFonts w:cs="Arial"/>
          <w:szCs w:val="20"/>
        </w:rPr>
        <w:t xml:space="preserve"> desirable</w:t>
      </w:r>
      <w:r w:rsidR="00CF70A1">
        <w:rPr>
          <w:rFonts w:cs="Arial"/>
          <w:szCs w:val="20"/>
        </w:rPr>
        <w:t>, preferably more</w:t>
      </w:r>
    </w:p>
    <w:p w14:paraId="2E8576F0" w14:textId="359AC7FC" w:rsidR="00640AE8" w:rsidRDefault="002221F2" w:rsidP="00331A31">
      <w:pPr>
        <w:pStyle w:val="BodyTextNumbering"/>
        <w:numPr>
          <w:ilvl w:val="0"/>
          <w:numId w:val="32"/>
        </w:numPr>
        <w:spacing w:before="0"/>
        <w:rPr>
          <w:rFonts w:cs="Arial"/>
          <w:szCs w:val="20"/>
        </w:rPr>
      </w:pPr>
      <w:r>
        <w:rPr>
          <w:rFonts w:cs="Arial"/>
          <w:szCs w:val="20"/>
        </w:rPr>
        <w:t>I</w:t>
      </w:r>
      <w:r w:rsidR="00640AE8" w:rsidRPr="00640AE8">
        <w:rPr>
          <w:rFonts w:cs="Arial"/>
          <w:szCs w:val="20"/>
        </w:rPr>
        <w:t xml:space="preserve">nformation should be collected at the peak time for seagrass abundance and distribution </w:t>
      </w:r>
      <w:r w:rsidR="00F16FA6">
        <w:rPr>
          <w:rFonts w:cs="Arial"/>
          <w:szCs w:val="20"/>
        </w:rPr>
        <w:t xml:space="preserve">where possible </w:t>
      </w:r>
      <w:r w:rsidR="00640AE8" w:rsidRPr="00640AE8">
        <w:rPr>
          <w:rFonts w:cs="Arial"/>
          <w:szCs w:val="20"/>
        </w:rPr>
        <w:t>(</w:t>
      </w:r>
      <w:r>
        <w:rPr>
          <w:rFonts w:cs="Arial"/>
          <w:szCs w:val="20"/>
        </w:rPr>
        <w:t xml:space="preserve">i.e., </w:t>
      </w:r>
      <w:r w:rsidR="00CB3957">
        <w:rPr>
          <w:rFonts w:cs="Arial"/>
          <w:szCs w:val="20"/>
        </w:rPr>
        <w:t>June</w:t>
      </w:r>
      <w:r w:rsidR="00CB3957" w:rsidRPr="00640AE8">
        <w:rPr>
          <w:rFonts w:cs="Arial"/>
          <w:szCs w:val="20"/>
        </w:rPr>
        <w:t xml:space="preserve"> </w:t>
      </w:r>
      <w:r w:rsidR="00640AE8" w:rsidRPr="00640AE8">
        <w:rPr>
          <w:rFonts w:cs="Arial"/>
          <w:szCs w:val="20"/>
        </w:rPr>
        <w:t>to December). Some seagrass meadows are only present as above ground biomass for part of the year or are greatly reduced in their extent during the low seagrass growth season</w:t>
      </w:r>
      <w:r>
        <w:rPr>
          <w:rFonts w:cs="Arial"/>
          <w:szCs w:val="20"/>
        </w:rPr>
        <w:t>.</w:t>
      </w:r>
    </w:p>
    <w:p w14:paraId="5130A476" w14:textId="5A2B325E" w:rsidR="00CF70A1" w:rsidRPr="00000408" w:rsidRDefault="002221F2" w:rsidP="00331A31">
      <w:pPr>
        <w:pStyle w:val="BodyTextNumbering"/>
        <w:numPr>
          <w:ilvl w:val="0"/>
          <w:numId w:val="32"/>
        </w:numPr>
        <w:spacing w:before="0"/>
        <w:rPr>
          <w:rFonts w:cs="Arial"/>
          <w:szCs w:val="20"/>
        </w:rPr>
      </w:pPr>
      <w:r>
        <w:rPr>
          <w:rFonts w:cs="Arial"/>
          <w:szCs w:val="20"/>
        </w:rPr>
        <w:t>D</w:t>
      </w:r>
      <w:r w:rsidR="00CF70A1" w:rsidRPr="00000408">
        <w:rPr>
          <w:rFonts w:cs="Arial"/>
          <w:szCs w:val="20"/>
        </w:rPr>
        <w:t>etermine risk based on the most sensitive species present</w:t>
      </w:r>
      <w:r w:rsidR="00B3322E">
        <w:rPr>
          <w:rFonts w:cs="Arial"/>
          <w:szCs w:val="20"/>
        </w:rPr>
        <w:t>.</w:t>
      </w:r>
    </w:p>
    <w:p w14:paraId="509B3583" w14:textId="036CC2C2" w:rsidR="00EA3D0F" w:rsidRDefault="00B3322E" w:rsidP="00331A31">
      <w:pPr>
        <w:pStyle w:val="BodyTextNumbering"/>
        <w:numPr>
          <w:ilvl w:val="0"/>
          <w:numId w:val="32"/>
        </w:numPr>
        <w:spacing w:before="0"/>
        <w:rPr>
          <w:rFonts w:cs="Arial"/>
          <w:szCs w:val="20"/>
        </w:rPr>
      </w:pPr>
      <w:r>
        <w:rPr>
          <w:rFonts w:cs="Arial"/>
          <w:szCs w:val="20"/>
        </w:rPr>
        <w:t>I</w:t>
      </w:r>
      <w:r w:rsidR="00640AE8" w:rsidRPr="00EA3D0F">
        <w:rPr>
          <w:rFonts w:cs="Arial"/>
          <w:szCs w:val="20"/>
        </w:rPr>
        <w:t xml:space="preserve">n the absence of data collected in the </w:t>
      </w:r>
      <w:r w:rsidR="003033A7">
        <w:rPr>
          <w:rFonts w:cs="Arial"/>
          <w:szCs w:val="20"/>
        </w:rPr>
        <w:t>peak growth</w:t>
      </w:r>
      <w:r w:rsidR="003033A7" w:rsidRPr="00EA3D0F">
        <w:rPr>
          <w:rFonts w:cs="Arial"/>
          <w:szCs w:val="20"/>
        </w:rPr>
        <w:t xml:space="preserve"> </w:t>
      </w:r>
      <w:r w:rsidR="00640AE8" w:rsidRPr="00EA3D0F">
        <w:rPr>
          <w:rFonts w:cs="Arial"/>
          <w:szCs w:val="20"/>
        </w:rPr>
        <w:t>season or</w:t>
      </w:r>
      <w:r>
        <w:rPr>
          <w:rFonts w:cs="Arial"/>
          <w:szCs w:val="20"/>
        </w:rPr>
        <w:t xml:space="preserve"> where</w:t>
      </w:r>
      <w:r w:rsidR="00640AE8" w:rsidRPr="00EA3D0F">
        <w:rPr>
          <w:rFonts w:cs="Arial"/>
          <w:szCs w:val="20"/>
        </w:rPr>
        <w:t xml:space="preserve"> </w:t>
      </w:r>
      <w:r w:rsidR="004467FD" w:rsidRPr="00EA3D0F">
        <w:rPr>
          <w:rFonts w:cs="Arial"/>
          <w:szCs w:val="20"/>
        </w:rPr>
        <w:t>background</w:t>
      </w:r>
      <w:r w:rsidR="00640AE8" w:rsidRPr="00EA3D0F">
        <w:rPr>
          <w:rFonts w:cs="Arial"/>
          <w:szCs w:val="20"/>
        </w:rPr>
        <w:t xml:space="preserve"> information</w:t>
      </w:r>
      <w:r w:rsidRPr="00B3322E">
        <w:rPr>
          <w:rFonts w:cs="Arial"/>
          <w:szCs w:val="20"/>
        </w:rPr>
        <w:t xml:space="preserve"> </w:t>
      </w:r>
      <w:r>
        <w:rPr>
          <w:rFonts w:cs="Arial"/>
          <w:szCs w:val="20"/>
        </w:rPr>
        <w:t xml:space="preserve">is </w:t>
      </w:r>
      <w:r w:rsidRPr="00EA3D0F">
        <w:rPr>
          <w:rFonts w:cs="Arial"/>
          <w:szCs w:val="20"/>
        </w:rPr>
        <w:t>limited</w:t>
      </w:r>
      <w:r w:rsidR="004467FD" w:rsidRPr="00EA3D0F">
        <w:rPr>
          <w:rFonts w:cs="Arial"/>
          <w:szCs w:val="20"/>
        </w:rPr>
        <w:t>,</w:t>
      </w:r>
      <w:r w:rsidR="00640AE8" w:rsidRPr="00EA3D0F">
        <w:rPr>
          <w:rFonts w:cs="Arial"/>
          <w:szCs w:val="20"/>
        </w:rPr>
        <w:t xml:space="preserve"> a conservative approach is to use a composite of previous seagrass</w:t>
      </w:r>
      <w:r w:rsidR="00EA3D0F" w:rsidRPr="00EA3D0F">
        <w:rPr>
          <w:rFonts w:cs="Arial"/>
          <w:szCs w:val="20"/>
        </w:rPr>
        <w:t xml:space="preserve"> distributions for the area</w:t>
      </w:r>
      <w:r>
        <w:rPr>
          <w:rFonts w:cs="Arial"/>
          <w:szCs w:val="20"/>
        </w:rPr>
        <w:t>.</w:t>
      </w:r>
    </w:p>
    <w:p w14:paraId="02B6D1CA" w14:textId="1F73BD6A" w:rsidR="00814C9E" w:rsidRPr="00EA3D0F" w:rsidRDefault="00B3322E" w:rsidP="00331A31">
      <w:pPr>
        <w:pStyle w:val="BodyTextNumbering"/>
        <w:numPr>
          <w:ilvl w:val="0"/>
          <w:numId w:val="32"/>
        </w:numPr>
        <w:spacing w:before="0"/>
        <w:rPr>
          <w:rFonts w:cs="Arial"/>
          <w:szCs w:val="20"/>
        </w:rPr>
      </w:pPr>
      <w:r>
        <w:rPr>
          <w:rFonts w:cs="Arial"/>
          <w:szCs w:val="20"/>
        </w:rPr>
        <w:t>T</w:t>
      </w:r>
      <w:r w:rsidR="00814C9E" w:rsidRPr="00EA3D0F">
        <w:rPr>
          <w:rFonts w:cs="Arial"/>
          <w:szCs w:val="20"/>
        </w:rPr>
        <w:t xml:space="preserve">he </w:t>
      </w:r>
      <w:r w:rsidR="00064EF7" w:rsidRPr="00EA3D0F">
        <w:rPr>
          <w:rFonts w:cs="Arial"/>
          <w:szCs w:val="20"/>
        </w:rPr>
        <w:t xml:space="preserve">pertinent </w:t>
      </w:r>
      <w:r w:rsidR="00814C9E" w:rsidRPr="00EA3D0F">
        <w:rPr>
          <w:rFonts w:cs="Arial"/>
          <w:szCs w:val="20"/>
        </w:rPr>
        <w:t>consideration for assessment is that like be compare</w:t>
      </w:r>
      <w:r w:rsidR="006360BE" w:rsidRPr="00EA3D0F">
        <w:rPr>
          <w:rFonts w:cs="Arial"/>
          <w:szCs w:val="20"/>
        </w:rPr>
        <w:t>d</w:t>
      </w:r>
      <w:r w:rsidR="00814C9E" w:rsidRPr="00EA3D0F">
        <w:rPr>
          <w:rFonts w:cs="Arial"/>
          <w:szCs w:val="20"/>
        </w:rPr>
        <w:t xml:space="preserve"> with like</w:t>
      </w:r>
      <w:r>
        <w:rPr>
          <w:rFonts w:cs="Arial"/>
          <w:szCs w:val="20"/>
        </w:rPr>
        <w:t xml:space="preserve">. For example, absence in a low </w:t>
      </w:r>
      <w:r w:rsidR="006360BE" w:rsidRPr="00EA3D0F">
        <w:rPr>
          <w:rFonts w:cs="Arial"/>
          <w:szCs w:val="20"/>
        </w:rPr>
        <w:t xml:space="preserve">growth period should not be interpreted as an impact from any particular activity, nor used as a </w:t>
      </w:r>
      <w:r w:rsidR="00362D1A">
        <w:rPr>
          <w:rFonts w:cs="Arial"/>
          <w:szCs w:val="20"/>
        </w:rPr>
        <w:t>background</w:t>
      </w:r>
      <w:r w:rsidR="00362D1A" w:rsidRPr="00EA3D0F">
        <w:rPr>
          <w:rFonts w:cs="Arial"/>
          <w:szCs w:val="20"/>
        </w:rPr>
        <w:t xml:space="preserve"> </w:t>
      </w:r>
      <w:r w:rsidR="006360BE" w:rsidRPr="00EA3D0F">
        <w:rPr>
          <w:rFonts w:cs="Arial"/>
          <w:szCs w:val="20"/>
        </w:rPr>
        <w:t>compariso</w:t>
      </w:r>
      <w:r>
        <w:rPr>
          <w:rFonts w:cs="Arial"/>
          <w:szCs w:val="20"/>
        </w:rPr>
        <w:t>n for condition in peak season.</w:t>
      </w:r>
    </w:p>
    <w:p w14:paraId="3A9AF226" w14:textId="77777777" w:rsidR="00443F2D" w:rsidRPr="00B3322E" w:rsidRDefault="00443F2D" w:rsidP="00B3322E">
      <w:pPr>
        <w:pStyle w:val="Heading2"/>
      </w:pPr>
      <w:r w:rsidRPr="00B3322E">
        <w:t xml:space="preserve">Links to other Values </w:t>
      </w:r>
    </w:p>
    <w:p w14:paraId="1089339A" w14:textId="5FCF0C93" w:rsidR="004E7DE7" w:rsidRPr="00B3322E" w:rsidRDefault="004E7DE7" w:rsidP="00B3322E">
      <w:pPr>
        <w:pStyle w:val="Heading3"/>
      </w:pPr>
      <w:r w:rsidRPr="00B3322E">
        <w:t>Biodiversity values</w:t>
      </w:r>
    </w:p>
    <w:p w14:paraId="7A8D42F4" w14:textId="77777777" w:rsidR="004E7DE7" w:rsidRPr="007E39B2" w:rsidRDefault="004E7DE7" w:rsidP="00331A31">
      <w:pPr>
        <w:pStyle w:val="BodyTextNumbering"/>
        <w:numPr>
          <w:ilvl w:val="0"/>
          <w:numId w:val="9"/>
        </w:numPr>
        <w:spacing w:before="120"/>
        <w:rPr>
          <w:rFonts w:cs="Arial"/>
          <w:color w:val="auto"/>
          <w:szCs w:val="20"/>
        </w:rPr>
      </w:pPr>
      <w:r>
        <w:rPr>
          <w:rFonts w:cs="Arial"/>
          <w:color w:val="auto"/>
          <w:szCs w:val="20"/>
        </w:rPr>
        <w:t>Seagrass meadows are an important part of the Great Barrier Reef ecosystem and viable connectivity</w:t>
      </w:r>
      <w:r w:rsidRPr="0040421F">
        <w:rPr>
          <w:rFonts w:cs="Arial"/>
          <w:color w:val="auto"/>
          <w:szCs w:val="20"/>
        </w:rPr>
        <w:t xml:space="preserve"> </w:t>
      </w:r>
      <w:r>
        <w:rPr>
          <w:rFonts w:cs="Arial"/>
          <w:color w:val="auto"/>
          <w:szCs w:val="20"/>
        </w:rPr>
        <w:t>across the Reef</w:t>
      </w:r>
      <w:r w:rsidRPr="0040421F">
        <w:rPr>
          <w:rFonts w:cs="Arial"/>
          <w:color w:val="auto"/>
          <w:szCs w:val="20"/>
        </w:rPr>
        <w:t xml:space="preserve"> depends on intact and healthy </w:t>
      </w:r>
      <w:r>
        <w:rPr>
          <w:rFonts w:cs="Arial"/>
          <w:color w:val="auto"/>
          <w:szCs w:val="20"/>
        </w:rPr>
        <w:t xml:space="preserve">coral and </w:t>
      </w:r>
      <w:r w:rsidRPr="0040421F">
        <w:rPr>
          <w:rFonts w:cs="Arial"/>
          <w:color w:val="auto"/>
          <w:szCs w:val="20"/>
        </w:rPr>
        <w:t xml:space="preserve">non-coral habitats. </w:t>
      </w:r>
    </w:p>
    <w:p w14:paraId="184E8AB2" w14:textId="77777777" w:rsidR="004E7DE7" w:rsidRPr="0043041B" w:rsidRDefault="004E7DE7" w:rsidP="00331A31">
      <w:pPr>
        <w:pStyle w:val="BodyTextNumbering"/>
        <w:numPr>
          <w:ilvl w:val="0"/>
          <w:numId w:val="9"/>
        </w:numPr>
        <w:spacing w:before="120"/>
      </w:pPr>
      <w:r w:rsidRPr="0040421F">
        <w:rPr>
          <w:rFonts w:cs="Arial"/>
          <w:color w:val="auto"/>
          <w:szCs w:val="20"/>
        </w:rPr>
        <w:t>Seagrass and seagrass meadows are very important foraging and nursing habitat</w:t>
      </w:r>
      <w:r>
        <w:rPr>
          <w:rFonts w:cs="Arial"/>
          <w:color w:val="auto"/>
          <w:szCs w:val="20"/>
        </w:rPr>
        <w:t>s</w:t>
      </w:r>
      <w:r w:rsidRPr="0040421F">
        <w:rPr>
          <w:rFonts w:cs="Arial"/>
          <w:color w:val="auto"/>
          <w:szCs w:val="20"/>
        </w:rPr>
        <w:t xml:space="preserve"> for juvenile fish, dugong and marine turtles</w:t>
      </w:r>
      <w:r w:rsidRPr="0043041B">
        <w:rPr>
          <w:rFonts w:cs="Arial"/>
          <w:color w:val="auto"/>
          <w:szCs w:val="20"/>
        </w:rPr>
        <w:t xml:space="preserve">. </w:t>
      </w:r>
      <w:r w:rsidRPr="0043041B">
        <w:rPr>
          <w:rFonts w:eastAsia="Calibri" w:cs="Arial"/>
          <w:szCs w:val="20"/>
        </w:rPr>
        <w:t xml:space="preserve">It is estimated seagrass </w:t>
      </w:r>
      <w:r>
        <w:rPr>
          <w:rFonts w:eastAsia="Calibri" w:cs="Arial"/>
          <w:szCs w:val="20"/>
        </w:rPr>
        <w:t>constitutes</w:t>
      </w:r>
      <w:r w:rsidRPr="0043041B">
        <w:rPr>
          <w:rFonts w:eastAsia="Calibri" w:cs="Arial"/>
          <w:szCs w:val="20"/>
        </w:rPr>
        <w:t xml:space="preserve"> more than 97 per cent of adult green sea turtle and dugong diet. </w:t>
      </w:r>
    </w:p>
    <w:p w14:paraId="182B927A" w14:textId="77777777" w:rsidR="004E7DE7" w:rsidRPr="00DA2AD3" w:rsidRDefault="004E7DE7" w:rsidP="00331A31">
      <w:pPr>
        <w:pStyle w:val="BodyTextNumbering"/>
        <w:numPr>
          <w:ilvl w:val="0"/>
          <w:numId w:val="9"/>
        </w:numPr>
        <w:spacing w:before="120"/>
        <w:rPr>
          <w:rFonts w:cs="Arial"/>
          <w:i/>
          <w:color w:val="auto"/>
          <w:szCs w:val="20"/>
        </w:rPr>
      </w:pPr>
      <w:r>
        <w:rPr>
          <w:rFonts w:cs="Arial"/>
          <w:color w:val="auto"/>
          <w:szCs w:val="20"/>
        </w:rPr>
        <w:t>Seagrass meadows provide food for small herbivores such as copepods, amphipods, mysids and gastropods. These are the staple diet of many fish and prawns that live amongst the seagrass.</w:t>
      </w:r>
      <w:r>
        <w:rPr>
          <w:rFonts w:cs="Arial"/>
          <w:color w:val="auto"/>
          <w:szCs w:val="20"/>
        </w:rPr>
        <w:fldChar w:fldCharType="begin"/>
      </w:r>
      <w:r>
        <w:rPr>
          <w:rFonts w:cs="Arial"/>
          <w:color w:val="auto"/>
          <w:szCs w:val="20"/>
        </w:rPr>
        <w:instrText>ADDIN RW.CITE{{20554 GreatBarrierReefMarineParkAuthority 2012}}</w:instrText>
      </w:r>
      <w:r>
        <w:rPr>
          <w:rFonts w:cs="Arial"/>
          <w:color w:val="auto"/>
          <w:szCs w:val="20"/>
        </w:rPr>
        <w:fldChar w:fldCharType="separate"/>
      </w:r>
      <w:r w:rsidRPr="00EE558C">
        <w:rPr>
          <w:rFonts w:cs="Arial"/>
          <w:color w:val="auto"/>
          <w:szCs w:val="20"/>
          <w:vertAlign w:val="superscript"/>
        </w:rPr>
        <w:t>5</w:t>
      </w:r>
      <w:r>
        <w:rPr>
          <w:rFonts w:cs="Arial"/>
          <w:color w:val="auto"/>
          <w:szCs w:val="20"/>
        </w:rPr>
        <w:fldChar w:fldCharType="end"/>
      </w:r>
      <w:r>
        <w:rPr>
          <w:rFonts w:cs="Arial"/>
          <w:color w:val="auto"/>
          <w:szCs w:val="20"/>
        </w:rPr>
        <w:t xml:space="preserve"> </w:t>
      </w:r>
    </w:p>
    <w:p w14:paraId="5A9F148E" w14:textId="77777777" w:rsidR="004E7DE7" w:rsidRPr="00DA2AD3" w:rsidRDefault="004E7DE7" w:rsidP="00331A31">
      <w:pPr>
        <w:pStyle w:val="BodyTextNumbering"/>
        <w:numPr>
          <w:ilvl w:val="0"/>
          <w:numId w:val="9"/>
        </w:numPr>
        <w:spacing w:before="120"/>
        <w:rPr>
          <w:rFonts w:cs="Arial"/>
          <w:i/>
          <w:color w:val="auto"/>
          <w:szCs w:val="20"/>
        </w:rPr>
      </w:pPr>
      <w:r>
        <w:rPr>
          <w:rFonts w:cs="Arial"/>
          <w:color w:val="auto"/>
          <w:szCs w:val="20"/>
        </w:rPr>
        <w:t xml:space="preserve">It has been recorded that 134 fish species live in seagrass meadows. These include gobies, seahorses, pony fish, leatherjackets and trumpeter. Some fish, such as snub nose garfish feed on seagrass. Many of these fish are food for larger fish species, such as red emperor. </w:t>
      </w:r>
      <w:r w:rsidRPr="0040421F">
        <w:rPr>
          <w:rFonts w:cs="Arial"/>
          <w:color w:val="auto"/>
          <w:szCs w:val="20"/>
        </w:rPr>
        <w:t>Seagrass and seagrass meadows are particularly important for the maintenance and regeneration of fish populations</w:t>
      </w:r>
      <w:r>
        <w:rPr>
          <w:rFonts w:cs="Arial"/>
          <w:color w:val="auto"/>
          <w:szCs w:val="20"/>
        </w:rPr>
        <w:t xml:space="preserve"> across the Marine Park.</w:t>
      </w:r>
      <w:r>
        <w:rPr>
          <w:rFonts w:cs="Arial"/>
          <w:color w:val="auto"/>
          <w:szCs w:val="20"/>
        </w:rPr>
        <w:fldChar w:fldCharType="begin"/>
      </w:r>
      <w:r>
        <w:rPr>
          <w:rFonts w:cs="Arial"/>
          <w:color w:val="auto"/>
          <w:szCs w:val="20"/>
        </w:rPr>
        <w:instrText>ADDIN RW.CITE{{20554 GreatBarrierReefMarineParkAuthority 2012}}</w:instrText>
      </w:r>
      <w:r>
        <w:rPr>
          <w:rFonts w:cs="Arial"/>
          <w:color w:val="auto"/>
          <w:szCs w:val="20"/>
        </w:rPr>
        <w:fldChar w:fldCharType="separate"/>
      </w:r>
      <w:r w:rsidRPr="00EE558C">
        <w:rPr>
          <w:rFonts w:cs="Arial"/>
          <w:color w:val="auto"/>
          <w:szCs w:val="20"/>
          <w:vertAlign w:val="superscript"/>
        </w:rPr>
        <w:t>5</w:t>
      </w:r>
      <w:r>
        <w:rPr>
          <w:rFonts w:cs="Arial"/>
          <w:color w:val="auto"/>
          <w:szCs w:val="20"/>
        </w:rPr>
        <w:fldChar w:fldCharType="end"/>
      </w:r>
    </w:p>
    <w:p w14:paraId="23E47B4E" w14:textId="77777777" w:rsidR="004E7DE7" w:rsidRPr="0099537F" w:rsidRDefault="004E7DE7" w:rsidP="00331A31">
      <w:pPr>
        <w:pStyle w:val="BodyTextNumbering"/>
        <w:numPr>
          <w:ilvl w:val="0"/>
          <w:numId w:val="9"/>
        </w:numPr>
        <w:spacing w:before="120"/>
        <w:rPr>
          <w:rFonts w:cs="Arial"/>
          <w:i/>
          <w:color w:val="auto"/>
          <w:szCs w:val="20"/>
        </w:rPr>
      </w:pPr>
      <w:r w:rsidRPr="0040421F">
        <w:rPr>
          <w:rFonts w:cs="Arial"/>
          <w:color w:val="auto"/>
          <w:szCs w:val="20"/>
        </w:rPr>
        <w:t xml:space="preserve">Invertebrates like lobsters, crabs and sea urchins also </w:t>
      </w:r>
      <w:r>
        <w:rPr>
          <w:rFonts w:cs="Arial"/>
          <w:color w:val="auto"/>
          <w:szCs w:val="20"/>
        </w:rPr>
        <w:t>feed</w:t>
      </w:r>
      <w:r w:rsidRPr="0040421F">
        <w:rPr>
          <w:rFonts w:cs="Arial"/>
          <w:color w:val="auto"/>
          <w:szCs w:val="20"/>
        </w:rPr>
        <w:t xml:space="preserve"> on </w:t>
      </w:r>
      <w:r>
        <w:rPr>
          <w:rFonts w:cs="Arial"/>
          <w:color w:val="auto"/>
          <w:szCs w:val="20"/>
        </w:rPr>
        <w:t xml:space="preserve">smaller animals, algae and detrital matter caught in </w:t>
      </w:r>
      <w:r w:rsidRPr="0040421F">
        <w:rPr>
          <w:rFonts w:cs="Arial"/>
          <w:color w:val="auto"/>
          <w:szCs w:val="20"/>
        </w:rPr>
        <w:t xml:space="preserve">seagrass. </w:t>
      </w:r>
      <w:r w:rsidRPr="00DA2AD3">
        <w:rPr>
          <w:rFonts w:cs="Arial"/>
          <w:szCs w:val="20"/>
        </w:rPr>
        <w:t>T</w:t>
      </w:r>
      <w:r w:rsidRPr="00DA2AD3">
        <w:rPr>
          <w:rFonts w:eastAsia="Calibri" w:cs="Arial"/>
          <w:szCs w:val="20"/>
        </w:rPr>
        <w:t>wenty prawn species have been recorded in seagrass meadows in the Great Barrier Reef World Heritage Area and t</w:t>
      </w:r>
      <w:r>
        <w:rPr>
          <w:rFonts w:eastAsia="Calibri" w:cs="Arial"/>
          <w:szCs w:val="20"/>
        </w:rPr>
        <w:t>iger prawns</w:t>
      </w:r>
      <w:r w:rsidRPr="00DA2AD3">
        <w:rPr>
          <w:rFonts w:eastAsia="Calibri" w:cs="Arial"/>
          <w:szCs w:val="20"/>
        </w:rPr>
        <w:t xml:space="preserve"> grow to adulthood exclusively in seagrass meadows.</w:t>
      </w:r>
      <w:r>
        <w:rPr>
          <w:rFonts w:eastAsia="Calibri" w:cs="Arial"/>
          <w:szCs w:val="20"/>
        </w:rPr>
        <w:fldChar w:fldCharType="begin"/>
      </w:r>
      <w:r>
        <w:rPr>
          <w:rFonts w:eastAsia="Calibri" w:cs="Arial"/>
          <w:szCs w:val="20"/>
        </w:rPr>
        <w:instrText>ADDIN RW.CITE{{20554 GreatBarrierReefMarineParkAuthority 2012; 25578 DepartmentofEnvironmentandHeritageProtection 8 September, 2016}}</w:instrText>
      </w:r>
      <w:r>
        <w:rPr>
          <w:rFonts w:eastAsia="Calibri" w:cs="Arial"/>
          <w:szCs w:val="20"/>
        </w:rPr>
        <w:fldChar w:fldCharType="separate"/>
      </w:r>
      <w:r w:rsidRPr="00EE558C">
        <w:rPr>
          <w:rFonts w:eastAsia="Calibri" w:cs="Arial"/>
          <w:szCs w:val="20"/>
          <w:vertAlign w:val="superscript"/>
        </w:rPr>
        <w:t>5,24</w:t>
      </w:r>
      <w:r>
        <w:rPr>
          <w:rFonts w:eastAsia="Calibri" w:cs="Arial"/>
          <w:szCs w:val="20"/>
        </w:rPr>
        <w:fldChar w:fldCharType="end"/>
      </w:r>
      <w:r w:rsidRPr="00DA2AD3">
        <w:rPr>
          <w:rFonts w:eastAsia="Calibri" w:cs="Arial"/>
          <w:szCs w:val="20"/>
        </w:rPr>
        <w:t xml:space="preserve"> </w:t>
      </w:r>
    </w:p>
    <w:p w14:paraId="0F5B3282" w14:textId="19AEA9DC" w:rsidR="004E7DE7" w:rsidRPr="0019455C" w:rsidRDefault="00473520" w:rsidP="00331A31">
      <w:pPr>
        <w:pStyle w:val="BodyTextNumbering"/>
        <w:numPr>
          <w:ilvl w:val="0"/>
          <w:numId w:val="9"/>
        </w:numPr>
        <w:spacing w:before="120"/>
        <w:rPr>
          <w:rFonts w:cs="Arial"/>
          <w:i/>
          <w:color w:val="auto"/>
          <w:szCs w:val="20"/>
        </w:rPr>
      </w:pPr>
      <w:r>
        <w:rPr>
          <w:rFonts w:cs="Arial"/>
          <w:color w:val="auto"/>
          <w:szCs w:val="20"/>
        </w:rPr>
        <w:t>Seagrass-</w:t>
      </w:r>
      <w:r w:rsidR="004E7DE7">
        <w:rPr>
          <w:rFonts w:cs="Arial"/>
          <w:color w:val="auto"/>
          <w:szCs w:val="20"/>
        </w:rPr>
        <w:t>dependant</w:t>
      </w:r>
      <w:r w:rsidR="004E7DE7" w:rsidRPr="00DA2AD3">
        <w:rPr>
          <w:rFonts w:cs="Arial"/>
          <w:color w:val="auto"/>
          <w:szCs w:val="20"/>
        </w:rPr>
        <w:t xml:space="preserve"> species </w:t>
      </w:r>
      <w:r w:rsidR="004E7DE7">
        <w:rPr>
          <w:rFonts w:cs="Arial"/>
          <w:szCs w:val="20"/>
        </w:rPr>
        <w:t>are likely to be</w:t>
      </w:r>
      <w:r w:rsidR="004E7DE7" w:rsidRPr="00DA2AD3">
        <w:rPr>
          <w:rFonts w:cs="Arial"/>
          <w:szCs w:val="20"/>
        </w:rPr>
        <w:t xml:space="preserve"> </w:t>
      </w:r>
      <w:r w:rsidR="004E7DE7">
        <w:rPr>
          <w:rFonts w:cs="Arial"/>
          <w:szCs w:val="20"/>
        </w:rPr>
        <w:t>compromised</w:t>
      </w:r>
      <w:r w:rsidR="004E7DE7" w:rsidRPr="00DA2AD3">
        <w:rPr>
          <w:rFonts w:cs="Arial"/>
          <w:szCs w:val="20"/>
        </w:rPr>
        <w:t xml:space="preserve"> by </w:t>
      </w:r>
      <w:r w:rsidR="004E7DE7">
        <w:rPr>
          <w:rFonts w:cs="Arial"/>
          <w:szCs w:val="20"/>
        </w:rPr>
        <w:t>impact</w:t>
      </w:r>
      <w:r>
        <w:rPr>
          <w:rFonts w:cs="Arial"/>
          <w:szCs w:val="20"/>
        </w:rPr>
        <w:t>s</w:t>
      </w:r>
      <w:r w:rsidR="004E7DE7">
        <w:rPr>
          <w:rFonts w:cs="Arial"/>
          <w:szCs w:val="20"/>
        </w:rPr>
        <w:t xml:space="preserve"> (such as degradation, loss, or declined ecosystem function) to seagrass and seagrass meadows</w:t>
      </w:r>
      <w:r>
        <w:rPr>
          <w:rFonts w:cs="Arial"/>
          <w:szCs w:val="20"/>
        </w:rPr>
        <w:t>; with</w:t>
      </w:r>
      <w:r w:rsidR="004E7DE7">
        <w:rPr>
          <w:rFonts w:cs="Arial"/>
          <w:szCs w:val="20"/>
        </w:rPr>
        <w:t xml:space="preserve"> implications for other ecosystems</w:t>
      </w:r>
      <w:r>
        <w:rPr>
          <w:rFonts w:cs="Arial"/>
          <w:szCs w:val="20"/>
        </w:rPr>
        <w:t xml:space="preserve"> also likely</w:t>
      </w:r>
      <w:r w:rsidR="004E7DE7">
        <w:rPr>
          <w:rFonts w:cs="Arial"/>
          <w:szCs w:val="20"/>
        </w:rPr>
        <w:t>. Further, impacts to seagrass ecosystem function</w:t>
      </w:r>
      <w:r w:rsidR="004E7DE7">
        <w:t xml:space="preserve"> compromises their ability to</w:t>
      </w:r>
      <w:r w:rsidR="004E7DE7" w:rsidRPr="0019455C">
        <w:rPr>
          <w:rFonts w:cs="Arial"/>
          <w:szCs w:val="20"/>
        </w:rPr>
        <w:t xml:space="preserve"> </w:t>
      </w:r>
      <w:r w:rsidR="004E7DE7" w:rsidRPr="0040421F">
        <w:t>maintain wate</w:t>
      </w:r>
      <w:r w:rsidR="004E7DE7">
        <w:t>r quality by trapping sediment</w:t>
      </w:r>
      <w:r w:rsidR="004E7DE7" w:rsidRPr="0040421F">
        <w:t>,</w:t>
      </w:r>
      <w:r w:rsidR="004E7DE7">
        <w:t xml:space="preserve"> nutrients, organic carbon,</w:t>
      </w:r>
      <w:r w:rsidR="004E7DE7" w:rsidRPr="0040421F">
        <w:t xml:space="preserve"> and other </w:t>
      </w:r>
      <w:r w:rsidR="004E7DE7">
        <w:t xml:space="preserve">material suspended in the water column. This can have flow on implications for biodiversity values, social values and Traditional Owner values. </w:t>
      </w:r>
    </w:p>
    <w:p w14:paraId="38AD7088" w14:textId="49C5694E" w:rsidR="004E7DE7" w:rsidRPr="000F3E13" w:rsidRDefault="004E7DE7" w:rsidP="00331A31">
      <w:pPr>
        <w:pStyle w:val="BodyTextNumbering"/>
        <w:numPr>
          <w:ilvl w:val="0"/>
          <w:numId w:val="9"/>
        </w:numPr>
        <w:spacing w:before="120"/>
        <w:rPr>
          <w:rFonts w:cs="Arial"/>
          <w:color w:val="auto"/>
          <w:szCs w:val="20"/>
        </w:rPr>
      </w:pPr>
      <w:r>
        <w:rPr>
          <w:rFonts w:cs="Arial"/>
          <w:color w:val="auto"/>
          <w:szCs w:val="20"/>
        </w:rPr>
        <w:lastRenderedPageBreak/>
        <w:t xml:space="preserve">For </w:t>
      </w:r>
      <w:r w:rsidRPr="008155E7">
        <w:rPr>
          <w:rFonts w:cs="Arial"/>
          <w:color w:val="auto"/>
          <w:szCs w:val="20"/>
        </w:rPr>
        <w:t>information</w:t>
      </w:r>
      <w:r>
        <w:rPr>
          <w:rFonts w:cs="Arial"/>
          <w:color w:val="auto"/>
          <w:szCs w:val="20"/>
        </w:rPr>
        <w:t xml:space="preserve"> about how impacts to seagrass may create flow-on impacts to other values</w:t>
      </w:r>
      <w:r>
        <w:rPr>
          <w:rFonts w:eastAsia="Calibri" w:cs="Arial"/>
          <w:szCs w:val="20"/>
        </w:rPr>
        <w:t xml:space="preserve"> see </w:t>
      </w:r>
      <w:r>
        <w:t xml:space="preserve">the </w:t>
      </w:r>
      <w:hyperlink r:id="rId51" w:history="1">
        <w:r w:rsidRPr="00521BCB">
          <w:rPr>
            <w:rStyle w:val="Hyperlink"/>
          </w:rPr>
          <w:t xml:space="preserve">Dugong </w:t>
        </w:r>
        <w:r>
          <w:rPr>
            <w:rStyle w:val="Hyperlink"/>
          </w:rPr>
          <w:t>value</w:t>
        </w:r>
        <w:r w:rsidRPr="00521BCB">
          <w:rPr>
            <w:rStyle w:val="Hyperlink"/>
          </w:rPr>
          <w:t xml:space="preserve"> </w:t>
        </w:r>
        <w:r>
          <w:rPr>
            <w:rStyle w:val="Hyperlink"/>
          </w:rPr>
          <w:t>assessment guidelines</w:t>
        </w:r>
      </w:hyperlink>
      <w:r w:rsidRPr="00521BCB">
        <w:t xml:space="preserve"> </w:t>
      </w:r>
      <w:r>
        <w:t xml:space="preserve">and </w:t>
      </w:r>
      <w:hyperlink r:id="rId52" w:history="1">
        <w:r w:rsidRPr="00B84CA2">
          <w:rPr>
            <w:rStyle w:val="Hyperlink"/>
          </w:rPr>
          <w:t>other value assessment guidelines</w:t>
        </w:r>
      </w:hyperlink>
      <w:r w:rsidRPr="008155E7">
        <w:rPr>
          <w:rFonts w:cs="Arial"/>
          <w:color w:val="auto"/>
          <w:szCs w:val="20"/>
        </w:rPr>
        <w:t>.</w:t>
      </w:r>
    </w:p>
    <w:p w14:paraId="12407042" w14:textId="77777777" w:rsidR="00EE1DD8" w:rsidRDefault="008C48A5" w:rsidP="00473520">
      <w:pPr>
        <w:pStyle w:val="Heading3"/>
      </w:pPr>
      <w:r>
        <w:t xml:space="preserve">Traditional Owner </w:t>
      </w:r>
      <w:r w:rsidR="005752C0">
        <w:t>h</w:t>
      </w:r>
      <w:r w:rsidR="00EE1DD8">
        <w:t xml:space="preserve">eritage </w:t>
      </w:r>
      <w:r w:rsidR="005752C0">
        <w:t>v</w:t>
      </w:r>
      <w:r w:rsidR="00EE1DD8">
        <w:t xml:space="preserve">alues </w:t>
      </w:r>
    </w:p>
    <w:p w14:paraId="4D1F5C95" w14:textId="5F878EDA" w:rsidR="009B42A8" w:rsidRDefault="00FA187E" w:rsidP="00331A31">
      <w:pPr>
        <w:pStyle w:val="BodyTextNumbering"/>
        <w:numPr>
          <w:ilvl w:val="0"/>
          <w:numId w:val="9"/>
        </w:numPr>
        <w:spacing w:before="120"/>
        <w:rPr>
          <w:rFonts w:eastAsia="Calibri" w:cs="Arial"/>
          <w:szCs w:val="20"/>
        </w:rPr>
      </w:pPr>
      <w:r>
        <w:t xml:space="preserve">Seagrasses and seagrass beds </w:t>
      </w:r>
      <w:r w:rsidR="00731EE1" w:rsidRPr="00157DBC">
        <w:t xml:space="preserve">are an essential element of the living maritime culture of the Aboriginal and Torres Strait Islander peoples that live along the coast of the </w:t>
      </w:r>
      <w:r w:rsidR="004467FD">
        <w:t>Marine Park, and seagrass meadows are</w:t>
      </w:r>
      <w:r>
        <w:t xml:space="preserve"> </w:t>
      </w:r>
      <w:r w:rsidRPr="00671A2F">
        <w:rPr>
          <w:szCs w:val="20"/>
        </w:rPr>
        <w:t>important for cultural tradition</w:t>
      </w:r>
      <w:r w:rsidR="00064EA6" w:rsidRPr="00671A2F">
        <w:rPr>
          <w:szCs w:val="20"/>
        </w:rPr>
        <w:t>s</w:t>
      </w:r>
      <w:r w:rsidR="00731EE1" w:rsidRPr="00157DBC">
        <w:t xml:space="preserve">. </w:t>
      </w:r>
      <w:r w:rsidR="002C33E1">
        <w:rPr>
          <w:rFonts w:eastAsia="Times New Roman"/>
          <w:lang w:val="en"/>
        </w:rPr>
        <w:t>P</w:t>
      </w:r>
      <w:r w:rsidRPr="00671A2F">
        <w:rPr>
          <w:rFonts w:eastAsia="Times New Roman"/>
          <w:lang w:val="en"/>
        </w:rPr>
        <w:t>laces of significance</w:t>
      </w:r>
      <w:r w:rsidR="002C33E1">
        <w:rPr>
          <w:rFonts w:eastAsia="Times New Roman"/>
          <w:lang w:val="en"/>
        </w:rPr>
        <w:t>,</w:t>
      </w:r>
      <w:r w:rsidRPr="00671A2F">
        <w:rPr>
          <w:rFonts w:eastAsia="Times New Roman"/>
          <w:lang w:val="en"/>
        </w:rPr>
        <w:t xml:space="preserve"> such as seagrass </w:t>
      </w:r>
      <w:r w:rsidR="00C70C1C">
        <w:rPr>
          <w:rFonts w:eastAsia="Calibri" w:cs="Arial"/>
          <w:szCs w:val="20"/>
        </w:rPr>
        <w:t>meadows</w:t>
      </w:r>
      <w:r w:rsidR="002C33E1">
        <w:rPr>
          <w:rFonts w:eastAsia="Calibri" w:cs="Arial"/>
          <w:szCs w:val="20"/>
        </w:rPr>
        <w:t>,</w:t>
      </w:r>
      <w:r w:rsidRPr="00671A2F">
        <w:rPr>
          <w:rFonts w:eastAsia="Calibri" w:cs="Arial"/>
          <w:szCs w:val="20"/>
        </w:rPr>
        <w:t xml:space="preserve"> </w:t>
      </w:r>
      <w:r w:rsidR="002C33E1">
        <w:rPr>
          <w:rFonts w:eastAsia="Calibri" w:cs="Arial"/>
          <w:szCs w:val="20"/>
        </w:rPr>
        <w:t xml:space="preserve">allow </w:t>
      </w:r>
      <w:r w:rsidRPr="00671A2F">
        <w:rPr>
          <w:rFonts w:eastAsia="Calibri" w:cs="Arial"/>
          <w:szCs w:val="20"/>
        </w:rPr>
        <w:t xml:space="preserve">for cultural practices </w:t>
      </w:r>
      <w:r w:rsidR="002C33E1">
        <w:rPr>
          <w:rFonts w:eastAsia="Calibri" w:cs="Arial"/>
          <w:szCs w:val="20"/>
        </w:rPr>
        <w:t xml:space="preserve">(for example </w:t>
      </w:r>
      <w:r w:rsidRPr="00671A2F">
        <w:rPr>
          <w:rFonts w:eastAsia="Calibri" w:cs="Arial"/>
          <w:szCs w:val="20"/>
        </w:rPr>
        <w:t>fishing and collection</w:t>
      </w:r>
      <w:r w:rsidR="000F75F8">
        <w:rPr>
          <w:rFonts w:eastAsia="Calibri" w:cs="Arial"/>
          <w:szCs w:val="20"/>
        </w:rPr>
        <w:t xml:space="preserve"> </w:t>
      </w:r>
      <w:r w:rsidR="00C70C1C">
        <w:rPr>
          <w:rFonts w:eastAsia="Calibri" w:cs="Arial"/>
          <w:szCs w:val="20"/>
        </w:rPr>
        <w:t>in and adjacent to the area</w:t>
      </w:r>
      <w:r w:rsidR="002C33E1">
        <w:rPr>
          <w:rFonts w:eastAsia="Calibri" w:cs="Arial"/>
          <w:szCs w:val="20"/>
        </w:rPr>
        <w:t>) which</w:t>
      </w:r>
      <w:r w:rsidRPr="00671A2F">
        <w:rPr>
          <w:rFonts w:eastAsia="Calibri" w:cs="Arial"/>
          <w:szCs w:val="20"/>
        </w:rPr>
        <w:t xml:space="preserve"> </w:t>
      </w:r>
      <w:r w:rsidR="00AC2AD2" w:rsidRPr="00671A2F">
        <w:rPr>
          <w:rFonts w:eastAsia="Calibri" w:cs="Arial"/>
          <w:szCs w:val="20"/>
        </w:rPr>
        <w:t xml:space="preserve">greatly strengthens Aboriginal and Torres Strait Islander culture and </w:t>
      </w:r>
      <w:r w:rsidR="007E54F6">
        <w:rPr>
          <w:rFonts w:eastAsia="Calibri" w:cs="Arial"/>
          <w:szCs w:val="20"/>
        </w:rPr>
        <w:t xml:space="preserve">their </w:t>
      </w:r>
      <w:r w:rsidR="00AC2AD2" w:rsidRPr="00671A2F">
        <w:rPr>
          <w:rFonts w:eastAsia="Calibri" w:cs="Arial"/>
          <w:szCs w:val="20"/>
        </w:rPr>
        <w:t xml:space="preserve">connection with </w:t>
      </w:r>
      <w:hyperlink r:id="rId53" w:history="1">
        <w:r w:rsidR="00AC2AD2" w:rsidRPr="00671A2F">
          <w:rPr>
            <w:rFonts w:eastAsia="Calibri" w:cs="Arial"/>
            <w:szCs w:val="20"/>
          </w:rPr>
          <w:t>traditional sea country</w:t>
        </w:r>
      </w:hyperlink>
      <w:r w:rsidR="00AC2AD2" w:rsidRPr="00671A2F">
        <w:rPr>
          <w:rFonts w:eastAsia="Calibri" w:cs="Arial"/>
          <w:szCs w:val="20"/>
        </w:rPr>
        <w:t>.</w:t>
      </w:r>
      <w:r w:rsidR="00671A2F" w:rsidRPr="00671A2F">
        <w:rPr>
          <w:rFonts w:eastAsia="Calibri" w:cs="Arial"/>
          <w:szCs w:val="20"/>
        </w:rPr>
        <w:t xml:space="preserve"> </w:t>
      </w:r>
    </w:p>
    <w:p w14:paraId="472F9A58" w14:textId="6E1DBE8E" w:rsidR="00731EE1" w:rsidRDefault="0025035A" w:rsidP="00331A31">
      <w:pPr>
        <w:pStyle w:val="BodyTextNumbering"/>
        <w:numPr>
          <w:ilvl w:val="0"/>
          <w:numId w:val="9"/>
        </w:numPr>
        <w:spacing w:before="120"/>
        <w:rPr>
          <w:rFonts w:eastAsia="Calibri" w:cs="Arial"/>
          <w:szCs w:val="20"/>
        </w:rPr>
      </w:pPr>
      <w:r>
        <w:rPr>
          <w:rFonts w:eastAsia="Calibri" w:cs="Arial"/>
          <w:szCs w:val="20"/>
        </w:rPr>
        <w:t xml:space="preserve">Applicants are encouraged to discuss their </w:t>
      </w:r>
      <w:r w:rsidR="00054EA0">
        <w:rPr>
          <w:rFonts w:eastAsia="Calibri" w:cs="Arial"/>
          <w:szCs w:val="20"/>
        </w:rPr>
        <w:t>proposed activities</w:t>
      </w:r>
      <w:r w:rsidR="00C70C1C">
        <w:rPr>
          <w:rFonts w:eastAsia="Calibri" w:cs="Arial"/>
          <w:szCs w:val="20"/>
        </w:rPr>
        <w:t xml:space="preserve"> with the relevant Traditional O</w:t>
      </w:r>
      <w:r>
        <w:rPr>
          <w:rFonts w:eastAsia="Calibri" w:cs="Arial"/>
          <w:szCs w:val="20"/>
        </w:rPr>
        <w:t>wners early</w:t>
      </w:r>
      <w:r w:rsidR="00054EA0">
        <w:rPr>
          <w:rFonts w:eastAsia="Calibri" w:cs="Arial"/>
          <w:szCs w:val="20"/>
        </w:rPr>
        <w:t xml:space="preserve">, prior to submitting a Marine Parks permission application. </w:t>
      </w:r>
      <w:r w:rsidR="00054EA0" w:rsidRPr="00C70C1C">
        <w:rPr>
          <w:rFonts w:eastAsia="Calibri" w:cs="Arial"/>
          <w:szCs w:val="20"/>
        </w:rPr>
        <w:t>Refer</w:t>
      </w:r>
      <w:r w:rsidR="004D6759" w:rsidRPr="00C70C1C">
        <w:rPr>
          <w:rFonts w:eastAsia="Calibri" w:cs="Arial"/>
          <w:szCs w:val="20"/>
        </w:rPr>
        <w:t xml:space="preserve"> </w:t>
      </w:r>
      <w:r w:rsidR="00054EA0" w:rsidRPr="00C70C1C">
        <w:rPr>
          <w:rFonts w:eastAsia="Calibri" w:cs="Arial"/>
          <w:szCs w:val="20"/>
        </w:rPr>
        <w:t xml:space="preserve">to </w:t>
      </w:r>
      <w:hyperlink r:id="rId54" w:history="1">
        <w:r w:rsidR="005752C0" w:rsidRPr="00054EA0">
          <w:rPr>
            <w:rStyle w:val="Hyperlink"/>
          </w:rPr>
          <w:t>Traditional Owner</w:t>
        </w:r>
        <w:r w:rsidR="004D6759" w:rsidRPr="00054EA0">
          <w:rPr>
            <w:rStyle w:val="Hyperlink"/>
          </w:rPr>
          <w:t xml:space="preserve"> </w:t>
        </w:r>
        <w:r w:rsidR="00F91FE9" w:rsidRPr="00054EA0">
          <w:rPr>
            <w:rStyle w:val="Hyperlink"/>
          </w:rPr>
          <w:t>h</w:t>
        </w:r>
        <w:r w:rsidR="004D6759" w:rsidRPr="00054EA0">
          <w:rPr>
            <w:rStyle w:val="Hyperlink"/>
          </w:rPr>
          <w:t xml:space="preserve">eritage </w:t>
        </w:r>
        <w:r w:rsidR="00F91FE9" w:rsidRPr="00054EA0">
          <w:rPr>
            <w:rStyle w:val="Hyperlink"/>
          </w:rPr>
          <w:t>a</w:t>
        </w:r>
        <w:r w:rsidR="004D6759" w:rsidRPr="00054EA0">
          <w:rPr>
            <w:rStyle w:val="Hyperlink"/>
          </w:rPr>
          <w:t xml:space="preserve">ssessment </w:t>
        </w:r>
        <w:r w:rsidR="00054EA0" w:rsidRPr="00054EA0">
          <w:rPr>
            <w:rStyle w:val="Hyperlink"/>
          </w:rPr>
          <w:t>guidelines</w:t>
        </w:r>
      </w:hyperlink>
      <w:r w:rsidR="004D6759" w:rsidRPr="00C70C1C">
        <w:rPr>
          <w:rFonts w:eastAsia="Calibri"/>
        </w:rPr>
        <w:t xml:space="preserve"> for more information</w:t>
      </w:r>
      <w:r w:rsidR="00B03803" w:rsidRPr="00C70C1C">
        <w:rPr>
          <w:rFonts w:eastAsia="Calibri"/>
        </w:rPr>
        <w:t>.</w:t>
      </w:r>
      <w:r w:rsidR="00054EA0" w:rsidRPr="00C70C1C">
        <w:rPr>
          <w:rFonts w:eastAsia="Calibri" w:cs="Arial"/>
          <w:szCs w:val="20"/>
        </w:rPr>
        <w:t xml:space="preserve"> Also refer to the </w:t>
      </w:r>
      <w:hyperlink r:id="rId55" w:history="1">
        <w:r w:rsidR="00054EA0" w:rsidRPr="00C70C1C">
          <w:rPr>
            <w:rStyle w:val="Hyperlink"/>
            <w:rFonts w:eastAsia="Calibri" w:cs="Arial"/>
            <w:szCs w:val="20"/>
          </w:rPr>
          <w:t>Woppaburra Traditional Owner heritage assessment guidelines</w:t>
        </w:r>
      </w:hyperlink>
      <w:r w:rsidR="00054EA0" w:rsidRPr="00C70C1C">
        <w:rPr>
          <w:rFonts w:eastAsia="Calibri" w:cs="Arial"/>
          <w:szCs w:val="20"/>
        </w:rPr>
        <w:t xml:space="preserve"> for proposed activities in the Woppaburra T</w:t>
      </w:r>
      <w:r w:rsidR="00473520">
        <w:rPr>
          <w:rFonts w:eastAsia="Calibri" w:cs="Arial"/>
          <w:szCs w:val="20"/>
        </w:rPr>
        <w:t xml:space="preserve">raditional </w:t>
      </w:r>
      <w:r w:rsidR="00054EA0" w:rsidRPr="00C70C1C">
        <w:rPr>
          <w:rFonts w:eastAsia="Calibri" w:cs="Arial"/>
          <w:szCs w:val="20"/>
        </w:rPr>
        <w:t>U</w:t>
      </w:r>
      <w:r w:rsidR="00473520">
        <w:rPr>
          <w:rFonts w:eastAsia="Calibri" w:cs="Arial"/>
          <w:szCs w:val="20"/>
        </w:rPr>
        <w:t xml:space="preserve">se of </w:t>
      </w:r>
      <w:r w:rsidR="00054EA0" w:rsidRPr="00C70C1C">
        <w:rPr>
          <w:rFonts w:eastAsia="Calibri" w:cs="Arial"/>
          <w:szCs w:val="20"/>
        </w:rPr>
        <w:t>M</w:t>
      </w:r>
      <w:r w:rsidR="00473520">
        <w:rPr>
          <w:rFonts w:eastAsia="Calibri" w:cs="Arial"/>
          <w:szCs w:val="20"/>
        </w:rPr>
        <w:t xml:space="preserve">arine </w:t>
      </w:r>
      <w:r w:rsidR="00054EA0" w:rsidRPr="00C70C1C">
        <w:rPr>
          <w:rFonts w:eastAsia="Calibri" w:cs="Arial"/>
          <w:szCs w:val="20"/>
        </w:rPr>
        <w:t>R</w:t>
      </w:r>
      <w:r w:rsidR="00473520">
        <w:rPr>
          <w:rFonts w:eastAsia="Calibri" w:cs="Arial"/>
          <w:szCs w:val="20"/>
        </w:rPr>
        <w:t xml:space="preserve">esources </w:t>
      </w:r>
      <w:r w:rsidR="00054EA0" w:rsidRPr="00C70C1C">
        <w:rPr>
          <w:rFonts w:eastAsia="Calibri" w:cs="Arial"/>
          <w:szCs w:val="20"/>
        </w:rPr>
        <w:t>A</w:t>
      </w:r>
      <w:r w:rsidR="00473520">
        <w:rPr>
          <w:rFonts w:eastAsia="Calibri" w:cs="Arial"/>
          <w:szCs w:val="20"/>
        </w:rPr>
        <w:t>greement</w:t>
      </w:r>
      <w:r w:rsidR="00054EA0" w:rsidRPr="00C70C1C">
        <w:rPr>
          <w:rFonts w:eastAsia="Calibri" w:cs="Arial"/>
          <w:szCs w:val="20"/>
        </w:rPr>
        <w:t xml:space="preserve"> area.  </w:t>
      </w:r>
    </w:p>
    <w:p w14:paraId="63925DF2" w14:textId="77777777" w:rsidR="002E42A4" w:rsidRDefault="002E42A4" w:rsidP="00473520">
      <w:pPr>
        <w:pStyle w:val="Heading3"/>
      </w:pPr>
      <w:r w:rsidRPr="00DB61A8">
        <w:t>Social</w:t>
      </w:r>
      <w:r>
        <w:t xml:space="preserve"> values</w:t>
      </w:r>
    </w:p>
    <w:p w14:paraId="012AE9C1" w14:textId="1D6F4C22" w:rsidR="002E42A4" w:rsidRPr="0019455C" w:rsidRDefault="002E42A4" w:rsidP="00331A31">
      <w:pPr>
        <w:pStyle w:val="BodyTextNumbering"/>
        <w:numPr>
          <w:ilvl w:val="0"/>
          <w:numId w:val="9"/>
        </w:numPr>
        <w:spacing w:before="120"/>
      </w:pPr>
      <w:r>
        <w:rPr>
          <w:rFonts w:eastAsia="Calibri" w:cs="Arial"/>
          <w:szCs w:val="20"/>
        </w:rPr>
        <w:t>E</w:t>
      </w:r>
      <w:r w:rsidRPr="00EE1DD8">
        <w:rPr>
          <w:rFonts w:eastAsia="Calibri" w:cs="Arial"/>
          <w:szCs w:val="20"/>
        </w:rPr>
        <w:t>cosystem services</w:t>
      </w:r>
      <w:r>
        <w:rPr>
          <w:rFonts w:eastAsia="Calibri" w:cs="Arial"/>
          <w:szCs w:val="20"/>
        </w:rPr>
        <w:t xml:space="preserve"> that</w:t>
      </w:r>
      <w:r w:rsidRPr="00EE1DD8">
        <w:rPr>
          <w:rFonts w:eastAsia="Calibri" w:cs="Arial"/>
          <w:szCs w:val="20"/>
        </w:rPr>
        <w:t xml:space="preserve"> seagrasses provide </w:t>
      </w:r>
      <w:r>
        <w:rPr>
          <w:rFonts w:eastAsia="Calibri" w:cs="Arial"/>
          <w:szCs w:val="20"/>
        </w:rPr>
        <w:t>contribute</w:t>
      </w:r>
      <w:r w:rsidRPr="00844EE4">
        <w:rPr>
          <w:rFonts w:eastAsia="Calibri" w:cs="Arial"/>
          <w:szCs w:val="20"/>
        </w:rPr>
        <w:t xml:space="preserve"> significantly to human wellbeing</w:t>
      </w:r>
      <w:r>
        <w:rPr>
          <w:rFonts w:eastAsia="Calibri" w:cs="Arial"/>
          <w:szCs w:val="20"/>
        </w:rPr>
        <w:t xml:space="preserve"> and are of high economic importance</w:t>
      </w:r>
      <w:r w:rsidRPr="00844EE4">
        <w:rPr>
          <w:rFonts w:eastAsia="Calibri" w:cs="Arial"/>
          <w:szCs w:val="20"/>
        </w:rPr>
        <w:t>.</w:t>
      </w:r>
      <w:r>
        <w:rPr>
          <w:rFonts w:eastAsia="Calibri" w:cs="Arial"/>
          <w:szCs w:val="20"/>
        </w:rPr>
        <w:t xml:space="preserve"> Refer to the section on ‘</w:t>
      </w:r>
      <w:hyperlink w:anchor="_Importance_to_the" w:history="1">
        <w:r w:rsidRPr="00473520">
          <w:rPr>
            <w:rStyle w:val="Hyperlink"/>
            <w:rFonts w:eastAsia="Calibri" w:cs="Arial"/>
            <w:szCs w:val="20"/>
          </w:rPr>
          <w:t>Importance to the Marine Park</w:t>
        </w:r>
      </w:hyperlink>
      <w:r>
        <w:rPr>
          <w:rFonts w:eastAsia="Calibri" w:cs="Arial"/>
          <w:szCs w:val="20"/>
        </w:rPr>
        <w:t xml:space="preserve">’ above. </w:t>
      </w:r>
    </w:p>
    <w:p w14:paraId="28B52A1C" w14:textId="5797E161" w:rsidR="002E42A4" w:rsidRPr="002E42A4" w:rsidRDefault="002E42A4" w:rsidP="00331A31">
      <w:pPr>
        <w:pStyle w:val="BodyTextNumbering"/>
        <w:numPr>
          <w:ilvl w:val="0"/>
          <w:numId w:val="9"/>
        </w:numPr>
        <w:spacing w:before="120"/>
      </w:pPr>
      <w:r>
        <w:t>Any impacts on seagrass are likely to have flow-on impacts on social values and consideration should be given to any short and longer term impacts and the influence on intra (current generation) and inter-generational (future generations) equity. Ecologically sustainable use allows for activities to occur without compromising the services (such as carbon storage and sequestration) that ecosystems provide into the future.</w:t>
      </w:r>
      <w:r w:rsidRPr="00B21E37">
        <w:rPr>
          <w:rFonts w:eastAsia="Calibri" w:cs="Arial"/>
          <w:szCs w:val="20"/>
        </w:rPr>
        <w:t xml:space="preserve"> </w:t>
      </w:r>
      <w:r>
        <w:rPr>
          <w:rFonts w:eastAsia="Calibri" w:cs="Arial"/>
          <w:szCs w:val="20"/>
        </w:rPr>
        <w:t xml:space="preserve">For further refer to </w:t>
      </w:r>
      <w:hyperlink r:id="rId56" w:history="1">
        <w:r w:rsidRPr="00B21E37">
          <w:rPr>
            <w:rStyle w:val="Hyperlink"/>
            <w:rFonts w:eastAsia="Calibri" w:cs="Arial"/>
            <w:szCs w:val="20"/>
          </w:rPr>
          <w:t>Social values assessment guidelines</w:t>
        </w:r>
      </w:hyperlink>
      <w:r>
        <w:rPr>
          <w:rFonts w:eastAsia="Calibri" w:cs="Arial"/>
          <w:szCs w:val="20"/>
        </w:rPr>
        <w:t xml:space="preserve">. </w:t>
      </w:r>
    </w:p>
    <w:p w14:paraId="4647AD42" w14:textId="09BEF37E" w:rsidR="00B82F57" w:rsidRPr="00692195" w:rsidRDefault="00443F2D" w:rsidP="00692195">
      <w:pPr>
        <w:pStyle w:val="Heading1"/>
        <w:widowControl/>
        <w:autoSpaceDE/>
        <w:autoSpaceDN/>
        <w:adjustRightInd/>
        <w:spacing w:before="200" w:after="100"/>
        <w:ind w:right="0"/>
        <w:jc w:val="left"/>
        <w:rPr>
          <w:rFonts w:ascii="Calibri" w:hAnsi="Calibri" w:cs="Times New Roman"/>
          <w:bCs w:val="0"/>
          <w:color w:val="005782"/>
          <w:sz w:val="30"/>
          <w:szCs w:val="30"/>
        </w:rPr>
      </w:pPr>
      <w:r w:rsidRPr="00692195">
        <w:rPr>
          <w:rFonts w:ascii="Calibri" w:hAnsi="Calibri" w:cs="Times New Roman"/>
          <w:bCs w:val="0"/>
          <w:color w:val="005782"/>
          <w:sz w:val="30"/>
          <w:szCs w:val="30"/>
        </w:rPr>
        <w:t>Hazards</w:t>
      </w:r>
      <w:r w:rsidR="00473520">
        <w:rPr>
          <w:rFonts w:ascii="Calibri" w:hAnsi="Calibri" w:cs="Times New Roman"/>
          <w:bCs w:val="0"/>
          <w:color w:val="005782"/>
          <w:sz w:val="30"/>
          <w:szCs w:val="30"/>
        </w:rPr>
        <w:t>, mitigation and monitoring</w:t>
      </w:r>
    </w:p>
    <w:p w14:paraId="3EC3EF9C" w14:textId="53D77CE8" w:rsidR="00E13173" w:rsidRDefault="00FD0C7B" w:rsidP="00331A31">
      <w:pPr>
        <w:pStyle w:val="BodyTextNumbering"/>
        <w:numPr>
          <w:ilvl w:val="0"/>
          <w:numId w:val="9"/>
        </w:numPr>
        <w:spacing w:before="120"/>
      </w:pPr>
      <w:r w:rsidRPr="00FD0C7B">
        <w:t xml:space="preserve">The </w:t>
      </w:r>
      <w:hyperlink r:id="rId57" w:history="1">
        <w:r w:rsidRPr="00604B0F">
          <w:rPr>
            <w:rStyle w:val="Hyperlink"/>
          </w:rPr>
          <w:t>Risk assessment procedure</w:t>
        </w:r>
      </w:hyperlink>
      <w:r w:rsidRPr="00FD0C7B">
        <w:t xml:space="preserve"> lists the most common potential hazards to the values of the Marine Park, as well as permission types able to be granted under the Zoning Plan. </w:t>
      </w:r>
      <w:r w:rsidR="00332B4D">
        <w:fldChar w:fldCharType="begin"/>
      </w:r>
      <w:r w:rsidR="00332B4D">
        <w:instrText xml:space="preserve"> REF _Ref508097017 \h </w:instrText>
      </w:r>
      <w:r w:rsidR="00332B4D">
        <w:fldChar w:fldCharType="separate"/>
      </w:r>
      <w:r w:rsidR="00332B4D" w:rsidRPr="00332B4D">
        <w:rPr>
          <w:color w:val="365F91" w:themeColor="accent1" w:themeShade="BF"/>
          <w:szCs w:val="20"/>
        </w:rPr>
        <w:t>Table 2</w:t>
      </w:r>
      <w:r w:rsidR="00332B4D">
        <w:fldChar w:fldCharType="end"/>
      </w:r>
      <w:r w:rsidR="00CF5631">
        <w:t xml:space="preserve"> </w:t>
      </w:r>
      <w:r w:rsidR="000676FB">
        <w:t>l</w:t>
      </w:r>
      <w:r w:rsidR="000676FB" w:rsidRPr="00FD0C7B">
        <w:t>ist</w:t>
      </w:r>
      <w:r w:rsidR="000676FB">
        <w:t>s</w:t>
      </w:r>
      <w:r w:rsidR="000676FB" w:rsidRPr="00FD0C7B">
        <w:t xml:space="preserve"> </w:t>
      </w:r>
      <w:r w:rsidR="00CF5631">
        <w:t>the h</w:t>
      </w:r>
      <w:r w:rsidRPr="00FD0C7B">
        <w:t>azards associated with permitted activities that are most likely to impact directly on seagrass and seagrass meadows</w:t>
      </w:r>
      <w:r w:rsidR="00CF5631">
        <w:t xml:space="preserve">, and includes </w:t>
      </w:r>
      <w:r w:rsidRPr="00FD0C7B">
        <w:t>possible avoidance, mitigat</w:t>
      </w:r>
      <w:r w:rsidR="00CF5631">
        <w:t>ion and monitoring measures</w:t>
      </w:r>
      <w:r w:rsidRPr="00FD0C7B">
        <w:t xml:space="preserve">. </w:t>
      </w:r>
    </w:p>
    <w:p w14:paraId="46CE9159" w14:textId="0CC93A32" w:rsidR="00671A2F" w:rsidRPr="00FD0C7B" w:rsidRDefault="00F73CD7" w:rsidP="00331A31">
      <w:pPr>
        <w:pStyle w:val="BodyTextNumbering"/>
        <w:numPr>
          <w:ilvl w:val="0"/>
          <w:numId w:val="9"/>
        </w:numPr>
        <w:spacing w:before="120"/>
      </w:pPr>
      <w:r>
        <w:t xml:space="preserve">Primarily, </w:t>
      </w:r>
      <w:r w:rsidR="001F6422">
        <w:t>negative impacts to seagrass meadows (and o</w:t>
      </w:r>
      <w:r>
        <w:t>ther values of the Marine Park) are to be avoided</w:t>
      </w:r>
      <w:r w:rsidR="001F6422">
        <w:t xml:space="preserve">. </w:t>
      </w:r>
      <w:r>
        <w:t>P</w:t>
      </w:r>
      <w:r w:rsidR="001F6422">
        <w:t xml:space="preserve">rudent and feasible alternatives </w:t>
      </w:r>
      <w:r>
        <w:t xml:space="preserve">(as a </w:t>
      </w:r>
      <w:r w:rsidR="00364967">
        <w:t>requirement under the GBRMP Regulations</w:t>
      </w:r>
      <w:r>
        <w:t xml:space="preserve">) are to be identified when considering </w:t>
      </w:r>
      <w:r w:rsidR="001F6422">
        <w:rPr>
          <w:rFonts w:cs="Arial"/>
          <w:szCs w:val="20"/>
        </w:rPr>
        <w:t>proposed sites</w:t>
      </w:r>
      <w:r>
        <w:rPr>
          <w:rFonts w:cs="Arial"/>
          <w:szCs w:val="20"/>
        </w:rPr>
        <w:t xml:space="preserve"> to conduct an activity</w:t>
      </w:r>
      <w:r w:rsidR="001F6422">
        <w:rPr>
          <w:rFonts w:cs="Arial"/>
          <w:szCs w:val="20"/>
        </w:rPr>
        <w:t xml:space="preserve">. </w:t>
      </w:r>
    </w:p>
    <w:p w14:paraId="7DAACB09" w14:textId="77777777" w:rsidR="00671A2F" w:rsidRPr="00FD0C7B" w:rsidRDefault="00671A2F" w:rsidP="00331A31">
      <w:pPr>
        <w:pStyle w:val="Level2Heading"/>
        <w:spacing w:before="120" w:after="40"/>
        <w:sectPr w:rsidR="00671A2F" w:rsidRPr="00FD0C7B" w:rsidSect="006B1EE2">
          <w:headerReference w:type="default" r:id="rId58"/>
          <w:footerReference w:type="default" r:id="rId59"/>
          <w:headerReference w:type="first" r:id="rId60"/>
          <w:footerReference w:type="first" r:id="rId61"/>
          <w:type w:val="continuous"/>
          <w:pgSz w:w="11906" w:h="16838"/>
          <w:pgMar w:top="1253" w:right="1077" w:bottom="1440" w:left="1077" w:header="567" w:footer="567" w:gutter="0"/>
          <w:cols w:space="720"/>
          <w:titlePg/>
          <w:docGrid w:linePitch="326"/>
        </w:sectPr>
      </w:pPr>
    </w:p>
    <w:p w14:paraId="2A96F6EE" w14:textId="46AF25CF" w:rsidR="00332B4D" w:rsidRPr="00332B4D" w:rsidRDefault="00332B4D" w:rsidP="00332B4D">
      <w:pPr>
        <w:pStyle w:val="Caption"/>
        <w:keepNext/>
        <w:spacing w:before="200" w:after="0"/>
        <w:ind w:left="993" w:hanging="851"/>
        <w:rPr>
          <w:b w:val="0"/>
          <w:color w:val="365F91" w:themeColor="accent1" w:themeShade="BF"/>
          <w:sz w:val="20"/>
          <w:szCs w:val="20"/>
        </w:rPr>
      </w:pPr>
      <w:bookmarkStart w:id="5" w:name="_Ref508097017"/>
      <w:r w:rsidRPr="00332B4D">
        <w:rPr>
          <w:color w:val="365F91" w:themeColor="accent1" w:themeShade="BF"/>
          <w:sz w:val="20"/>
          <w:szCs w:val="20"/>
        </w:rPr>
        <w:lastRenderedPageBreak/>
        <w:t xml:space="preserve">Table </w:t>
      </w:r>
      <w:r w:rsidRPr="00332B4D">
        <w:rPr>
          <w:color w:val="365F91" w:themeColor="accent1" w:themeShade="BF"/>
          <w:sz w:val="20"/>
          <w:szCs w:val="20"/>
        </w:rPr>
        <w:fldChar w:fldCharType="begin"/>
      </w:r>
      <w:r w:rsidRPr="00332B4D">
        <w:rPr>
          <w:color w:val="365F91" w:themeColor="accent1" w:themeShade="BF"/>
          <w:sz w:val="20"/>
          <w:szCs w:val="20"/>
        </w:rPr>
        <w:instrText xml:space="preserve"> SEQ Table \* ARABIC </w:instrText>
      </w:r>
      <w:r w:rsidRPr="00332B4D">
        <w:rPr>
          <w:color w:val="365F91" w:themeColor="accent1" w:themeShade="BF"/>
          <w:sz w:val="20"/>
          <w:szCs w:val="20"/>
        </w:rPr>
        <w:fldChar w:fldCharType="separate"/>
      </w:r>
      <w:r w:rsidRPr="00332B4D">
        <w:rPr>
          <w:color w:val="365F91" w:themeColor="accent1" w:themeShade="BF"/>
          <w:sz w:val="20"/>
          <w:szCs w:val="20"/>
        </w:rPr>
        <w:t>2</w:t>
      </w:r>
      <w:r w:rsidRPr="00332B4D">
        <w:rPr>
          <w:color w:val="365F91" w:themeColor="accent1" w:themeShade="BF"/>
          <w:sz w:val="20"/>
          <w:szCs w:val="20"/>
        </w:rPr>
        <w:fldChar w:fldCharType="end"/>
      </w:r>
      <w:bookmarkEnd w:id="5"/>
      <w:r w:rsidRPr="00332B4D">
        <w:rPr>
          <w:b w:val="0"/>
          <w:color w:val="365F91" w:themeColor="accent1" w:themeShade="BF"/>
          <w:sz w:val="20"/>
          <w:szCs w:val="20"/>
        </w:rPr>
        <w:t>: Summary of hazards, impacts and mitigation measures for seagrass and seagrass meadows</w:t>
      </w:r>
    </w:p>
    <w:tbl>
      <w:tblPr>
        <w:tblStyle w:val="TableGrid"/>
        <w:tblW w:w="21008" w:type="dxa"/>
        <w:tblInd w:w="108" w:type="dxa"/>
        <w:tblLayout w:type="fixed"/>
        <w:tblLook w:val="04A0" w:firstRow="1" w:lastRow="0" w:firstColumn="1" w:lastColumn="0" w:noHBand="0" w:noVBand="1"/>
        <w:tblCaption w:val="Summary of Hazards, impacts and mitigation measures for seagrass and seagrass meadows"/>
        <w:tblDescription w:val="The table shows hazards that arise from permitted activities. The second column lists the impacts on seagrass of those hazards. The third column lists the avoidance, mitigation and monitoring measures one might use in response. "/>
      </w:tblPr>
      <w:tblGrid>
        <w:gridCol w:w="1730"/>
        <w:gridCol w:w="2835"/>
        <w:gridCol w:w="7655"/>
        <w:gridCol w:w="8788"/>
      </w:tblGrid>
      <w:tr w:rsidR="00764940" w:rsidRPr="00332B4D" w14:paraId="6374BC29" w14:textId="77777777" w:rsidTr="00A041CF">
        <w:trPr>
          <w:tblHeader/>
        </w:trPr>
        <w:tc>
          <w:tcPr>
            <w:tcW w:w="1730" w:type="dxa"/>
            <w:shd w:val="clear" w:color="auto" w:fill="C6D9F1" w:themeFill="text2" w:themeFillTint="33"/>
            <w:vAlign w:val="center"/>
          </w:tcPr>
          <w:p w14:paraId="478996E1" w14:textId="77777777" w:rsidR="00764940" w:rsidRPr="00332B4D" w:rsidRDefault="00764940" w:rsidP="00554F9D">
            <w:pPr>
              <w:pStyle w:val="Level2Heading"/>
              <w:spacing w:before="0"/>
              <w:jc w:val="center"/>
              <w:rPr>
                <w:rFonts w:ascii="Arial" w:hAnsi="Arial" w:cs="Arial"/>
                <w:sz w:val="20"/>
                <w:szCs w:val="20"/>
              </w:rPr>
            </w:pPr>
            <w:r w:rsidRPr="00332B4D">
              <w:rPr>
                <w:rFonts w:ascii="Arial" w:hAnsi="Arial" w:cs="Arial"/>
                <w:sz w:val="20"/>
                <w:szCs w:val="20"/>
              </w:rPr>
              <w:t>Hazard</w:t>
            </w:r>
          </w:p>
        </w:tc>
        <w:tc>
          <w:tcPr>
            <w:tcW w:w="2835" w:type="dxa"/>
            <w:shd w:val="clear" w:color="auto" w:fill="C6D9F1" w:themeFill="text2" w:themeFillTint="33"/>
          </w:tcPr>
          <w:p w14:paraId="046E1C65" w14:textId="77777777" w:rsidR="00764940" w:rsidRPr="00332B4D" w:rsidRDefault="00764940" w:rsidP="00554F9D">
            <w:pPr>
              <w:pStyle w:val="Level2Heading"/>
              <w:spacing w:before="0"/>
              <w:jc w:val="center"/>
              <w:rPr>
                <w:rFonts w:ascii="Arial" w:hAnsi="Arial" w:cs="Arial"/>
                <w:sz w:val="20"/>
                <w:szCs w:val="20"/>
              </w:rPr>
            </w:pPr>
            <w:r w:rsidRPr="00332B4D">
              <w:rPr>
                <w:rFonts w:ascii="Arial" w:hAnsi="Arial" w:cs="Arial"/>
                <w:sz w:val="20"/>
                <w:szCs w:val="20"/>
              </w:rPr>
              <w:t>Related permission types (generally)</w:t>
            </w:r>
          </w:p>
        </w:tc>
        <w:tc>
          <w:tcPr>
            <w:tcW w:w="7655" w:type="dxa"/>
            <w:shd w:val="clear" w:color="auto" w:fill="C6D9F1" w:themeFill="text2" w:themeFillTint="33"/>
            <w:vAlign w:val="center"/>
          </w:tcPr>
          <w:p w14:paraId="0F43FC53" w14:textId="77777777" w:rsidR="00764940" w:rsidRPr="00332B4D" w:rsidRDefault="00764940" w:rsidP="00554F9D">
            <w:pPr>
              <w:pStyle w:val="Level2Heading"/>
              <w:spacing w:before="0"/>
              <w:jc w:val="center"/>
              <w:rPr>
                <w:rFonts w:ascii="Arial" w:hAnsi="Arial" w:cs="Arial"/>
                <w:sz w:val="20"/>
                <w:szCs w:val="20"/>
              </w:rPr>
            </w:pPr>
            <w:r w:rsidRPr="00332B4D">
              <w:rPr>
                <w:rFonts w:ascii="Arial" w:hAnsi="Arial" w:cs="Arial"/>
                <w:sz w:val="20"/>
                <w:szCs w:val="20"/>
              </w:rPr>
              <w:t>Impact (effect on value)</w:t>
            </w:r>
          </w:p>
        </w:tc>
        <w:tc>
          <w:tcPr>
            <w:tcW w:w="8788" w:type="dxa"/>
            <w:shd w:val="clear" w:color="auto" w:fill="C6D9F1" w:themeFill="text2" w:themeFillTint="33"/>
            <w:vAlign w:val="center"/>
          </w:tcPr>
          <w:p w14:paraId="3E33C761" w14:textId="7278ECCB" w:rsidR="00764940" w:rsidRPr="00332B4D" w:rsidRDefault="00764940" w:rsidP="00332B4D">
            <w:pPr>
              <w:pStyle w:val="Level2Heading"/>
              <w:spacing w:before="0"/>
              <w:jc w:val="center"/>
              <w:rPr>
                <w:rFonts w:ascii="Arial" w:hAnsi="Arial" w:cs="Arial"/>
                <w:sz w:val="20"/>
                <w:szCs w:val="20"/>
              </w:rPr>
            </w:pPr>
            <w:r w:rsidRPr="00332B4D">
              <w:rPr>
                <w:rFonts w:ascii="Arial" w:hAnsi="Arial" w:cs="Arial"/>
                <w:sz w:val="20"/>
                <w:szCs w:val="20"/>
              </w:rPr>
              <w:t xml:space="preserve">Avoidance, </w:t>
            </w:r>
            <w:r w:rsidR="00332B4D">
              <w:rPr>
                <w:rFonts w:ascii="Arial" w:hAnsi="Arial" w:cs="Arial"/>
                <w:sz w:val="20"/>
                <w:szCs w:val="20"/>
              </w:rPr>
              <w:t>mitigation and m</w:t>
            </w:r>
            <w:r w:rsidRPr="00332B4D">
              <w:rPr>
                <w:rFonts w:ascii="Arial" w:hAnsi="Arial" w:cs="Arial"/>
                <w:sz w:val="20"/>
                <w:szCs w:val="20"/>
              </w:rPr>
              <w:t>onitoring measures</w:t>
            </w:r>
          </w:p>
        </w:tc>
      </w:tr>
      <w:tr w:rsidR="00764940" w:rsidRPr="00332B4D" w14:paraId="311A7A1E" w14:textId="77777777" w:rsidTr="00A041CF">
        <w:tc>
          <w:tcPr>
            <w:tcW w:w="1730" w:type="dxa"/>
          </w:tcPr>
          <w:p w14:paraId="10636EA1" w14:textId="77777777" w:rsidR="00764940" w:rsidRPr="00332B4D" w:rsidRDefault="00764940" w:rsidP="00303852">
            <w:pPr>
              <w:pStyle w:val="FurtherInformationText"/>
              <w:spacing w:before="0" w:after="120"/>
              <w:rPr>
                <w:b/>
              </w:rPr>
            </w:pPr>
            <w:r w:rsidRPr="00332B4D">
              <w:rPr>
                <w:b/>
              </w:rPr>
              <w:t>Change in light</w:t>
            </w:r>
          </w:p>
        </w:tc>
        <w:tc>
          <w:tcPr>
            <w:tcW w:w="2835" w:type="dxa"/>
          </w:tcPr>
          <w:p w14:paraId="5197C205" w14:textId="77777777" w:rsidR="00764940" w:rsidRPr="00332B4D" w:rsidRDefault="00764940" w:rsidP="00332B4D">
            <w:pPr>
              <w:pStyle w:val="BodyTextNumbering"/>
              <w:numPr>
                <w:ilvl w:val="0"/>
                <w:numId w:val="18"/>
              </w:numPr>
              <w:spacing w:before="0" w:after="50"/>
              <w:ind w:left="357"/>
              <w:rPr>
                <w:rFonts w:cs="Arial"/>
                <w:szCs w:val="20"/>
              </w:rPr>
            </w:pPr>
            <w:r w:rsidRPr="00332B4D">
              <w:rPr>
                <w:rFonts w:cs="Arial"/>
                <w:szCs w:val="20"/>
              </w:rPr>
              <w:t>Carrying out works (dredging, d</w:t>
            </w:r>
            <w:r w:rsidR="00234E07" w:rsidRPr="00332B4D">
              <w:rPr>
                <w:rFonts w:cs="Arial"/>
                <w:szCs w:val="20"/>
              </w:rPr>
              <w:t xml:space="preserve">umping of spoil, harbour works, </w:t>
            </w:r>
            <w:r w:rsidRPr="00332B4D">
              <w:rPr>
                <w:rFonts w:cs="Arial"/>
                <w:szCs w:val="20"/>
              </w:rPr>
              <w:t>reclamation)</w:t>
            </w:r>
          </w:p>
          <w:p w14:paraId="45FB281C" w14:textId="77777777" w:rsidR="00764940" w:rsidRPr="00332B4D" w:rsidRDefault="00764940" w:rsidP="00332B4D">
            <w:pPr>
              <w:pStyle w:val="BodyTextNumbering"/>
              <w:numPr>
                <w:ilvl w:val="0"/>
                <w:numId w:val="18"/>
              </w:numPr>
              <w:spacing w:before="0" w:after="50"/>
              <w:ind w:left="357"/>
              <w:rPr>
                <w:rFonts w:cs="Arial"/>
                <w:szCs w:val="20"/>
              </w:rPr>
            </w:pPr>
            <w:r w:rsidRPr="00332B4D">
              <w:rPr>
                <w:rFonts w:cs="Arial"/>
                <w:szCs w:val="20"/>
              </w:rPr>
              <w:t xml:space="preserve">Operating a facility </w:t>
            </w:r>
          </w:p>
        </w:tc>
        <w:tc>
          <w:tcPr>
            <w:tcW w:w="7655" w:type="dxa"/>
          </w:tcPr>
          <w:p w14:paraId="4F3EA266" w14:textId="77777777" w:rsidR="00856D74" w:rsidRPr="00332B4D" w:rsidRDefault="00764940" w:rsidP="00332B4D">
            <w:pPr>
              <w:pStyle w:val="BodyTextNumbering"/>
              <w:numPr>
                <w:ilvl w:val="0"/>
                <w:numId w:val="18"/>
              </w:numPr>
              <w:spacing w:before="0" w:after="50"/>
              <w:rPr>
                <w:rFonts w:cs="Arial"/>
                <w:szCs w:val="20"/>
              </w:rPr>
            </w:pPr>
            <w:r w:rsidRPr="00332B4D">
              <w:rPr>
                <w:rFonts w:cs="Arial"/>
                <w:szCs w:val="20"/>
              </w:rPr>
              <w:t xml:space="preserve">Any activity that </w:t>
            </w:r>
            <w:r w:rsidR="00182F91" w:rsidRPr="00332B4D">
              <w:rPr>
                <w:rFonts w:cs="Arial"/>
                <w:szCs w:val="20"/>
              </w:rPr>
              <w:t>reduces light levels (through</w:t>
            </w:r>
            <w:r w:rsidR="00D27D33" w:rsidRPr="00332B4D">
              <w:rPr>
                <w:rFonts w:cs="Arial"/>
                <w:szCs w:val="20"/>
              </w:rPr>
              <w:t xml:space="preserve"> physical obstruction of light</w:t>
            </w:r>
            <w:r w:rsidR="00711D42" w:rsidRPr="00332B4D">
              <w:rPr>
                <w:rFonts w:cs="Arial"/>
                <w:szCs w:val="20"/>
              </w:rPr>
              <w:t>, sedimentation,</w:t>
            </w:r>
            <w:r w:rsidR="00182F91" w:rsidRPr="00332B4D">
              <w:rPr>
                <w:rFonts w:cs="Arial"/>
                <w:szCs w:val="20"/>
              </w:rPr>
              <w:t xml:space="preserve"> or</w:t>
            </w:r>
            <w:r w:rsidR="00D27D33" w:rsidRPr="00332B4D">
              <w:rPr>
                <w:rFonts w:cs="Arial"/>
                <w:szCs w:val="20"/>
              </w:rPr>
              <w:t xml:space="preserve"> increased turbidity), reduces the light available for photosynthesis which </w:t>
            </w:r>
            <w:r w:rsidR="007F2787" w:rsidRPr="00332B4D">
              <w:rPr>
                <w:rFonts w:cs="Arial"/>
                <w:szCs w:val="20"/>
              </w:rPr>
              <w:t>may</w:t>
            </w:r>
            <w:r w:rsidR="00D27D33" w:rsidRPr="00332B4D">
              <w:rPr>
                <w:rFonts w:cs="Arial"/>
                <w:szCs w:val="20"/>
              </w:rPr>
              <w:t xml:space="preserve"> lead to stress, reduced growth or even death of the plant, depending on the exposure of reduced light. </w:t>
            </w:r>
          </w:p>
          <w:p w14:paraId="036832B7" w14:textId="6F99E56E" w:rsidR="006A705C" w:rsidRPr="00332B4D" w:rsidRDefault="006A705C" w:rsidP="00332B4D">
            <w:pPr>
              <w:pStyle w:val="BodyTextNumbering"/>
              <w:numPr>
                <w:ilvl w:val="0"/>
                <w:numId w:val="18"/>
              </w:numPr>
              <w:spacing w:before="0" w:after="50"/>
              <w:rPr>
                <w:rFonts w:cs="Arial"/>
                <w:szCs w:val="20"/>
              </w:rPr>
            </w:pPr>
            <w:r w:rsidRPr="00332B4D">
              <w:rPr>
                <w:rFonts w:cs="Arial"/>
                <w:szCs w:val="20"/>
              </w:rPr>
              <w:t>Seagrass sensitivity (adaptive capacity or recoverability) to dredge</w:t>
            </w:r>
            <w:r w:rsidR="00332B4D">
              <w:rPr>
                <w:rFonts w:cs="Arial"/>
                <w:szCs w:val="20"/>
              </w:rPr>
              <w:t>-</w:t>
            </w:r>
            <w:r w:rsidRPr="00332B4D">
              <w:rPr>
                <w:rFonts w:cs="Arial"/>
                <w:szCs w:val="20"/>
              </w:rPr>
              <w:t>related hazards is considered high-moderate and is depth dependant.</w:t>
            </w:r>
            <w:r w:rsidRPr="00332B4D">
              <w:rPr>
                <w:rFonts w:cs="Arial"/>
                <w:szCs w:val="20"/>
              </w:rPr>
              <w:fldChar w:fldCharType="begin"/>
            </w:r>
            <w:r w:rsidR="00EE558C" w:rsidRPr="00332B4D">
              <w:rPr>
                <w:rFonts w:cs="Arial"/>
                <w:szCs w:val="20"/>
              </w:rPr>
              <w:instrText>ADDIN RW.CITE{{23873 McCook,L. 2015}}</w:instrText>
            </w:r>
            <w:r w:rsidRPr="00332B4D">
              <w:rPr>
                <w:rFonts w:cs="Arial"/>
                <w:szCs w:val="20"/>
              </w:rPr>
              <w:fldChar w:fldCharType="separate"/>
            </w:r>
            <w:r w:rsidR="00EE558C" w:rsidRPr="00332B4D">
              <w:rPr>
                <w:rFonts w:cs="Arial"/>
                <w:szCs w:val="20"/>
                <w:vertAlign w:val="superscript"/>
              </w:rPr>
              <w:t>20</w:t>
            </w:r>
            <w:r w:rsidRPr="00332B4D">
              <w:rPr>
                <w:rFonts w:cs="Arial"/>
                <w:szCs w:val="20"/>
              </w:rPr>
              <w:fldChar w:fldCharType="end"/>
            </w:r>
            <w:r w:rsidRPr="00332B4D">
              <w:rPr>
                <w:rFonts w:cs="Arial"/>
                <w:szCs w:val="20"/>
              </w:rPr>
              <w:t xml:space="preserve"> </w:t>
            </w:r>
          </w:p>
          <w:p w14:paraId="4279E0FF" w14:textId="2905E974" w:rsidR="00A72F98" w:rsidRPr="00332B4D" w:rsidRDefault="00856D74" w:rsidP="00332B4D">
            <w:pPr>
              <w:pStyle w:val="BodyTextNumbering"/>
              <w:numPr>
                <w:ilvl w:val="0"/>
                <w:numId w:val="18"/>
              </w:numPr>
              <w:spacing w:before="0" w:after="50"/>
              <w:rPr>
                <w:rFonts w:cs="Arial"/>
                <w:szCs w:val="20"/>
              </w:rPr>
            </w:pPr>
            <w:r w:rsidRPr="00332B4D">
              <w:rPr>
                <w:rFonts w:cs="Arial"/>
                <w:color w:val="auto"/>
                <w:szCs w:val="20"/>
              </w:rPr>
              <w:t>Negative changes to seagrass health and ecosystem function have flow-on implications for biodiversity values, social values, and Traditional Owner values.</w:t>
            </w:r>
          </w:p>
        </w:tc>
        <w:tc>
          <w:tcPr>
            <w:tcW w:w="8788" w:type="dxa"/>
          </w:tcPr>
          <w:p w14:paraId="58B95DD1" w14:textId="41FA926C" w:rsidR="001B432F" w:rsidRPr="00332B4D" w:rsidRDefault="00997255" w:rsidP="00332B4D">
            <w:pPr>
              <w:pStyle w:val="BodyTextNumbering"/>
              <w:numPr>
                <w:ilvl w:val="0"/>
                <w:numId w:val="16"/>
              </w:numPr>
              <w:spacing w:before="0" w:after="50"/>
              <w:rPr>
                <w:rFonts w:cs="Arial"/>
                <w:szCs w:val="20"/>
              </w:rPr>
            </w:pPr>
            <w:r w:rsidRPr="00332B4D">
              <w:rPr>
                <w:rFonts w:cs="Arial"/>
                <w:szCs w:val="20"/>
              </w:rPr>
              <w:t xml:space="preserve">Prudent and feasible </w:t>
            </w:r>
            <w:r w:rsidR="00764940" w:rsidRPr="00332B4D">
              <w:rPr>
                <w:rFonts w:cs="Arial"/>
                <w:szCs w:val="20"/>
              </w:rPr>
              <w:t>alternative</w:t>
            </w:r>
            <w:r w:rsidRPr="00332B4D">
              <w:rPr>
                <w:rFonts w:cs="Arial"/>
                <w:szCs w:val="20"/>
              </w:rPr>
              <w:t xml:space="preserve">s including </w:t>
            </w:r>
            <w:r w:rsidR="00764940" w:rsidRPr="00332B4D">
              <w:rPr>
                <w:rFonts w:cs="Arial"/>
                <w:szCs w:val="20"/>
              </w:rPr>
              <w:t xml:space="preserve">locations for infrastructure </w:t>
            </w:r>
            <w:r w:rsidRPr="00332B4D">
              <w:rPr>
                <w:rFonts w:cs="Arial"/>
                <w:szCs w:val="20"/>
              </w:rPr>
              <w:t>t</w:t>
            </w:r>
            <w:r w:rsidR="00F73CD7" w:rsidRPr="00332B4D">
              <w:rPr>
                <w:rFonts w:cs="Arial"/>
                <w:szCs w:val="20"/>
              </w:rPr>
              <w:t>hat</w:t>
            </w:r>
            <w:r w:rsidR="00764940" w:rsidRPr="00332B4D">
              <w:rPr>
                <w:rFonts w:cs="Arial"/>
                <w:szCs w:val="20"/>
              </w:rPr>
              <w:t xml:space="preserve"> avoid shading impacts</w:t>
            </w:r>
            <w:r w:rsidRPr="00332B4D">
              <w:rPr>
                <w:rFonts w:cs="Arial"/>
                <w:szCs w:val="20"/>
              </w:rPr>
              <w:t>, for example</w:t>
            </w:r>
            <w:r w:rsidR="00764940" w:rsidRPr="00332B4D">
              <w:rPr>
                <w:rFonts w:cs="Arial"/>
                <w:szCs w:val="20"/>
              </w:rPr>
              <w:t>.</w:t>
            </w:r>
          </w:p>
          <w:p w14:paraId="5A510A31" w14:textId="4D18F9CA" w:rsidR="001F16F4" w:rsidRPr="00332B4D" w:rsidRDefault="00CF1D02" w:rsidP="00332B4D">
            <w:pPr>
              <w:pStyle w:val="BodyTextNumbering"/>
              <w:numPr>
                <w:ilvl w:val="0"/>
                <w:numId w:val="16"/>
              </w:numPr>
              <w:spacing w:before="0" w:after="50"/>
              <w:rPr>
                <w:rFonts w:cs="Arial"/>
                <w:szCs w:val="20"/>
              </w:rPr>
            </w:pPr>
            <w:r w:rsidRPr="00332B4D">
              <w:rPr>
                <w:rFonts w:cs="Arial"/>
                <w:szCs w:val="20"/>
              </w:rPr>
              <w:t xml:space="preserve">Predictive plume models, such as three-dimensional models </w:t>
            </w:r>
            <w:r w:rsidR="00997255" w:rsidRPr="00332B4D">
              <w:rPr>
                <w:rFonts w:cs="Arial"/>
                <w:szCs w:val="20"/>
              </w:rPr>
              <w:t>which</w:t>
            </w:r>
            <w:r w:rsidR="008053BA" w:rsidRPr="00332B4D">
              <w:rPr>
                <w:rFonts w:cs="Arial"/>
                <w:szCs w:val="20"/>
              </w:rPr>
              <w:t xml:space="preserve"> consider intra and inter-annual variability of background environmental conditions </w:t>
            </w:r>
            <w:r w:rsidRPr="00332B4D">
              <w:rPr>
                <w:rFonts w:cs="Arial"/>
                <w:szCs w:val="20"/>
              </w:rPr>
              <w:t xml:space="preserve">(refer to </w:t>
            </w:r>
            <w:hyperlink r:id="rId62" w:history="1">
              <w:r w:rsidRPr="00332B4D">
                <w:rPr>
                  <w:rStyle w:val="Hyperlink"/>
                  <w:rFonts w:cs="Arial"/>
                  <w:szCs w:val="20"/>
                </w:rPr>
                <w:t>GBRMPA Hydrodynamic Numerical Modelling guidelines</w:t>
              </w:r>
            </w:hyperlink>
            <w:r w:rsidRPr="00332B4D">
              <w:rPr>
                <w:rFonts w:cs="Arial"/>
                <w:szCs w:val="20"/>
              </w:rPr>
              <w:t>)</w:t>
            </w:r>
            <w:r w:rsidR="00CD706C" w:rsidRPr="00332B4D">
              <w:rPr>
                <w:rFonts w:cs="Arial"/>
                <w:szCs w:val="20"/>
              </w:rPr>
              <w:t>.</w:t>
            </w:r>
            <w:r w:rsidR="001F16F4" w:rsidRPr="00332B4D">
              <w:rPr>
                <w:rFonts w:cs="Arial"/>
                <w:szCs w:val="20"/>
              </w:rPr>
              <w:t xml:space="preserve"> </w:t>
            </w:r>
          </w:p>
          <w:p w14:paraId="7200EFE3" w14:textId="217D66C9" w:rsidR="001F16F4" w:rsidRPr="00332B4D" w:rsidRDefault="001F16F4" w:rsidP="00332B4D">
            <w:pPr>
              <w:pStyle w:val="BodyTextNumbering"/>
              <w:numPr>
                <w:ilvl w:val="0"/>
                <w:numId w:val="16"/>
              </w:numPr>
              <w:spacing w:before="0" w:after="50"/>
              <w:rPr>
                <w:rFonts w:cs="Arial"/>
                <w:szCs w:val="20"/>
              </w:rPr>
            </w:pPr>
            <w:r w:rsidRPr="00332B4D">
              <w:rPr>
                <w:rFonts w:cs="Arial"/>
                <w:color w:val="auto"/>
                <w:szCs w:val="20"/>
              </w:rPr>
              <w:t xml:space="preserve">Activities involving carrying out works (such as dredging and dumping of spoil, harbour works) </w:t>
            </w:r>
            <w:r w:rsidR="003033A7" w:rsidRPr="00332B4D">
              <w:rPr>
                <w:rFonts w:cs="Arial"/>
                <w:color w:val="auto"/>
                <w:szCs w:val="20"/>
              </w:rPr>
              <w:t xml:space="preserve">are </w:t>
            </w:r>
            <w:r w:rsidRPr="00332B4D">
              <w:rPr>
                <w:rFonts w:cs="Arial"/>
                <w:color w:val="auto"/>
                <w:szCs w:val="20"/>
              </w:rPr>
              <w:t xml:space="preserve">consistent with the </w:t>
            </w:r>
            <w:hyperlink r:id="rId63" w:history="1">
              <w:r w:rsidRPr="00332B4D">
                <w:rPr>
                  <w:rStyle w:val="Hyperlink"/>
                  <w:rFonts w:cs="Arial"/>
                  <w:szCs w:val="20"/>
                </w:rPr>
                <w:t>National Assessment Guidelines for Dredging 2009</w:t>
              </w:r>
            </w:hyperlink>
            <w:r w:rsidRPr="00332B4D">
              <w:rPr>
                <w:rFonts w:cs="Arial"/>
                <w:color w:val="auto"/>
                <w:szCs w:val="20"/>
              </w:rPr>
              <w:t xml:space="preserve">, </w:t>
            </w:r>
            <w:r w:rsidR="00200422" w:rsidRPr="00332B4D">
              <w:rPr>
                <w:rFonts w:cs="Arial"/>
                <w:color w:val="auto"/>
                <w:szCs w:val="20"/>
              </w:rPr>
              <w:t xml:space="preserve">including </w:t>
            </w:r>
            <w:r w:rsidRPr="00332B4D">
              <w:rPr>
                <w:rFonts w:cs="Arial"/>
                <w:color w:val="auto"/>
                <w:szCs w:val="20"/>
              </w:rPr>
              <w:t xml:space="preserve">a Sediment Sampling and Analysis Plan (SAP) to determine the </w:t>
            </w:r>
            <w:r w:rsidR="00200422" w:rsidRPr="00332B4D">
              <w:rPr>
                <w:rFonts w:cs="Arial"/>
                <w:color w:val="auto"/>
                <w:szCs w:val="20"/>
              </w:rPr>
              <w:t xml:space="preserve">sediment </w:t>
            </w:r>
            <w:r w:rsidRPr="00332B4D">
              <w:rPr>
                <w:rFonts w:cs="Arial"/>
                <w:color w:val="auto"/>
                <w:szCs w:val="20"/>
              </w:rPr>
              <w:t>particle sizes.</w:t>
            </w:r>
          </w:p>
          <w:p w14:paraId="28FFBB7F" w14:textId="7F9642B8" w:rsidR="009367AE" w:rsidRPr="00332B4D" w:rsidRDefault="00997255" w:rsidP="00332B4D">
            <w:pPr>
              <w:pStyle w:val="BodyTextNumbering"/>
              <w:numPr>
                <w:ilvl w:val="0"/>
                <w:numId w:val="16"/>
              </w:numPr>
              <w:spacing w:before="0" w:after="50"/>
              <w:rPr>
                <w:rFonts w:cs="Arial"/>
                <w:szCs w:val="20"/>
              </w:rPr>
            </w:pPr>
            <w:r w:rsidRPr="00332B4D">
              <w:rPr>
                <w:rFonts w:cs="Arial"/>
                <w:szCs w:val="20"/>
              </w:rPr>
              <w:t>Use modelling</w:t>
            </w:r>
            <w:r w:rsidR="008053BA" w:rsidRPr="00332B4D">
              <w:rPr>
                <w:rFonts w:cs="Arial"/>
                <w:szCs w:val="20"/>
              </w:rPr>
              <w:t xml:space="preserve"> </w:t>
            </w:r>
            <w:r w:rsidRPr="00332B4D">
              <w:rPr>
                <w:rFonts w:cs="Arial"/>
                <w:szCs w:val="20"/>
              </w:rPr>
              <w:t xml:space="preserve">outputs along </w:t>
            </w:r>
            <w:r w:rsidR="008053BA" w:rsidRPr="00332B4D">
              <w:rPr>
                <w:rFonts w:cs="Arial"/>
                <w:szCs w:val="20"/>
              </w:rPr>
              <w:t xml:space="preserve">with works/operational monitoring </w:t>
            </w:r>
            <w:r w:rsidR="009367AE" w:rsidRPr="00332B4D">
              <w:rPr>
                <w:rFonts w:cs="Arial"/>
                <w:szCs w:val="20"/>
              </w:rPr>
              <w:t>(using parameters such as light</w:t>
            </w:r>
            <w:r w:rsidR="00D958DC" w:rsidRPr="00332B4D">
              <w:rPr>
                <w:rFonts w:cs="Arial"/>
                <w:szCs w:val="20"/>
              </w:rPr>
              <w:t>/PAR</w:t>
            </w:r>
            <w:r w:rsidR="009367AE" w:rsidRPr="00332B4D">
              <w:rPr>
                <w:rFonts w:cs="Arial"/>
                <w:szCs w:val="20"/>
              </w:rPr>
              <w:t xml:space="preserve"> and turbidity</w:t>
            </w:r>
            <w:r w:rsidR="00200422" w:rsidRPr="00332B4D">
              <w:rPr>
                <w:rFonts w:cs="Arial"/>
                <w:szCs w:val="20"/>
              </w:rPr>
              <w:t>/Total Suspended Solids</w:t>
            </w:r>
            <w:r w:rsidR="009367AE" w:rsidRPr="00332B4D">
              <w:rPr>
                <w:rFonts w:cs="Arial"/>
                <w:szCs w:val="20"/>
              </w:rPr>
              <w:t xml:space="preserve">) </w:t>
            </w:r>
            <w:r w:rsidR="00851604" w:rsidRPr="00332B4D">
              <w:rPr>
                <w:rFonts w:cs="Arial"/>
                <w:szCs w:val="20"/>
              </w:rPr>
              <w:t xml:space="preserve">and adaptive management </w:t>
            </w:r>
            <w:r w:rsidRPr="00332B4D">
              <w:rPr>
                <w:rFonts w:cs="Arial"/>
                <w:szCs w:val="20"/>
              </w:rPr>
              <w:t>response actions</w:t>
            </w:r>
            <w:r w:rsidR="0032735C" w:rsidRPr="00332B4D">
              <w:rPr>
                <w:rFonts w:cs="Arial"/>
                <w:szCs w:val="20"/>
              </w:rPr>
              <w:t xml:space="preserve"> (such as stop works) </w:t>
            </w:r>
            <w:r w:rsidRPr="00332B4D">
              <w:rPr>
                <w:rFonts w:cs="Arial"/>
                <w:szCs w:val="20"/>
              </w:rPr>
              <w:t xml:space="preserve">based on </w:t>
            </w:r>
            <w:r w:rsidR="00851604" w:rsidRPr="00332B4D">
              <w:rPr>
                <w:rFonts w:cs="Arial"/>
                <w:szCs w:val="20"/>
              </w:rPr>
              <w:t>appropriate</w:t>
            </w:r>
            <w:r w:rsidR="00425D1A" w:rsidRPr="00332B4D">
              <w:rPr>
                <w:rFonts w:cs="Arial"/>
                <w:szCs w:val="20"/>
              </w:rPr>
              <w:t xml:space="preserve"> ecologically relevant </w:t>
            </w:r>
            <w:r w:rsidR="00851604" w:rsidRPr="00332B4D">
              <w:rPr>
                <w:rFonts w:cs="Arial"/>
                <w:szCs w:val="20"/>
              </w:rPr>
              <w:t xml:space="preserve">thresholds </w:t>
            </w:r>
            <w:r w:rsidR="009367AE" w:rsidRPr="00332B4D">
              <w:rPr>
                <w:rFonts w:cs="Arial"/>
                <w:szCs w:val="20"/>
              </w:rPr>
              <w:t xml:space="preserve">(such as </w:t>
            </w:r>
            <w:r w:rsidR="00851604" w:rsidRPr="00332B4D">
              <w:rPr>
                <w:rFonts w:cs="Arial"/>
                <w:szCs w:val="20"/>
              </w:rPr>
              <w:t>minimum light requirement of seagrass</w:t>
            </w:r>
            <w:r w:rsidR="0014771C" w:rsidRPr="00332B4D">
              <w:rPr>
                <w:rFonts w:cs="Arial"/>
                <w:szCs w:val="20"/>
              </w:rPr>
              <w:t>)</w:t>
            </w:r>
            <w:r w:rsidR="006F35A3" w:rsidRPr="00332B4D">
              <w:rPr>
                <w:rFonts w:cs="Arial"/>
                <w:b/>
                <w:i/>
                <w:szCs w:val="20"/>
              </w:rPr>
              <w:t xml:space="preserve"> </w:t>
            </w:r>
            <w:r w:rsidR="00851604" w:rsidRPr="00332B4D">
              <w:rPr>
                <w:rFonts w:cs="Arial"/>
                <w:szCs w:val="20"/>
              </w:rPr>
              <w:t>triggers.</w:t>
            </w:r>
          </w:p>
          <w:p w14:paraId="75C8BD7E" w14:textId="2DCE36AE" w:rsidR="00A041CF" w:rsidRPr="00332B4D" w:rsidRDefault="00997255" w:rsidP="00332B4D">
            <w:pPr>
              <w:pStyle w:val="BodyTextNumbering"/>
              <w:numPr>
                <w:ilvl w:val="0"/>
                <w:numId w:val="16"/>
              </w:numPr>
              <w:spacing w:before="0" w:after="50"/>
              <w:rPr>
                <w:rFonts w:cs="Arial"/>
                <w:szCs w:val="20"/>
              </w:rPr>
            </w:pPr>
            <w:r w:rsidRPr="00332B4D">
              <w:rPr>
                <w:rFonts w:cs="Arial"/>
                <w:szCs w:val="20"/>
              </w:rPr>
              <w:t>Monitoring program and adaptive management responses are</w:t>
            </w:r>
            <w:r w:rsidR="00CD706C" w:rsidRPr="00332B4D">
              <w:rPr>
                <w:rFonts w:cs="Arial"/>
                <w:szCs w:val="20"/>
              </w:rPr>
              <w:t xml:space="preserve"> </w:t>
            </w:r>
            <w:r w:rsidRPr="00332B4D">
              <w:rPr>
                <w:rFonts w:cs="Arial"/>
                <w:szCs w:val="20"/>
              </w:rPr>
              <w:t xml:space="preserve">specified in an Environmental Management Plan (refer to </w:t>
            </w:r>
            <w:hyperlink r:id="rId64" w:history="1">
              <w:r w:rsidRPr="00332B4D">
                <w:rPr>
                  <w:rStyle w:val="Hyperlink"/>
                  <w:rFonts w:cs="Arial"/>
                  <w:szCs w:val="20"/>
                </w:rPr>
                <w:t>Assessment Guidelines</w:t>
              </w:r>
            </w:hyperlink>
            <w:r w:rsidR="00C11AC4" w:rsidRPr="00332B4D">
              <w:rPr>
                <w:rStyle w:val="Hyperlink"/>
                <w:rFonts w:cs="Arial"/>
                <w:szCs w:val="20"/>
              </w:rPr>
              <w:t>).</w:t>
            </w:r>
            <w:r w:rsidR="00F73CD7" w:rsidRPr="00332B4D">
              <w:rPr>
                <w:rFonts w:cs="Arial"/>
                <w:szCs w:val="20"/>
              </w:rPr>
              <w:t xml:space="preserve"> </w:t>
            </w:r>
          </w:p>
        </w:tc>
      </w:tr>
      <w:tr w:rsidR="00764940" w:rsidRPr="00332B4D" w14:paraId="2175D8B2" w14:textId="77777777" w:rsidTr="00A041CF">
        <w:tc>
          <w:tcPr>
            <w:tcW w:w="1730" w:type="dxa"/>
          </w:tcPr>
          <w:p w14:paraId="5FCBA7BD" w14:textId="218CEE5E" w:rsidR="00764940" w:rsidRPr="00332B4D" w:rsidRDefault="00764940" w:rsidP="00332B4D">
            <w:pPr>
              <w:pStyle w:val="FurtherInformationText"/>
              <w:spacing w:before="0" w:after="50"/>
              <w:rPr>
                <w:b/>
              </w:rPr>
            </w:pPr>
            <w:r w:rsidRPr="00332B4D">
              <w:rPr>
                <w:b/>
              </w:rPr>
              <w:t xml:space="preserve">Change in </w:t>
            </w:r>
            <w:r w:rsidR="00E96FE7" w:rsidRPr="00332B4D">
              <w:rPr>
                <w:b/>
              </w:rPr>
              <w:t>hydrodynamics</w:t>
            </w:r>
          </w:p>
        </w:tc>
        <w:tc>
          <w:tcPr>
            <w:tcW w:w="2835" w:type="dxa"/>
          </w:tcPr>
          <w:p w14:paraId="22EEEB82" w14:textId="77777777" w:rsidR="00392DC4" w:rsidRPr="00332B4D" w:rsidRDefault="00392DC4" w:rsidP="00332B4D">
            <w:pPr>
              <w:pStyle w:val="BodyTextNumbering"/>
              <w:numPr>
                <w:ilvl w:val="0"/>
                <w:numId w:val="19"/>
              </w:numPr>
              <w:spacing w:before="0" w:after="50"/>
              <w:rPr>
                <w:rFonts w:cs="Arial"/>
                <w:szCs w:val="20"/>
              </w:rPr>
            </w:pPr>
            <w:r w:rsidRPr="00332B4D">
              <w:rPr>
                <w:rFonts w:cs="Arial"/>
                <w:szCs w:val="20"/>
              </w:rPr>
              <w:t>Carrying out works (dredging, dumping of spoil, harbour works, reclamation)</w:t>
            </w:r>
          </w:p>
          <w:p w14:paraId="2C4B173E" w14:textId="3F30090B" w:rsidR="00CD706C" w:rsidRPr="00332B4D" w:rsidRDefault="00392DC4" w:rsidP="00332B4D">
            <w:pPr>
              <w:pStyle w:val="BodyTextNumbering"/>
              <w:numPr>
                <w:ilvl w:val="0"/>
                <w:numId w:val="19"/>
              </w:numPr>
              <w:spacing w:before="0" w:after="50"/>
              <w:rPr>
                <w:rFonts w:cs="Arial"/>
                <w:szCs w:val="20"/>
              </w:rPr>
            </w:pPr>
            <w:r w:rsidRPr="00332B4D">
              <w:rPr>
                <w:rFonts w:cs="Arial"/>
                <w:szCs w:val="20"/>
              </w:rPr>
              <w:t>Operating a facility</w:t>
            </w:r>
          </w:p>
          <w:p w14:paraId="16AA7184" w14:textId="0012EB06" w:rsidR="00C309FE" w:rsidRPr="00332B4D" w:rsidRDefault="00C309FE" w:rsidP="00332B4D">
            <w:pPr>
              <w:pStyle w:val="BodyTextNumbering"/>
              <w:keepNext/>
              <w:numPr>
                <w:ilvl w:val="0"/>
                <w:numId w:val="19"/>
              </w:numPr>
              <w:spacing w:before="0" w:after="50"/>
              <w:rPr>
                <w:rFonts w:cs="Arial"/>
                <w:szCs w:val="20"/>
              </w:rPr>
            </w:pPr>
            <w:r w:rsidRPr="00332B4D">
              <w:rPr>
                <w:rFonts w:cs="Arial"/>
                <w:szCs w:val="20"/>
              </w:rPr>
              <w:t>Conducting an aquaculture operation</w:t>
            </w:r>
          </w:p>
          <w:p w14:paraId="57C75DB8" w14:textId="77777777" w:rsidR="00CD706C" w:rsidRPr="00332B4D" w:rsidRDefault="00CD706C" w:rsidP="00332B4D">
            <w:pPr>
              <w:pStyle w:val="BodyTextNumbering"/>
              <w:spacing w:before="0" w:after="50"/>
              <w:ind w:left="360"/>
              <w:rPr>
                <w:rFonts w:cs="Arial"/>
                <w:szCs w:val="20"/>
              </w:rPr>
            </w:pPr>
          </w:p>
        </w:tc>
        <w:tc>
          <w:tcPr>
            <w:tcW w:w="7655" w:type="dxa"/>
          </w:tcPr>
          <w:p w14:paraId="16633E87" w14:textId="77777777" w:rsidR="004F24E0" w:rsidRPr="00332B4D" w:rsidRDefault="00AA48BF" w:rsidP="00332B4D">
            <w:pPr>
              <w:pStyle w:val="BodyTextNumbering"/>
              <w:numPr>
                <w:ilvl w:val="0"/>
                <w:numId w:val="19"/>
              </w:numPr>
              <w:spacing w:before="0" w:after="50"/>
              <w:rPr>
                <w:rFonts w:cs="Arial"/>
                <w:szCs w:val="20"/>
              </w:rPr>
            </w:pPr>
            <w:r w:rsidRPr="00332B4D">
              <w:rPr>
                <w:rFonts w:cs="Arial"/>
                <w:szCs w:val="20"/>
              </w:rPr>
              <w:t>Changes to hydrodynamics (depth profile, current direction, or current velocity) can influence sediment transport (suspension, sedimen</w:t>
            </w:r>
            <w:r w:rsidR="004F24E0" w:rsidRPr="00332B4D">
              <w:rPr>
                <w:rFonts w:cs="Arial"/>
                <w:szCs w:val="20"/>
              </w:rPr>
              <w:t>tation, re-suspension</w:t>
            </w:r>
            <w:r w:rsidRPr="00332B4D">
              <w:rPr>
                <w:rFonts w:cs="Arial"/>
                <w:szCs w:val="20"/>
              </w:rPr>
              <w:t>)</w:t>
            </w:r>
            <w:r w:rsidR="004F24E0" w:rsidRPr="00332B4D">
              <w:rPr>
                <w:rFonts w:cs="Arial"/>
                <w:szCs w:val="20"/>
              </w:rPr>
              <w:t xml:space="preserve"> - t</w:t>
            </w:r>
            <w:r w:rsidRPr="00332B4D">
              <w:rPr>
                <w:rFonts w:cs="Arial"/>
                <w:szCs w:val="20"/>
              </w:rPr>
              <w:t>hreaten</w:t>
            </w:r>
            <w:r w:rsidR="004F24E0" w:rsidRPr="00332B4D">
              <w:rPr>
                <w:rFonts w:cs="Arial"/>
                <w:szCs w:val="20"/>
              </w:rPr>
              <w:t>ing</w:t>
            </w:r>
            <w:r w:rsidR="00CD706C" w:rsidRPr="00332B4D">
              <w:rPr>
                <w:rFonts w:cs="Arial"/>
                <w:szCs w:val="20"/>
              </w:rPr>
              <w:t xml:space="preserve"> seagrass</w:t>
            </w:r>
            <w:r w:rsidRPr="00332B4D">
              <w:rPr>
                <w:rFonts w:cs="Arial"/>
                <w:szCs w:val="20"/>
              </w:rPr>
              <w:t xml:space="preserve"> by causing physi</w:t>
            </w:r>
            <w:r w:rsidR="00CD706C" w:rsidRPr="00332B4D">
              <w:rPr>
                <w:rFonts w:cs="Arial"/>
                <w:szCs w:val="20"/>
              </w:rPr>
              <w:t>cal damage to the root system and</w:t>
            </w:r>
            <w:r w:rsidRPr="00332B4D">
              <w:rPr>
                <w:rFonts w:cs="Arial"/>
                <w:szCs w:val="20"/>
              </w:rPr>
              <w:t xml:space="preserve"> uprooting the plant, eroding </w:t>
            </w:r>
            <w:r w:rsidR="004F24E0" w:rsidRPr="00332B4D">
              <w:rPr>
                <w:rFonts w:cs="Arial"/>
                <w:szCs w:val="20"/>
              </w:rPr>
              <w:t xml:space="preserve">or destabilising </w:t>
            </w:r>
            <w:r w:rsidRPr="00332B4D">
              <w:rPr>
                <w:rFonts w:cs="Arial"/>
                <w:szCs w:val="20"/>
              </w:rPr>
              <w:t xml:space="preserve">the substrate, </w:t>
            </w:r>
            <w:r w:rsidR="004F24E0" w:rsidRPr="00332B4D">
              <w:rPr>
                <w:rFonts w:cs="Arial"/>
                <w:szCs w:val="20"/>
              </w:rPr>
              <w:t xml:space="preserve">and burial of seagrass meadows. </w:t>
            </w:r>
          </w:p>
          <w:p w14:paraId="78627CFC" w14:textId="77777777" w:rsidR="00711D42" w:rsidRPr="00332B4D" w:rsidRDefault="004F24E0" w:rsidP="00332B4D">
            <w:pPr>
              <w:pStyle w:val="BodyTextNumbering"/>
              <w:numPr>
                <w:ilvl w:val="0"/>
                <w:numId w:val="19"/>
              </w:numPr>
              <w:spacing w:before="0" w:after="50"/>
              <w:rPr>
                <w:rFonts w:cs="Arial"/>
                <w:szCs w:val="20"/>
              </w:rPr>
            </w:pPr>
            <w:r w:rsidRPr="00332B4D">
              <w:rPr>
                <w:rFonts w:cs="Arial"/>
                <w:szCs w:val="20"/>
              </w:rPr>
              <w:t xml:space="preserve">Changes to hydrodynamics may also </w:t>
            </w:r>
            <w:r w:rsidR="00AA48BF" w:rsidRPr="00332B4D">
              <w:rPr>
                <w:rFonts w:cs="Arial"/>
                <w:szCs w:val="20"/>
              </w:rPr>
              <w:t>chang</w:t>
            </w:r>
            <w:r w:rsidRPr="00332B4D">
              <w:rPr>
                <w:rFonts w:cs="Arial"/>
                <w:szCs w:val="20"/>
              </w:rPr>
              <w:t>e the</w:t>
            </w:r>
            <w:r w:rsidR="00AA48BF" w:rsidRPr="00332B4D">
              <w:rPr>
                <w:rFonts w:cs="Arial"/>
                <w:szCs w:val="20"/>
              </w:rPr>
              <w:t xml:space="preserve"> sediment suitability</w:t>
            </w:r>
            <w:r w:rsidR="003645EA" w:rsidRPr="00332B4D">
              <w:rPr>
                <w:rFonts w:cs="Arial"/>
                <w:szCs w:val="20"/>
              </w:rPr>
              <w:t xml:space="preserve"> (modification of sediment characteristics such as sediment grain size)</w:t>
            </w:r>
            <w:r w:rsidR="00AA48BF" w:rsidRPr="00332B4D">
              <w:rPr>
                <w:rFonts w:cs="Arial"/>
                <w:szCs w:val="20"/>
              </w:rPr>
              <w:t xml:space="preserve">, growth conditions and nutrient availability. </w:t>
            </w:r>
          </w:p>
          <w:p w14:paraId="7561B55F" w14:textId="77777777" w:rsidR="00711D42" w:rsidRPr="00332B4D" w:rsidRDefault="00711D42" w:rsidP="00332B4D">
            <w:pPr>
              <w:pStyle w:val="BodyTextNumbering"/>
              <w:numPr>
                <w:ilvl w:val="0"/>
                <w:numId w:val="19"/>
              </w:numPr>
              <w:spacing w:before="0" w:after="50"/>
              <w:rPr>
                <w:rFonts w:cs="Arial"/>
                <w:szCs w:val="20"/>
              </w:rPr>
            </w:pPr>
            <w:r w:rsidRPr="00332B4D">
              <w:rPr>
                <w:rFonts w:cs="Arial"/>
                <w:szCs w:val="20"/>
              </w:rPr>
              <w:t>Removal of sediment through works activities (such as dredging) or through erosion from altered hydrodynamics (such as from vessels) can lead to the area no longer bei</w:t>
            </w:r>
            <w:r w:rsidR="00C01526" w:rsidRPr="00332B4D">
              <w:rPr>
                <w:rFonts w:cs="Arial"/>
                <w:szCs w:val="20"/>
              </w:rPr>
              <w:t xml:space="preserve">ng suitable for seagrass growth, by removing sediment around the root system or </w:t>
            </w:r>
            <w:r w:rsidRPr="00332B4D">
              <w:rPr>
                <w:rFonts w:cs="Arial"/>
                <w:szCs w:val="20"/>
              </w:rPr>
              <w:t xml:space="preserve">due to increased depth of substrate and reduced light reaching seagrass. </w:t>
            </w:r>
          </w:p>
          <w:p w14:paraId="4077F805" w14:textId="77777777" w:rsidR="004F24E0" w:rsidRPr="00332B4D" w:rsidRDefault="004F24E0" w:rsidP="00332B4D">
            <w:pPr>
              <w:pStyle w:val="BodyTextNumbering"/>
              <w:numPr>
                <w:ilvl w:val="0"/>
                <w:numId w:val="19"/>
              </w:numPr>
              <w:spacing w:before="0" w:after="50"/>
              <w:rPr>
                <w:rFonts w:cs="Arial"/>
                <w:szCs w:val="20"/>
              </w:rPr>
            </w:pPr>
            <w:r w:rsidRPr="00332B4D">
              <w:rPr>
                <w:rFonts w:cs="Arial"/>
                <w:szCs w:val="20"/>
              </w:rPr>
              <w:t xml:space="preserve">Increased turbidity due to changes in hydrodynamics may </w:t>
            </w:r>
            <w:r w:rsidR="00711D42" w:rsidRPr="00332B4D">
              <w:rPr>
                <w:rFonts w:cs="Arial"/>
                <w:szCs w:val="20"/>
              </w:rPr>
              <w:t xml:space="preserve">reduce light conditions (see ‘change in light’ hazard above). </w:t>
            </w:r>
          </w:p>
          <w:p w14:paraId="5572B10E" w14:textId="44D9D07A" w:rsidR="00856D74" w:rsidRPr="00332B4D" w:rsidRDefault="00BC5A4C" w:rsidP="00332B4D">
            <w:pPr>
              <w:pStyle w:val="BodyTextNumbering"/>
              <w:numPr>
                <w:ilvl w:val="0"/>
                <w:numId w:val="19"/>
              </w:numPr>
              <w:spacing w:before="0" w:after="50"/>
              <w:rPr>
                <w:rFonts w:cs="Arial"/>
                <w:szCs w:val="20"/>
              </w:rPr>
            </w:pPr>
            <w:r w:rsidRPr="00332B4D">
              <w:rPr>
                <w:rFonts w:cs="Arial"/>
                <w:szCs w:val="20"/>
              </w:rPr>
              <w:t>B</w:t>
            </w:r>
            <w:r w:rsidR="00764940" w:rsidRPr="00332B4D">
              <w:rPr>
                <w:rFonts w:cs="Arial"/>
                <w:szCs w:val="20"/>
              </w:rPr>
              <w:t xml:space="preserve">uild-up </w:t>
            </w:r>
            <w:r w:rsidR="004F24E0" w:rsidRPr="00332B4D">
              <w:rPr>
                <w:rFonts w:cs="Arial"/>
                <w:szCs w:val="20"/>
              </w:rPr>
              <w:t xml:space="preserve">of sediment </w:t>
            </w:r>
            <w:r w:rsidRPr="00332B4D">
              <w:rPr>
                <w:rFonts w:cs="Arial"/>
                <w:szCs w:val="20"/>
              </w:rPr>
              <w:t xml:space="preserve">can </w:t>
            </w:r>
            <w:r w:rsidR="00764940" w:rsidRPr="00332B4D">
              <w:rPr>
                <w:rFonts w:cs="Arial"/>
                <w:szCs w:val="20"/>
              </w:rPr>
              <w:t>lead to increased periods of low tide exposure and higher temperatures</w:t>
            </w:r>
            <w:r w:rsidR="003645EA" w:rsidRPr="00332B4D">
              <w:rPr>
                <w:rFonts w:cs="Arial"/>
                <w:szCs w:val="20"/>
              </w:rPr>
              <w:t xml:space="preserve"> resulting in stress and seagrass </w:t>
            </w:r>
            <w:r w:rsidR="00332B4D">
              <w:rPr>
                <w:rFonts w:cs="Arial"/>
                <w:szCs w:val="20"/>
              </w:rPr>
              <w:t>mortality</w:t>
            </w:r>
            <w:r w:rsidR="00764940" w:rsidRPr="00332B4D">
              <w:rPr>
                <w:rFonts w:cs="Arial"/>
                <w:szCs w:val="20"/>
              </w:rPr>
              <w:t>.</w:t>
            </w:r>
            <w:r w:rsidR="00CD706C" w:rsidRPr="00332B4D">
              <w:rPr>
                <w:rFonts w:cs="Arial"/>
                <w:szCs w:val="20"/>
              </w:rPr>
              <w:t xml:space="preserve"> </w:t>
            </w:r>
            <w:r w:rsidRPr="00332B4D">
              <w:rPr>
                <w:rFonts w:cs="Arial"/>
                <w:szCs w:val="20"/>
              </w:rPr>
              <w:t>S</w:t>
            </w:r>
            <w:r w:rsidR="00CD706C" w:rsidRPr="00332B4D">
              <w:rPr>
                <w:rFonts w:cs="Arial"/>
                <w:szCs w:val="20"/>
              </w:rPr>
              <w:t xml:space="preserve">ediment particles settling on </w:t>
            </w:r>
            <w:r w:rsidR="006911AA" w:rsidRPr="00332B4D">
              <w:rPr>
                <w:rFonts w:cs="Arial"/>
                <w:szCs w:val="20"/>
              </w:rPr>
              <w:t xml:space="preserve">and smothering </w:t>
            </w:r>
            <w:r w:rsidR="00CD706C" w:rsidRPr="00332B4D">
              <w:rPr>
                <w:rFonts w:cs="Arial"/>
                <w:szCs w:val="20"/>
              </w:rPr>
              <w:t>seagrass, reducing light</w:t>
            </w:r>
            <w:r w:rsidR="00332B4D">
              <w:rPr>
                <w:rFonts w:cs="Arial"/>
                <w:szCs w:val="20"/>
              </w:rPr>
              <w:t>,</w:t>
            </w:r>
            <w:r w:rsidR="00CD706C" w:rsidRPr="00332B4D">
              <w:rPr>
                <w:rFonts w:cs="Arial"/>
                <w:szCs w:val="20"/>
              </w:rPr>
              <w:t xml:space="preserve"> thus decreasing photosynthesis</w:t>
            </w:r>
            <w:r w:rsidR="00711D42" w:rsidRPr="00332B4D">
              <w:rPr>
                <w:rFonts w:cs="Arial"/>
                <w:szCs w:val="20"/>
              </w:rPr>
              <w:t xml:space="preserve"> (see ‘change in sedimentation’ hazard below)</w:t>
            </w:r>
            <w:r w:rsidR="00CD706C" w:rsidRPr="00332B4D">
              <w:rPr>
                <w:rFonts w:cs="Arial"/>
                <w:szCs w:val="20"/>
              </w:rPr>
              <w:t xml:space="preserve">. </w:t>
            </w:r>
          </w:p>
          <w:p w14:paraId="2BFF4CBD" w14:textId="657FF499" w:rsidR="00A041CF" w:rsidRPr="00332B4D" w:rsidRDefault="00856D74" w:rsidP="00332B4D">
            <w:pPr>
              <w:pStyle w:val="BodyTextNumbering"/>
              <w:numPr>
                <w:ilvl w:val="0"/>
                <w:numId w:val="19"/>
              </w:numPr>
              <w:spacing w:before="0" w:after="50"/>
              <w:rPr>
                <w:rFonts w:cs="Arial"/>
                <w:szCs w:val="20"/>
              </w:rPr>
            </w:pPr>
            <w:r w:rsidRPr="00332B4D">
              <w:rPr>
                <w:rFonts w:cs="Arial"/>
                <w:color w:val="auto"/>
                <w:szCs w:val="20"/>
              </w:rPr>
              <w:t>Negative changes to seagrass health and ecosystem function have flow-on implications for biodiversity values, social values, and Traditional Owner values.</w:t>
            </w:r>
          </w:p>
        </w:tc>
        <w:tc>
          <w:tcPr>
            <w:tcW w:w="8788" w:type="dxa"/>
          </w:tcPr>
          <w:p w14:paraId="7C2FC2A7" w14:textId="1C401D0C" w:rsidR="001B432F" w:rsidRPr="00332B4D" w:rsidRDefault="00182F91" w:rsidP="00332B4D">
            <w:pPr>
              <w:pStyle w:val="BodyTextNumbering"/>
              <w:numPr>
                <w:ilvl w:val="0"/>
                <w:numId w:val="19"/>
              </w:numPr>
              <w:spacing w:before="0" w:after="50"/>
              <w:rPr>
                <w:rFonts w:cs="Arial"/>
                <w:szCs w:val="20"/>
              </w:rPr>
            </w:pPr>
            <w:r w:rsidRPr="00332B4D">
              <w:rPr>
                <w:rFonts w:cs="Arial"/>
                <w:szCs w:val="20"/>
              </w:rPr>
              <w:t>Avoid activities that may cause the direct or indirect change in coastal profiles, including long-shore drift, erosion and accreti</w:t>
            </w:r>
            <w:r w:rsidR="00A121EC">
              <w:rPr>
                <w:rFonts w:cs="Arial"/>
                <w:szCs w:val="20"/>
              </w:rPr>
              <w:t>on. Primarily relevant to works-</w:t>
            </w:r>
            <w:r w:rsidRPr="00332B4D">
              <w:rPr>
                <w:rFonts w:cs="Arial"/>
                <w:szCs w:val="20"/>
              </w:rPr>
              <w:t>related activities but also to vessel traffic, particularly those vessels accessing shallow areas (such as barges with beach access).</w:t>
            </w:r>
          </w:p>
          <w:p w14:paraId="4F4B7242" w14:textId="1B8F93F6" w:rsidR="00CD706C" w:rsidRPr="00332B4D" w:rsidRDefault="00CD706C" w:rsidP="00332B4D">
            <w:pPr>
              <w:pStyle w:val="BodyTextNumbering"/>
              <w:numPr>
                <w:ilvl w:val="0"/>
                <w:numId w:val="19"/>
              </w:numPr>
              <w:spacing w:before="0" w:after="50"/>
              <w:rPr>
                <w:rFonts w:cs="Arial"/>
                <w:szCs w:val="20"/>
              </w:rPr>
            </w:pPr>
            <w:r w:rsidRPr="00332B4D">
              <w:rPr>
                <w:rFonts w:cs="Arial"/>
                <w:szCs w:val="20"/>
              </w:rPr>
              <w:t xml:space="preserve">Predictive modelling, such as three-dimensional models which consider intra and inter-annual variability of background environmental conditions (refer to </w:t>
            </w:r>
            <w:hyperlink r:id="rId65" w:history="1">
              <w:r w:rsidRPr="00332B4D">
                <w:rPr>
                  <w:rStyle w:val="Hyperlink"/>
                  <w:rFonts w:cs="Arial"/>
                  <w:szCs w:val="20"/>
                </w:rPr>
                <w:t>GBRMPA Hydrodynamic Numerical Modelling guidelines</w:t>
              </w:r>
            </w:hyperlink>
            <w:r w:rsidRPr="00332B4D">
              <w:rPr>
                <w:rFonts w:cs="Arial"/>
                <w:szCs w:val="20"/>
              </w:rPr>
              <w:t xml:space="preserve">). </w:t>
            </w:r>
          </w:p>
          <w:p w14:paraId="1C6B35E8" w14:textId="77777777" w:rsidR="00CD706C" w:rsidRPr="00332B4D" w:rsidRDefault="00CD706C" w:rsidP="00332B4D">
            <w:pPr>
              <w:pStyle w:val="BodyTextNumbering"/>
              <w:numPr>
                <w:ilvl w:val="0"/>
                <w:numId w:val="19"/>
              </w:numPr>
              <w:spacing w:before="0" w:after="50"/>
              <w:rPr>
                <w:rFonts w:cs="Arial"/>
                <w:szCs w:val="20"/>
              </w:rPr>
            </w:pPr>
            <w:r w:rsidRPr="00332B4D">
              <w:rPr>
                <w:rFonts w:cs="Arial"/>
                <w:szCs w:val="20"/>
              </w:rPr>
              <w:t xml:space="preserve">Test options for minimising changes to hydrodynamics. </w:t>
            </w:r>
          </w:p>
          <w:p w14:paraId="57FFB649" w14:textId="77777777" w:rsidR="00CD706C" w:rsidRPr="00332B4D" w:rsidRDefault="00CD706C" w:rsidP="00332B4D">
            <w:pPr>
              <w:pStyle w:val="BodyTextNumbering"/>
              <w:numPr>
                <w:ilvl w:val="0"/>
                <w:numId w:val="19"/>
              </w:numPr>
              <w:spacing w:before="0" w:after="50"/>
              <w:rPr>
                <w:rFonts w:cs="Arial"/>
                <w:szCs w:val="20"/>
              </w:rPr>
            </w:pPr>
            <w:r w:rsidRPr="00332B4D">
              <w:rPr>
                <w:rFonts w:cs="Arial"/>
                <w:szCs w:val="20"/>
              </w:rPr>
              <w:t>Monitor during works to assess any changes t</w:t>
            </w:r>
            <w:r w:rsidR="006911AA" w:rsidRPr="00332B4D">
              <w:rPr>
                <w:rFonts w:cs="Arial"/>
                <w:szCs w:val="20"/>
              </w:rPr>
              <w:t xml:space="preserve">o the site </w:t>
            </w:r>
            <w:r w:rsidRPr="00332B4D">
              <w:rPr>
                <w:rFonts w:cs="Arial"/>
                <w:szCs w:val="20"/>
              </w:rPr>
              <w:t>(including substrate stability).</w:t>
            </w:r>
          </w:p>
          <w:p w14:paraId="0800E06B" w14:textId="77777777" w:rsidR="00CD706C" w:rsidRPr="00332B4D" w:rsidRDefault="00CD706C" w:rsidP="00332B4D">
            <w:pPr>
              <w:pStyle w:val="BodyTextNumbering"/>
              <w:numPr>
                <w:ilvl w:val="0"/>
                <w:numId w:val="19"/>
              </w:numPr>
              <w:spacing w:before="0" w:after="50"/>
              <w:rPr>
                <w:rFonts w:cs="Arial"/>
                <w:szCs w:val="20"/>
              </w:rPr>
            </w:pPr>
            <w:r w:rsidRPr="00332B4D">
              <w:rPr>
                <w:rFonts w:cs="Arial"/>
                <w:szCs w:val="20"/>
              </w:rPr>
              <w:t xml:space="preserve">Restrict works to certain seasons, times or tidal cycles to reduce the impacts. </w:t>
            </w:r>
          </w:p>
          <w:p w14:paraId="24AE30CE" w14:textId="77777777" w:rsidR="006911AA" w:rsidRPr="00332B4D" w:rsidRDefault="006911AA" w:rsidP="00332B4D">
            <w:pPr>
              <w:pStyle w:val="BodyTextNumbering"/>
              <w:numPr>
                <w:ilvl w:val="0"/>
                <w:numId w:val="19"/>
              </w:numPr>
              <w:spacing w:before="0" w:after="50"/>
              <w:rPr>
                <w:rFonts w:cs="Arial"/>
                <w:szCs w:val="20"/>
              </w:rPr>
            </w:pPr>
            <w:r w:rsidRPr="00332B4D">
              <w:rPr>
                <w:rFonts w:cs="Arial"/>
                <w:szCs w:val="20"/>
              </w:rPr>
              <w:t>A combination of monitoring and modelling during activity to minimise the risk that suspended sediments will cause impacts on any nearby seagrass meadows.</w:t>
            </w:r>
          </w:p>
          <w:p w14:paraId="499310B3" w14:textId="680A68D8" w:rsidR="00AA48BF" w:rsidRPr="00332B4D" w:rsidRDefault="00764940" w:rsidP="00332B4D">
            <w:pPr>
              <w:pStyle w:val="BodyTextNumbering"/>
              <w:numPr>
                <w:ilvl w:val="0"/>
                <w:numId w:val="19"/>
              </w:numPr>
              <w:spacing w:before="0" w:after="50"/>
              <w:rPr>
                <w:rFonts w:cs="Arial"/>
                <w:szCs w:val="20"/>
              </w:rPr>
            </w:pPr>
            <w:r w:rsidRPr="00332B4D">
              <w:rPr>
                <w:rFonts w:cs="Arial"/>
                <w:szCs w:val="20"/>
              </w:rPr>
              <w:t xml:space="preserve">Implement </w:t>
            </w:r>
            <w:r w:rsidR="00A121EC">
              <w:rPr>
                <w:rFonts w:cs="Arial"/>
                <w:szCs w:val="20"/>
              </w:rPr>
              <w:t>“</w:t>
            </w:r>
            <w:r w:rsidRPr="00332B4D">
              <w:rPr>
                <w:rFonts w:cs="Arial"/>
                <w:szCs w:val="20"/>
              </w:rPr>
              <w:t>Go Slow</w:t>
            </w:r>
            <w:r w:rsidR="00A121EC">
              <w:rPr>
                <w:rFonts w:cs="Arial"/>
                <w:szCs w:val="20"/>
              </w:rPr>
              <w:t>”</w:t>
            </w:r>
            <w:r w:rsidRPr="00332B4D">
              <w:rPr>
                <w:rFonts w:cs="Arial"/>
                <w:szCs w:val="20"/>
              </w:rPr>
              <w:t xml:space="preserve"> zones (less than </w:t>
            </w:r>
            <w:r w:rsidR="006911AA" w:rsidRPr="00332B4D">
              <w:rPr>
                <w:rFonts w:cs="Arial"/>
                <w:szCs w:val="20"/>
              </w:rPr>
              <w:t>4 knots planing speed</w:t>
            </w:r>
            <w:r w:rsidRPr="00332B4D">
              <w:rPr>
                <w:rFonts w:cs="Arial"/>
                <w:szCs w:val="20"/>
              </w:rPr>
              <w:t>) for shallow areas to reduce stirring up sediments or scouring the sea</w:t>
            </w:r>
            <w:r w:rsidR="00182F91" w:rsidRPr="00332B4D">
              <w:rPr>
                <w:rFonts w:cs="Arial"/>
                <w:szCs w:val="20"/>
              </w:rPr>
              <w:t>floor</w:t>
            </w:r>
            <w:r w:rsidRPr="00332B4D">
              <w:rPr>
                <w:rFonts w:cs="Arial"/>
                <w:szCs w:val="20"/>
              </w:rPr>
              <w:t>.</w:t>
            </w:r>
          </w:p>
          <w:p w14:paraId="29F46FE8" w14:textId="77777777" w:rsidR="00747A12" w:rsidRPr="00332B4D" w:rsidRDefault="00747A12" w:rsidP="00332B4D">
            <w:pPr>
              <w:pStyle w:val="BodyTextNumbering"/>
              <w:numPr>
                <w:ilvl w:val="0"/>
                <w:numId w:val="19"/>
              </w:numPr>
              <w:spacing w:before="0" w:after="50"/>
              <w:rPr>
                <w:rFonts w:cs="Arial"/>
                <w:szCs w:val="20"/>
              </w:rPr>
            </w:pPr>
            <w:r w:rsidRPr="00332B4D">
              <w:rPr>
                <w:rFonts w:cs="Arial"/>
                <w:szCs w:val="20"/>
              </w:rPr>
              <w:t xml:space="preserve">Where applicable, monitoring program and adaptive management responses are specified in an Environmental Management Plan (refer to </w:t>
            </w:r>
            <w:hyperlink r:id="rId66" w:history="1">
              <w:r w:rsidRPr="00332B4D">
                <w:rPr>
                  <w:rStyle w:val="Hyperlink"/>
                  <w:rFonts w:cs="Arial"/>
                  <w:szCs w:val="20"/>
                </w:rPr>
                <w:t>Assessment Guidelines</w:t>
              </w:r>
            </w:hyperlink>
            <w:r w:rsidRPr="00332B4D">
              <w:rPr>
                <w:rFonts w:cs="Arial"/>
                <w:szCs w:val="20"/>
              </w:rPr>
              <w:t xml:space="preserve">).  </w:t>
            </w:r>
          </w:p>
        </w:tc>
      </w:tr>
      <w:tr w:rsidR="00764940" w:rsidRPr="00332B4D" w14:paraId="41B47C22" w14:textId="77777777" w:rsidTr="00A041CF">
        <w:tc>
          <w:tcPr>
            <w:tcW w:w="1730" w:type="dxa"/>
          </w:tcPr>
          <w:p w14:paraId="4106EE18" w14:textId="77777777" w:rsidR="00764940" w:rsidRPr="00332B4D" w:rsidRDefault="00764940" w:rsidP="00332B4D">
            <w:pPr>
              <w:pStyle w:val="FurtherInformationText"/>
              <w:spacing w:before="0" w:after="50"/>
              <w:rPr>
                <w:b/>
              </w:rPr>
            </w:pPr>
            <w:r w:rsidRPr="00332B4D">
              <w:rPr>
                <w:b/>
              </w:rPr>
              <w:t>Change in ecological processes</w:t>
            </w:r>
          </w:p>
        </w:tc>
        <w:tc>
          <w:tcPr>
            <w:tcW w:w="2835" w:type="dxa"/>
          </w:tcPr>
          <w:p w14:paraId="41E8E8DC" w14:textId="77777777" w:rsidR="00392DC4" w:rsidRPr="00332B4D" w:rsidRDefault="00392DC4" w:rsidP="00332B4D">
            <w:pPr>
              <w:pStyle w:val="BodyTextNumbering"/>
              <w:numPr>
                <w:ilvl w:val="0"/>
                <w:numId w:val="18"/>
              </w:numPr>
              <w:spacing w:before="0" w:after="50"/>
              <w:ind w:left="357"/>
              <w:rPr>
                <w:rFonts w:cs="Arial"/>
                <w:szCs w:val="20"/>
              </w:rPr>
            </w:pPr>
            <w:r w:rsidRPr="00332B4D">
              <w:rPr>
                <w:rFonts w:cs="Arial"/>
                <w:szCs w:val="20"/>
              </w:rPr>
              <w:t>Carrying out works (dredging, dumping of spoil, harbour works, reclamation)</w:t>
            </w:r>
          </w:p>
          <w:p w14:paraId="1F3A071B" w14:textId="77777777" w:rsidR="00392DC4" w:rsidRPr="00332B4D" w:rsidRDefault="00392DC4" w:rsidP="00332B4D">
            <w:pPr>
              <w:pStyle w:val="BodyTextNumbering"/>
              <w:numPr>
                <w:ilvl w:val="0"/>
                <w:numId w:val="18"/>
              </w:numPr>
              <w:spacing w:before="0" w:after="50"/>
              <w:ind w:left="357"/>
              <w:rPr>
                <w:rFonts w:cs="Arial"/>
                <w:szCs w:val="20"/>
              </w:rPr>
            </w:pPr>
            <w:r w:rsidRPr="00332B4D">
              <w:rPr>
                <w:rFonts w:cs="Arial"/>
                <w:szCs w:val="20"/>
              </w:rPr>
              <w:t>Operating a facility</w:t>
            </w:r>
          </w:p>
          <w:p w14:paraId="102F5FB8" w14:textId="77777777" w:rsidR="00764940" w:rsidRPr="00332B4D" w:rsidRDefault="00392DC4" w:rsidP="00332B4D">
            <w:pPr>
              <w:pStyle w:val="BodyTextNumbering"/>
              <w:numPr>
                <w:ilvl w:val="0"/>
                <w:numId w:val="18"/>
              </w:numPr>
              <w:spacing w:before="0" w:after="50"/>
              <w:ind w:left="357"/>
              <w:rPr>
                <w:rFonts w:cs="Arial"/>
                <w:szCs w:val="20"/>
              </w:rPr>
            </w:pPr>
            <w:r w:rsidRPr="00332B4D">
              <w:rPr>
                <w:rFonts w:cs="Arial"/>
                <w:szCs w:val="20"/>
              </w:rPr>
              <w:t>Research, other than limited impact research</w:t>
            </w:r>
          </w:p>
        </w:tc>
        <w:tc>
          <w:tcPr>
            <w:tcW w:w="7655" w:type="dxa"/>
          </w:tcPr>
          <w:p w14:paraId="00EF11ED" w14:textId="77777777" w:rsidR="00F50EC2" w:rsidRPr="00332B4D" w:rsidRDefault="00F50EC2" w:rsidP="00332B4D">
            <w:pPr>
              <w:pStyle w:val="Subheading2"/>
              <w:numPr>
                <w:ilvl w:val="0"/>
                <w:numId w:val="17"/>
              </w:numPr>
              <w:spacing w:before="0" w:after="50"/>
              <w:ind w:left="357" w:right="-51"/>
              <w:rPr>
                <w:rFonts w:cs="Arial"/>
                <w:b w:val="0"/>
                <w:i w:val="0"/>
                <w:color w:val="auto"/>
                <w:szCs w:val="20"/>
              </w:rPr>
            </w:pPr>
            <w:r w:rsidRPr="00332B4D">
              <w:rPr>
                <w:rFonts w:cs="Arial"/>
                <w:b w:val="0"/>
                <w:i w:val="0"/>
                <w:color w:val="auto"/>
                <w:szCs w:val="20"/>
              </w:rPr>
              <w:t>Direct loss or physical damage to seagrass and seagrass meadows (resulting in habitat loss and degradation) has flow-on implications for reliant species – resulting in altered feeding behaviour, displacement as they move away in search for more abundant seagrass meadows, and become malnourished reducing their fitness. Their resilience to other pressures (for example declining water quality, natural extreme weather events, such as floods and cyclones) can also be compromised.</w:t>
            </w:r>
          </w:p>
          <w:p w14:paraId="6E8F5104" w14:textId="77777777" w:rsidR="00F50EC2" w:rsidRPr="00332B4D" w:rsidRDefault="00F50EC2" w:rsidP="00332B4D">
            <w:pPr>
              <w:pStyle w:val="Subheading2"/>
              <w:numPr>
                <w:ilvl w:val="0"/>
                <w:numId w:val="17"/>
              </w:numPr>
              <w:spacing w:before="0" w:after="50"/>
              <w:ind w:left="357" w:right="-51"/>
              <w:rPr>
                <w:rFonts w:cs="Arial"/>
                <w:color w:val="auto"/>
                <w:szCs w:val="20"/>
              </w:rPr>
            </w:pPr>
            <w:r w:rsidRPr="00332B4D">
              <w:rPr>
                <w:rFonts w:cs="Arial"/>
                <w:b w:val="0"/>
                <w:i w:val="0"/>
                <w:color w:val="auto"/>
                <w:szCs w:val="20"/>
              </w:rPr>
              <w:t xml:space="preserve">Changes to species composition may occur in the short and longer terms. Different seagrass species have differing abilities to recover from disturbance and stress. For example </w:t>
            </w:r>
            <w:r w:rsidRPr="00332B4D">
              <w:rPr>
                <w:rFonts w:cs="Arial"/>
                <w:b w:val="0"/>
                <w:color w:val="auto"/>
                <w:szCs w:val="20"/>
              </w:rPr>
              <w:t>Halophila</w:t>
            </w:r>
            <w:r w:rsidRPr="00332B4D">
              <w:rPr>
                <w:rFonts w:cs="Arial"/>
                <w:b w:val="0"/>
                <w:i w:val="0"/>
                <w:color w:val="auto"/>
                <w:szCs w:val="20"/>
              </w:rPr>
              <w:t xml:space="preserve"> species can recover rapidly and is often found colonising disturbed areas, such as dredge spoil disposal sites. Other species have significantly longer recovery times or may not recover at all.</w:t>
            </w:r>
          </w:p>
          <w:p w14:paraId="0B23EED5" w14:textId="77777777" w:rsidR="001E1774" w:rsidRPr="00332B4D" w:rsidRDefault="000406BD" w:rsidP="00332B4D">
            <w:pPr>
              <w:pStyle w:val="Subheading2"/>
              <w:numPr>
                <w:ilvl w:val="0"/>
                <w:numId w:val="17"/>
              </w:numPr>
              <w:spacing w:before="0" w:after="50"/>
              <w:ind w:left="357" w:right="-51"/>
              <w:rPr>
                <w:rFonts w:cs="Arial"/>
                <w:b w:val="0"/>
                <w:i w:val="0"/>
                <w:color w:val="auto"/>
                <w:szCs w:val="20"/>
              </w:rPr>
            </w:pPr>
            <w:r w:rsidRPr="00332B4D">
              <w:rPr>
                <w:rFonts w:cs="Arial"/>
                <w:b w:val="0"/>
                <w:i w:val="0"/>
                <w:color w:val="auto"/>
                <w:szCs w:val="20"/>
              </w:rPr>
              <w:t>Changes in ecological function of seagrass meadows has flow on implications for the integrity and health of other ecosystems (such as coral reefs, and mangroves)</w:t>
            </w:r>
            <w:r w:rsidR="006B490B" w:rsidRPr="00332B4D">
              <w:rPr>
                <w:rFonts w:cs="Arial"/>
                <w:b w:val="0"/>
                <w:i w:val="0"/>
                <w:color w:val="auto"/>
                <w:szCs w:val="20"/>
              </w:rPr>
              <w:t xml:space="preserve"> and their values</w:t>
            </w:r>
            <w:r w:rsidRPr="00332B4D">
              <w:rPr>
                <w:rFonts w:cs="Arial"/>
                <w:b w:val="0"/>
                <w:i w:val="0"/>
                <w:color w:val="auto"/>
                <w:szCs w:val="20"/>
              </w:rPr>
              <w:t xml:space="preserve">, as all </w:t>
            </w:r>
            <w:r w:rsidR="006B490B" w:rsidRPr="00332B4D">
              <w:rPr>
                <w:rFonts w:cs="Arial"/>
                <w:b w:val="0"/>
                <w:i w:val="0"/>
                <w:color w:val="auto"/>
                <w:szCs w:val="20"/>
              </w:rPr>
              <w:t xml:space="preserve">ecosystems are interconnected. </w:t>
            </w:r>
          </w:p>
          <w:p w14:paraId="7C8E2170" w14:textId="6259CA47" w:rsidR="00A041CF" w:rsidRPr="00332B4D" w:rsidRDefault="00856D74" w:rsidP="00332B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Negative changes to seagrass health and ecosystem function have flow-on implications for biodiversity values, social values, and Traditional Owner values.</w:t>
            </w:r>
          </w:p>
        </w:tc>
        <w:tc>
          <w:tcPr>
            <w:tcW w:w="8788" w:type="dxa"/>
          </w:tcPr>
          <w:p w14:paraId="18C8FD27" w14:textId="5CE0247D" w:rsidR="00427EB1" w:rsidRPr="00332B4D" w:rsidRDefault="00D501D6" w:rsidP="00332B4D">
            <w:pPr>
              <w:pStyle w:val="Subheading2"/>
              <w:numPr>
                <w:ilvl w:val="0"/>
                <w:numId w:val="15"/>
              </w:numPr>
              <w:spacing w:before="0" w:after="50"/>
              <w:ind w:left="357" w:right="-51"/>
              <w:rPr>
                <w:rFonts w:cs="Arial"/>
                <w:b w:val="0"/>
                <w:i w:val="0"/>
                <w:color w:val="auto"/>
                <w:szCs w:val="20"/>
              </w:rPr>
            </w:pPr>
            <w:r w:rsidRPr="00332B4D">
              <w:rPr>
                <w:rFonts w:cs="Arial"/>
                <w:b w:val="0"/>
                <w:i w:val="0"/>
                <w:color w:val="auto"/>
                <w:szCs w:val="20"/>
              </w:rPr>
              <w:t xml:space="preserve">The </w:t>
            </w:r>
            <w:r w:rsidR="00065F7E" w:rsidRPr="00332B4D">
              <w:rPr>
                <w:rFonts w:cs="Arial"/>
                <w:b w:val="0"/>
                <w:i w:val="0"/>
                <w:color w:val="auto"/>
                <w:szCs w:val="20"/>
              </w:rPr>
              <w:t>vulnerability</w:t>
            </w:r>
            <w:r w:rsidRPr="00332B4D">
              <w:rPr>
                <w:rFonts w:cs="Arial"/>
                <w:b w:val="0"/>
                <w:i w:val="0"/>
                <w:color w:val="auto"/>
                <w:szCs w:val="20"/>
              </w:rPr>
              <w:t xml:space="preserve"> of seagrass species </w:t>
            </w:r>
            <w:r w:rsidR="00065F7E" w:rsidRPr="00332B4D">
              <w:rPr>
                <w:rFonts w:cs="Arial"/>
                <w:b w:val="0"/>
                <w:i w:val="0"/>
                <w:color w:val="auto"/>
                <w:szCs w:val="20"/>
              </w:rPr>
              <w:t xml:space="preserve">and the capacity of species </w:t>
            </w:r>
            <w:r w:rsidRPr="00332B4D">
              <w:rPr>
                <w:rFonts w:cs="Arial"/>
                <w:b w:val="0"/>
                <w:i w:val="0"/>
                <w:color w:val="auto"/>
                <w:szCs w:val="20"/>
              </w:rPr>
              <w:t xml:space="preserve">to recover is </w:t>
            </w:r>
            <w:r w:rsidR="00427EB1" w:rsidRPr="00332B4D">
              <w:rPr>
                <w:rFonts w:cs="Arial"/>
                <w:b w:val="0"/>
                <w:i w:val="0"/>
                <w:color w:val="auto"/>
                <w:szCs w:val="20"/>
              </w:rPr>
              <w:t xml:space="preserve">understood. Assess the vulnerability and resilience of the overall ecosystem and its values, the sensitivity of the value (based on past, present and foreseeable future pressures) and their adaptive capacity (refer to </w:t>
            </w:r>
            <w:hyperlink r:id="rId67" w:history="1">
              <w:r w:rsidR="00AE7C7A" w:rsidRPr="00332B4D">
                <w:rPr>
                  <w:rStyle w:val="Hyperlink"/>
                  <w:rFonts w:cs="Arial"/>
                  <w:b w:val="0"/>
                  <w:i w:val="0"/>
                </w:rPr>
                <w:t>Cumulative Impact Management Policy</w:t>
              </w:r>
            </w:hyperlink>
            <w:r w:rsidR="00DE6A41" w:rsidRPr="00332B4D">
              <w:rPr>
                <w:rFonts w:cs="Arial"/>
                <w:b w:val="0"/>
                <w:color w:val="auto"/>
                <w:szCs w:val="20"/>
              </w:rPr>
              <w:t xml:space="preserve"> </w:t>
            </w:r>
            <w:r w:rsidR="00DE6A41" w:rsidRPr="00332B4D">
              <w:rPr>
                <w:rFonts w:cs="Arial"/>
                <w:b w:val="0"/>
                <w:i w:val="0"/>
                <w:color w:val="auto"/>
                <w:szCs w:val="20"/>
              </w:rPr>
              <w:t>(in draft))</w:t>
            </w:r>
            <w:r w:rsidR="00427EB1" w:rsidRPr="00332B4D">
              <w:rPr>
                <w:rFonts w:cs="Arial"/>
                <w:b w:val="0"/>
                <w:i w:val="0"/>
                <w:color w:val="auto"/>
                <w:szCs w:val="20"/>
              </w:rPr>
              <w:t xml:space="preserve">.  </w:t>
            </w:r>
          </w:p>
          <w:p w14:paraId="3B63199B" w14:textId="01BD8089" w:rsidR="006B4FDE" w:rsidRPr="00332B4D" w:rsidRDefault="008A320F" w:rsidP="00332B4D">
            <w:pPr>
              <w:pStyle w:val="Subheading2"/>
              <w:numPr>
                <w:ilvl w:val="0"/>
                <w:numId w:val="15"/>
              </w:numPr>
              <w:spacing w:before="0" w:after="50"/>
              <w:ind w:left="357" w:right="-51"/>
              <w:rPr>
                <w:rFonts w:cs="Arial"/>
                <w:b w:val="0"/>
                <w:i w:val="0"/>
                <w:color w:val="auto"/>
                <w:szCs w:val="20"/>
              </w:rPr>
            </w:pPr>
            <w:r w:rsidRPr="00332B4D">
              <w:rPr>
                <w:rFonts w:cs="Arial"/>
                <w:b w:val="0"/>
                <w:i w:val="0"/>
                <w:color w:val="auto"/>
                <w:szCs w:val="20"/>
              </w:rPr>
              <w:t xml:space="preserve">Where applicable, monitoring program and adaptive management responses are specified in an Environmental Management Plan (refer to </w:t>
            </w:r>
            <w:hyperlink r:id="rId68" w:history="1">
              <w:r w:rsidRPr="00332B4D">
                <w:rPr>
                  <w:rStyle w:val="Hyperlink"/>
                  <w:rFonts w:cs="Arial"/>
                  <w:b w:val="0"/>
                  <w:i w:val="0"/>
                  <w:szCs w:val="20"/>
                </w:rPr>
                <w:t>Assessment Guidelines</w:t>
              </w:r>
            </w:hyperlink>
            <w:r w:rsidRPr="00332B4D">
              <w:rPr>
                <w:rFonts w:cs="Arial"/>
                <w:b w:val="0"/>
                <w:i w:val="0"/>
                <w:color w:val="auto"/>
                <w:szCs w:val="20"/>
              </w:rPr>
              <w:t xml:space="preserve">), including long term monitoring program to ascertain changes to species composition and ecological processes of the exposed seagrass ecosystem. </w:t>
            </w:r>
          </w:p>
          <w:p w14:paraId="63DA1DC2" w14:textId="77777777" w:rsidR="00200422" w:rsidRPr="00332B4D" w:rsidRDefault="00200422" w:rsidP="00332B4D">
            <w:pPr>
              <w:pStyle w:val="Subheading2"/>
              <w:numPr>
                <w:ilvl w:val="0"/>
                <w:numId w:val="15"/>
              </w:numPr>
              <w:spacing w:before="0" w:after="50"/>
              <w:ind w:left="357" w:right="-51"/>
              <w:rPr>
                <w:rFonts w:cs="Arial"/>
                <w:b w:val="0"/>
                <w:i w:val="0"/>
                <w:color w:val="auto"/>
                <w:szCs w:val="20"/>
              </w:rPr>
            </w:pPr>
            <w:r w:rsidRPr="00332B4D">
              <w:rPr>
                <w:rFonts w:cs="Arial"/>
                <w:b w:val="0"/>
                <w:i w:val="0"/>
                <w:color w:val="auto"/>
                <w:szCs w:val="20"/>
              </w:rPr>
              <w:t>Refer to other hazards for other applicable avoidance, mitigation and monitoring measures.</w:t>
            </w:r>
          </w:p>
        </w:tc>
      </w:tr>
      <w:tr w:rsidR="00764940" w:rsidRPr="00332B4D" w14:paraId="043EBB01" w14:textId="77777777" w:rsidTr="00A041CF">
        <w:tc>
          <w:tcPr>
            <w:tcW w:w="1730" w:type="dxa"/>
          </w:tcPr>
          <w:p w14:paraId="440B0A54" w14:textId="77777777" w:rsidR="00764940" w:rsidRPr="00332B4D" w:rsidRDefault="00764940" w:rsidP="00332B4D">
            <w:pPr>
              <w:pStyle w:val="FurtherInformationText"/>
              <w:spacing w:before="0" w:after="50"/>
              <w:rPr>
                <w:b/>
              </w:rPr>
            </w:pPr>
            <w:r w:rsidRPr="00332B4D">
              <w:rPr>
                <w:b/>
              </w:rPr>
              <w:t xml:space="preserve">Change in </w:t>
            </w:r>
            <w:r w:rsidRPr="00332B4D">
              <w:rPr>
                <w:b/>
              </w:rPr>
              <w:lastRenderedPageBreak/>
              <w:t>nutrients</w:t>
            </w:r>
            <w:r w:rsidR="00E96FE7" w:rsidRPr="00332B4D">
              <w:rPr>
                <w:b/>
              </w:rPr>
              <w:t xml:space="preserve"> </w:t>
            </w:r>
          </w:p>
        </w:tc>
        <w:tc>
          <w:tcPr>
            <w:tcW w:w="2835" w:type="dxa"/>
          </w:tcPr>
          <w:p w14:paraId="76981A85" w14:textId="77777777" w:rsidR="00392DC4" w:rsidRPr="00332B4D" w:rsidRDefault="00392DC4" w:rsidP="00332B4D">
            <w:pPr>
              <w:pStyle w:val="BodyTextNumbering"/>
              <w:numPr>
                <w:ilvl w:val="0"/>
                <w:numId w:val="17"/>
              </w:numPr>
              <w:spacing w:before="0" w:after="50"/>
              <w:rPr>
                <w:rFonts w:cs="Arial"/>
                <w:szCs w:val="20"/>
              </w:rPr>
            </w:pPr>
            <w:r w:rsidRPr="00332B4D">
              <w:rPr>
                <w:rFonts w:cs="Arial"/>
                <w:szCs w:val="20"/>
              </w:rPr>
              <w:lastRenderedPageBreak/>
              <w:t xml:space="preserve">Carrying out works </w:t>
            </w:r>
            <w:r w:rsidRPr="00332B4D">
              <w:rPr>
                <w:rFonts w:cs="Arial"/>
                <w:szCs w:val="20"/>
              </w:rPr>
              <w:lastRenderedPageBreak/>
              <w:t>(dredging, dumping of spoil, harbour works, reclamation)</w:t>
            </w:r>
          </w:p>
          <w:p w14:paraId="443E50A2" w14:textId="6746FB52" w:rsidR="00764940" w:rsidRPr="00332B4D" w:rsidRDefault="00392DC4" w:rsidP="00332B4D">
            <w:pPr>
              <w:pStyle w:val="BodyTextNumbering"/>
              <w:numPr>
                <w:ilvl w:val="0"/>
                <w:numId w:val="17"/>
              </w:numPr>
              <w:spacing w:before="0" w:after="50"/>
              <w:rPr>
                <w:rFonts w:cs="Arial"/>
                <w:szCs w:val="20"/>
              </w:rPr>
            </w:pPr>
            <w:r w:rsidRPr="00332B4D">
              <w:rPr>
                <w:rFonts w:cs="Arial"/>
                <w:szCs w:val="20"/>
              </w:rPr>
              <w:t>Operating a facility</w:t>
            </w:r>
            <w:r w:rsidR="00C11AC4" w:rsidRPr="00332B4D">
              <w:rPr>
                <w:rFonts w:cs="Arial"/>
                <w:szCs w:val="20"/>
              </w:rPr>
              <w:t xml:space="preserve"> (including discharge from facility)</w:t>
            </w:r>
          </w:p>
          <w:p w14:paraId="25A83B7B" w14:textId="420E1897" w:rsidR="00E13173" w:rsidRPr="00332B4D" w:rsidRDefault="00392DC4" w:rsidP="00332B4D">
            <w:pPr>
              <w:pStyle w:val="BodyTextNumbering"/>
              <w:numPr>
                <w:ilvl w:val="0"/>
                <w:numId w:val="17"/>
              </w:numPr>
              <w:spacing w:before="0" w:after="50"/>
              <w:rPr>
                <w:rFonts w:cs="Arial"/>
                <w:szCs w:val="20"/>
              </w:rPr>
            </w:pPr>
            <w:r w:rsidRPr="00332B4D">
              <w:rPr>
                <w:rFonts w:cs="Arial"/>
                <w:szCs w:val="20"/>
              </w:rPr>
              <w:t>Conducting an aquaculture operation</w:t>
            </w:r>
          </w:p>
        </w:tc>
        <w:tc>
          <w:tcPr>
            <w:tcW w:w="7655" w:type="dxa"/>
          </w:tcPr>
          <w:p w14:paraId="6380051A" w14:textId="1020D54B" w:rsidR="00025322" w:rsidRPr="00332B4D" w:rsidRDefault="00025322" w:rsidP="00332B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lastRenderedPageBreak/>
              <w:t>Excess nutrient levels caused by runoff and</w:t>
            </w:r>
            <w:r w:rsidR="00DC64BC" w:rsidRPr="00332B4D">
              <w:rPr>
                <w:rFonts w:cs="Arial"/>
                <w:b w:val="0"/>
                <w:i w:val="0"/>
                <w:color w:val="auto"/>
                <w:szCs w:val="20"/>
              </w:rPr>
              <w:t>/or</w:t>
            </w:r>
            <w:r w:rsidRPr="00332B4D">
              <w:rPr>
                <w:rFonts w:cs="Arial"/>
                <w:b w:val="0"/>
                <w:i w:val="0"/>
                <w:color w:val="auto"/>
                <w:szCs w:val="20"/>
              </w:rPr>
              <w:t xml:space="preserve"> waste discharge can cause </w:t>
            </w:r>
            <w:r w:rsidRPr="00332B4D">
              <w:rPr>
                <w:rFonts w:cs="Arial"/>
                <w:b w:val="0"/>
                <w:i w:val="0"/>
                <w:color w:val="auto"/>
                <w:szCs w:val="20"/>
              </w:rPr>
              <w:lastRenderedPageBreak/>
              <w:t>blooms of algae</w:t>
            </w:r>
            <w:r w:rsidR="003C0552" w:rsidRPr="00332B4D">
              <w:rPr>
                <w:rFonts w:cs="Arial"/>
                <w:b w:val="0"/>
                <w:i w:val="0"/>
                <w:color w:val="auto"/>
                <w:szCs w:val="20"/>
              </w:rPr>
              <w:t xml:space="preserve">. The algae can be suspended in the water column or occur as epiphytic algal growth on seagrass leaves </w:t>
            </w:r>
            <w:r w:rsidRPr="00332B4D">
              <w:rPr>
                <w:rFonts w:cs="Arial"/>
                <w:b w:val="0"/>
                <w:i w:val="0"/>
                <w:color w:val="auto"/>
                <w:szCs w:val="20"/>
              </w:rPr>
              <w:t>that can shade seagrass</w:t>
            </w:r>
            <w:r w:rsidR="004F0F9B" w:rsidRPr="00332B4D">
              <w:rPr>
                <w:rFonts w:cs="Arial"/>
                <w:b w:val="0"/>
                <w:i w:val="0"/>
                <w:color w:val="auto"/>
                <w:szCs w:val="20"/>
              </w:rPr>
              <w:t xml:space="preserve">. </w:t>
            </w:r>
            <w:r w:rsidRPr="00332B4D">
              <w:rPr>
                <w:rFonts w:cs="Arial"/>
                <w:b w:val="0"/>
                <w:i w:val="0"/>
                <w:color w:val="auto"/>
                <w:szCs w:val="20"/>
              </w:rPr>
              <w:t xml:space="preserve">The reduction in light </w:t>
            </w:r>
            <w:r w:rsidR="003A6AE0" w:rsidRPr="00332B4D">
              <w:rPr>
                <w:rFonts w:cs="Arial"/>
                <w:b w:val="0"/>
                <w:i w:val="0"/>
                <w:color w:val="auto"/>
                <w:szCs w:val="20"/>
              </w:rPr>
              <w:t xml:space="preserve">caused by the algae can </w:t>
            </w:r>
            <w:r w:rsidRPr="00332B4D">
              <w:rPr>
                <w:rFonts w:cs="Arial"/>
                <w:b w:val="0"/>
                <w:i w:val="0"/>
                <w:color w:val="auto"/>
                <w:szCs w:val="20"/>
              </w:rPr>
              <w:t>decrease seagrass growth</w:t>
            </w:r>
            <w:r w:rsidR="001F0850" w:rsidRPr="00332B4D">
              <w:rPr>
                <w:rFonts w:cs="Arial"/>
                <w:b w:val="0"/>
                <w:i w:val="0"/>
                <w:color w:val="auto"/>
                <w:szCs w:val="20"/>
              </w:rPr>
              <w:t xml:space="preserve"> </w:t>
            </w:r>
            <w:r w:rsidR="00182452" w:rsidRPr="00332B4D">
              <w:rPr>
                <w:rFonts w:cs="Arial"/>
                <w:b w:val="0"/>
                <w:i w:val="0"/>
                <w:color w:val="auto"/>
                <w:szCs w:val="20"/>
              </w:rPr>
              <w:t xml:space="preserve">(and leaf densities) </w:t>
            </w:r>
            <w:r w:rsidR="001F0850" w:rsidRPr="00332B4D">
              <w:rPr>
                <w:rFonts w:cs="Arial"/>
                <w:b w:val="0"/>
                <w:i w:val="0"/>
                <w:color w:val="auto"/>
                <w:szCs w:val="20"/>
              </w:rPr>
              <w:t>through</w:t>
            </w:r>
            <w:r w:rsidR="00182452" w:rsidRPr="00332B4D">
              <w:rPr>
                <w:rFonts w:cs="Arial"/>
                <w:b w:val="0"/>
                <w:i w:val="0"/>
                <w:color w:val="auto"/>
                <w:szCs w:val="20"/>
              </w:rPr>
              <w:t xml:space="preserve"> reduced photosynthetic rate</w:t>
            </w:r>
            <w:r w:rsidRPr="00332B4D">
              <w:rPr>
                <w:rFonts w:cs="Arial"/>
                <w:b w:val="0"/>
                <w:i w:val="0"/>
                <w:color w:val="auto"/>
                <w:szCs w:val="20"/>
              </w:rPr>
              <w:t xml:space="preserve"> and </w:t>
            </w:r>
            <w:r w:rsidR="003A6AE0" w:rsidRPr="00332B4D">
              <w:rPr>
                <w:rFonts w:cs="Arial"/>
                <w:b w:val="0"/>
                <w:i w:val="0"/>
                <w:color w:val="auto"/>
                <w:szCs w:val="20"/>
              </w:rPr>
              <w:t xml:space="preserve">in some cases irreversibly </w:t>
            </w:r>
            <w:r w:rsidRPr="00332B4D">
              <w:rPr>
                <w:rFonts w:cs="Arial"/>
                <w:b w:val="0"/>
                <w:i w:val="0"/>
                <w:color w:val="auto"/>
                <w:szCs w:val="20"/>
              </w:rPr>
              <w:t xml:space="preserve">kill off whole </w:t>
            </w:r>
            <w:r w:rsidR="003A6AE0" w:rsidRPr="00332B4D">
              <w:rPr>
                <w:rFonts w:cs="Arial"/>
                <w:b w:val="0"/>
                <w:i w:val="0"/>
                <w:color w:val="auto"/>
                <w:szCs w:val="20"/>
              </w:rPr>
              <w:t>seagrass meadows</w:t>
            </w:r>
            <w:r w:rsidRPr="00332B4D">
              <w:rPr>
                <w:rFonts w:cs="Arial"/>
                <w:b w:val="0"/>
                <w:i w:val="0"/>
                <w:color w:val="auto"/>
                <w:szCs w:val="20"/>
              </w:rPr>
              <w:t>.</w:t>
            </w:r>
            <w:r w:rsidR="00B02304" w:rsidRPr="00332B4D">
              <w:rPr>
                <w:rFonts w:cs="Arial"/>
                <w:b w:val="0"/>
                <w:i w:val="0"/>
                <w:color w:val="auto"/>
                <w:szCs w:val="20"/>
              </w:rPr>
              <w:t xml:space="preserve"> Algae also reduces seagrass health by outcompeting for space and nutrients</w:t>
            </w:r>
            <w:r w:rsidR="00203D26" w:rsidRPr="00332B4D">
              <w:rPr>
                <w:rFonts w:cs="Arial"/>
                <w:b w:val="0"/>
                <w:i w:val="0"/>
                <w:color w:val="auto"/>
                <w:szCs w:val="20"/>
              </w:rPr>
              <w:t>.</w:t>
            </w:r>
            <w:r w:rsidR="00203D26" w:rsidRPr="00332B4D">
              <w:rPr>
                <w:rFonts w:cs="Arial"/>
                <w:b w:val="0"/>
                <w:i w:val="0"/>
                <w:color w:val="auto"/>
                <w:szCs w:val="20"/>
              </w:rPr>
              <w:fldChar w:fldCharType="begin"/>
            </w:r>
            <w:r w:rsidR="00EE558C" w:rsidRPr="00332B4D">
              <w:rPr>
                <w:rFonts w:cs="Arial"/>
                <w:b w:val="0"/>
                <w:i w:val="0"/>
                <w:color w:val="auto"/>
                <w:szCs w:val="20"/>
              </w:rPr>
              <w:instrText>ADDIN RW.CITE{{10641 Ralph,P.J. 2006; 21472 Burkholder,J.M. 2007;}}</w:instrText>
            </w:r>
            <w:r w:rsidR="00203D26" w:rsidRPr="00332B4D">
              <w:rPr>
                <w:rFonts w:cs="Arial"/>
                <w:b w:val="0"/>
                <w:i w:val="0"/>
                <w:color w:val="auto"/>
                <w:szCs w:val="20"/>
              </w:rPr>
              <w:fldChar w:fldCharType="separate"/>
            </w:r>
            <w:r w:rsidR="00EE558C" w:rsidRPr="00332B4D">
              <w:rPr>
                <w:rFonts w:cs="Arial"/>
                <w:b w:val="0"/>
                <w:i w:val="0"/>
                <w:color w:val="auto"/>
                <w:szCs w:val="20"/>
                <w:vertAlign w:val="superscript"/>
              </w:rPr>
              <w:t>25,26</w:t>
            </w:r>
            <w:r w:rsidR="00203D26" w:rsidRPr="00332B4D">
              <w:rPr>
                <w:rFonts w:cs="Arial"/>
                <w:b w:val="0"/>
                <w:i w:val="0"/>
                <w:color w:val="auto"/>
                <w:szCs w:val="20"/>
              </w:rPr>
              <w:fldChar w:fldCharType="end"/>
            </w:r>
            <w:r w:rsidR="00203D26" w:rsidRPr="00332B4D">
              <w:rPr>
                <w:rFonts w:cs="Arial"/>
                <w:b w:val="0"/>
                <w:i w:val="0"/>
                <w:color w:val="auto"/>
                <w:szCs w:val="20"/>
              </w:rPr>
              <w:t xml:space="preserve"> </w:t>
            </w:r>
          </w:p>
          <w:p w14:paraId="41509441" w14:textId="4984100C" w:rsidR="00025322" w:rsidRPr="00332B4D" w:rsidRDefault="00764940" w:rsidP="00332B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 xml:space="preserve">An increase in nutrients (up to a tipping point) may </w:t>
            </w:r>
            <w:r w:rsidR="00A121EC" w:rsidRPr="00332B4D">
              <w:rPr>
                <w:rFonts w:cs="Arial"/>
                <w:b w:val="0"/>
                <w:i w:val="0"/>
                <w:color w:val="auto"/>
                <w:szCs w:val="20"/>
              </w:rPr>
              <w:t>benefi</w:t>
            </w:r>
            <w:r w:rsidR="00A121EC">
              <w:rPr>
                <w:rFonts w:cs="Arial"/>
                <w:b w:val="0"/>
                <w:i w:val="0"/>
                <w:color w:val="auto"/>
                <w:szCs w:val="20"/>
              </w:rPr>
              <w:t>t</w:t>
            </w:r>
            <w:r w:rsidR="00A121EC" w:rsidRPr="00332B4D">
              <w:rPr>
                <w:rFonts w:cs="Arial"/>
                <w:b w:val="0"/>
                <w:i w:val="0"/>
                <w:color w:val="auto"/>
                <w:szCs w:val="20"/>
              </w:rPr>
              <w:t xml:space="preserve"> </w:t>
            </w:r>
            <w:r w:rsidRPr="00332B4D">
              <w:rPr>
                <w:rFonts w:cs="Arial"/>
                <w:b w:val="0"/>
                <w:i w:val="0"/>
                <w:color w:val="auto"/>
                <w:szCs w:val="20"/>
              </w:rPr>
              <w:t>seagrass, and can result in increased seagrass growth. However, pas</w:t>
            </w:r>
            <w:r w:rsidR="00A121EC">
              <w:rPr>
                <w:rFonts w:cs="Arial"/>
                <w:b w:val="0"/>
                <w:i w:val="0"/>
                <w:color w:val="auto"/>
                <w:szCs w:val="20"/>
              </w:rPr>
              <w:t>sing</w:t>
            </w:r>
            <w:r w:rsidRPr="00332B4D">
              <w:rPr>
                <w:rFonts w:cs="Arial"/>
                <w:b w:val="0"/>
                <w:i w:val="0"/>
                <w:color w:val="auto"/>
                <w:szCs w:val="20"/>
              </w:rPr>
              <w:t xml:space="preserve"> the tipping point can lead to negative impacts</w:t>
            </w:r>
            <w:r w:rsidR="00B02304" w:rsidRPr="00332B4D">
              <w:rPr>
                <w:rFonts w:cs="Arial"/>
                <w:b w:val="0"/>
                <w:i w:val="0"/>
                <w:color w:val="auto"/>
                <w:szCs w:val="20"/>
              </w:rPr>
              <w:t>,</w:t>
            </w:r>
            <w:r w:rsidR="00A757DF" w:rsidRPr="00332B4D">
              <w:rPr>
                <w:rFonts w:cs="Arial"/>
                <w:b w:val="0"/>
                <w:i w:val="0"/>
                <w:color w:val="auto"/>
                <w:szCs w:val="20"/>
              </w:rPr>
              <w:t xml:space="preserve"> for example high levels of inorganic Nitrogen can cause direct physical impacts</w:t>
            </w:r>
            <w:r w:rsidR="00B02304" w:rsidRPr="00332B4D">
              <w:rPr>
                <w:rFonts w:cs="Arial"/>
                <w:b w:val="0"/>
                <w:i w:val="0"/>
                <w:color w:val="auto"/>
                <w:szCs w:val="20"/>
              </w:rPr>
              <w:t xml:space="preserve"> </w:t>
            </w:r>
            <w:r w:rsidR="00A757DF" w:rsidRPr="00332B4D">
              <w:rPr>
                <w:rFonts w:cs="Arial"/>
                <w:b w:val="0"/>
                <w:i w:val="0"/>
                <w:color w:val="auto"/>
                <w:szCs w:val="20"/>
              </w:rPr>
              <w:t xml:space="preserve">(such as reduced growth and mortality) </w:t>
            </w:r>
            <w:r w:rsidR="00B02304" w:rsidRPr="00332B4D">
              <w:rPr>
                <w:rFonts w:cs="Arial"/>
                <w:b w:val="0"/>
                <w:i w:val="0"/>
                <w:color w:val="auto"/>
                <w:szCs w:val="20"/>
              </w:rPr>
              <w:t>in some species. Seagrass resilience</w:t>
            </w:r>
            <w:r w:rsidR="00785005" w:rsidRPr="00332B4D">
              <w:rPr>
                <w:rFonts w:cs="Arial"/>
                <w:b w:val="0"/>
                <w:i w:val="0"/>
                <w:color w:val="auto"/>
                <w:szCs w:val="20"/>
              </w:rPr>
              <w:t xml:space="preserve"> to high nutrient levels is</w:t>
            </w:r>
            <w:r w:rsidR="00B02304" w:rsidRPr="00332B4D">
              <w:rPr>
                <w:rFonts w:cs="Arial"/>
                <w:b w:val="0"/>
                <w:i w:val="0"/>
                <w:color w:val="auto"/>
                <w:szCs w:val="20"/>
              </w:rPr>
              <w:t xml:space="preserve"> </w:t>
            </w:r>
            <w:r w:rsidR="00785005" w:rsidRPr="00332B4D">
              <w:rPr>
                <w:rFonts w:cs="Arial"/>
                <w:b w:val="0"/>
                <w:i w:val="0"/>
                <w:color w:val="auto"/>
                <w:szCs w:val="20"/>
              </w:rPr>
              <w:t>dependent</w:t>
            </w:r>
            <w:r w:rsidR="00B02304" w:rsidRPr="00332B4D">
              <w:rPr>
                <w:rFonts w:cs="Arial"/>
                <w:b w:val="0"/>
                <w:i w:val="0"/>
                <w:color w:val="auto"/>
                <w:szCs w:val="20"/>
              </w:rPr>
              <w:t xml:space="preserve"> on light availability, temperature, balance of Carbon, Nitrogen, Phosphorus and r</w:t>
            </w:r>
            <w:r w:rsidR="00D96D4D">
              <w:rPr>
                <w:rFonts w:cs="Arial"/>
                <w:b w:val="0"/>
                <w:i w:val="0"/>
                <w:color w:val="auto"/>
                <w:szCs w:val="20"/>
              </w:rPr>
              <w:t>e</w:t>
            </w:r>
            <w:r w:rsidR="00B02304" w:rsidRPr="00332B4D">
              <w:rPr>
                <w:rFonts w:cs="Arial"/>
                <w:b w:val="0"/>
                <w:i w:val="0"/>
                <w:color w:val="auto"/>
                <w:szCs w:val="20"/>
              </w:rPr>
              <w:t>dox potential.</w:t>
            </w:r>
            <w:r w:rsidR="00B02304" w:rsidRPr="00332B4D">
              <w:rPr>
                <w:rFonts w:cs="Arial"/>
                <w:b w:val="0"/>
                <w:i w:val="0"/>
                <w:color w:val="auto"/>
                <w:szCs w:val="20"/>
              </w:rPr>
              <w:fldChar w:fldCharType="begin"/>
            </w:r>
            <w:r w:rsidR="00EE558C" w:rsidRPr="00332B4D">
              <w:rPr>
                <w:rFonts w:cs="Arial"/>
                <w:b w:val="0"/>
                <w:i w:val="0"/>
                <w:color w:val="auto"/>
                <w:szCs w:val="20"/>
              </w:rPr>
              <w:instrText>ADDIN RW.CITE{{10641 Ralph,P.J. 2006;}}</w:instrText>
            </w:r>
            <w:r w:rsidR="00B02304" w:rsidRPr="00332B4D">
              <w:rPr>
                <w:rFonts w:cs="Arial"/>
                <w:b w:val="0"/>
                <w:i w:val="0"/>
                <w:color w:val="auto"/>
                <w:szCs w:val="20"/>
              </w:rPr>
              <w:fldChar w:fldCharType="separate"/>
            </w:r>
            <w:r w:rsidR="00EE558C" w:rsidRPr="00332B4D">
              <w:rPr>
                <w:rFonts w:cs="Arial"/>
                <w:b w:val="0"/>
                <w:i w:val="0"/>
                <w:color w:val="auto"/>
                <w:szCs w:val="20"/>
                <w:vertAlign w:val="superscript"/>
              </w:rPr>
              <w:t>25</w:t>
            </w:r>
            <w:r w:rsidR="00B02304" w:rsidRPr="00332B4D">
              <w:rPr>
                <w:rFonts w:cs="Arial"/>
                <w:b w:val="0"/>
                <w:i w:val="0"/>
                <w:color w:val="auto"/>
                <w:szCs w:val="20"/>
              </w:rPr>
              <w:fldChar w:fldCharType="end"/>
            </w:r>
            <w:r w:rsidR="00B02304" w:rsidRPr="00332B4D">
              <w:rPr>
                <w:rFonts w:cs="Arial"/>
                <w:b w:val="0"/>
                <w:i w:val="0"/>
                <w:color w:val="auto"/>
                <w:szCs w:val="20"/>
              </w:rPr>
              <w:t xml:space="preserve"> </w:t>
            </w:r>
          </w:p>
          <w:p w14:paraId="3065BD53" w14:textId="43104290" w:rsidR="00DB4D87" w:rsidRPr="00332B4D" w:rsidRDefault="00DB4D87" w:rsidP="00332B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Seagrass sensitivity (adaptive capacity or recoverability) to dredge–related hazards is considered moderate for nutrient effect.</w:t>
            </w:r>
            <w:r w:rsidRPr="00332B4D">
              <w:rPr>
                <w:rFonts w:cs="Arial"/>
                <w:b w:val="0"/>
                <w:i w:val="0"/>
                <w:color w:val="auto"/>
                <w:szCs w:val="20"/>
              </w:rPr>
              <w:fldChar w:fldCharType="begin"/>
            </w:r>
            <w:r w:rsidR="00EE558C" w:rsidRPr="00332B4D">
              <w:rPr>
                <w:rFonts w:cs="Arial"/>
                <w:b w:val="0"/>
                <w:i w:val="0"/>
                <w:color w:val="auto"/>
                <w:szCs w:val="20"/>
              </w:rPr>
              <w:instrText>ADDIN RW.CITE{{23873 McCook,L. 2015;}}</w:instrText>
            </w:r>
            <w:r w:rsidRPr="00332B4D">
              <w:rPr>
                <w:rFonts w:cs="Arial"/>
                <w:b w:val="0"/>
                <w:i w:val="0"/>
                <w:color w:val="auto"/>
                <w:szCs w:val="20"/>
              </w:rPr>
              <w:fldChar w:fldCharType="separate"/>
            </w:r>
            <w:r w:rsidR="00EE558C" w:rsidRPr="00332B4D">
              <w:rPr>
                <w:rFonts w:cs="Arial"/>
                <w:b w:val="0"/>
                <w:i w:val="0"/>
                <w:color w:val="auto"/>
                <w:szCs w:val="20"/>
                <w:vertAlign w:val="superscript"/>
              </w:rPr>
              <w:t>20</w:t>
            </w:r>
            <w:r w:rsidRPr="00332B4D">
              <w:rPr>
                <w:rFonts w:cs="Arial"/>
                <w:b w:val="0"/>
                <w:i w:val="0"/>
                <w:color w:val="auto"/>
                <w:szCs w:val="20"/>
              </w:rPr>
              <w:fldChar w:fldCharType="end"/>
            </w:r>
            <w:r w:rsidRPr="00332B4D">
              <w:rPr>
                <w:rFonts w:cs="Arial"/>
                <w:b w:val="0"/>
                <w:i w:val="0"/>
                <w:color w:val="auto"/>
                <w:szCs w:val="20"/>
              </w:rPr>
              <w:t xml:space="preserve"> </w:t>
            </w:r>
          </w:p>
          <w:p w14:paraId="1470AFC7" w14:textId="5FECCF5C" w:rsidR="00A041CF" w:rsidRPr="00332B4D" w:rsidRDefault="00856D74" w:rsidP="00D077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Negative changes to seagrass health and ecosystem function have flow-on implications for biodiversity values, social values, and Traditional Owner values.</w:t>
            </w:r>
          </w:p>
        </w:tc>
        <w:tc>
          <w:tcPr>
            <w:tcW w:w="8788" w:type="dxa"/>
          </w:tcPr>
          <w:p w14:paraId="1D5A4333" w14:textId="6DE29171" w:rsidR="00D251BE" w:rsidRPr="00332B4D" w:rsidRDefault="00D251BE" w:rsidP="00332B4D">
            <w:pPr>
              <w:pStyle w:val="Subheading2"/>
              <w:numPr>
                <w:ilvl w:val="0"/>
                <w:numId w:val="15"/>
              </w:numPr>
              <w:spacing w:before="0" w:after="50"/>
              <w:ind w:right="-51"/>
              <w:rPr>
                <w:rFonts w:cs="Arial"/>
                <w:b w:val="0"/>
                <w:i w:val="0"/>
                <w:color w:val="auto"/>
                <w:szCs w:val="20"/>
              </w:rPr>
            </w:pPr>
            <w:r w:rsidRPr="00332B4D">
              <w:rPr>
                <w:rFonts w:cs="Arial"/>
                <w:b w:val="0"/>
                <w:i w:val="0"/>
                <w:color w:val="auto"/>
                <w:szCs w:val="20"/>
              </w:rPr>
              <w:lastRenderedPageBreak/>
              <w:t xml:space="preserve">Also refer to </w:t>
            </w:r>
            <w:r w:rsidR="00D0774D">
              <w:rPr>
                <w:rFonts w:cs="Arial"/>
                <w:b w:val="0"/>
                <w:i w:val="0"/>
                <w:color w:val="auto"/>
                <w:szCs w:val="20"/>
              </w:rPr>
              <w:t>‘c</w:t>
            </w:r>
            <w:r w:rsidRPr="00332B4D">
              <w:rPr>
                <w:rFonts w:cs="Arial"/>
                <w:b w:val="0"/>
                <w:i w:val="0"/>
                <w:color w:val="auto"/>
                <w:szCs w:val="20"/>
              </w:rPr>
              <w:t>hange in ecological processes</w:t>
            </w:r>
            <w:r w:rsidR="00D0774D">
              <w:rPr>
                <w:rFonts w:cs="Arial"/>
                <w:b w:val="0"/>
                <w:i w:val="0"/>
                <w:color w:val="auto"/>
                <w:szCs w:val="20"/>
              </w:rPr>
              <w:t>’</w:t>
            </w:r>
            <w:r w:rsidR="00E65E16" w:rsidRPr="00332B4D">
              <w:rPr>
                <w:rFonts w:cs="Arial"/>
                <w:b w:val="0"/>
                <w:i w:val="0"/>
                <w:color w:val="auto"/>
                <w:szCs w:val="20"/>
              </w:rPr>
              <w:t xml:space="preserve"> in this table</w:t>
            </w:r>
            <w:r w:rsidRPr="00332B4D">
              <w:rPr>
                <w:rFonts w:cs="Arial"/>
                <w:b w:val="0"/>
                <w:i w:val="0"/>
                <w:color w:val="auto"/>
                <w:szCs w:val="20"/>
              </w:rPr>
              <w:t>.</w:t>
            </w:r>
          </w:p>
          <w:p w14:paraId="42140FDB" w14:textId="77777777" w:rsidR="00A53CC8" w:rsidRPr="00332B4D" w:rsidRDefault="00764940" w:rsidP="00332B4D">
            <w:pPr>
              <w:pStyle w:val="Subheading2"/>
              <w:numPr>
                <w:ilvl w:val="0"/>
                <w:numId w:val="15"/>
              </w:numPr>
              <w:spacing w:before="0" w:after="50"/>
              <w:ind w:right="-51"/>
              <w:rPr>
                <w:rFonts w:cs="Arial"/>
                <w:b w:val="0"/>
                <w:i w:val="0"/>
                <w:color w:val="auto"/>
                <w:szCs w:val="20"/>
              </w:rPr>
            </w:pPr>
            <w:r w:rsidRPr="00332B4D">
              <w:rPr>
                <w:rFonts w:cs="Arial"/>
                <w:b w:val="0"/>
                <w:i w:val="0"/>
                <w:color w:val="auto"/>
                <w:szCs w:val="20"/>
              </w:rPr>
              <w:lastRenderedPageBreak/>
              <w:t>Avoid or reduce runoff and waste discharge.</w:t>
            </w:r>
          </w:p>
          <w:p w14:paraId="16A9B636" w14:textId="77777777" w:rsidR="000B6A39" w:rsidRPr="00332B4D" w:rsidRDefault="00A53CC8" w:rsidP="00332B4D">
            <w:pPr>
              <w:pStyle w:val="Subheading2"/>
              <w:numPr>
                <w:ilvl w:val="0"/>
                <w:numId w:val="15"/>
              </w:numPr>
              <w:spacing w:before="0" w:after="50"/>
              <w:ind w:right="-51"/>
              <w:rPr>
                <w:rFonts w:cs="Arial"/>
                <w:b w:val="0"/>
                <w:i w:val="0"/>
                <w:color w:val="auto"/>
                <w:szCs w:val="20"/>
              </w:rPr>
            </w:pPr>
            <w:r w:rsidRPr="00332B4D">
              <w:rPr>
                <w:rFonts w:cs="Arial"/>
                <w:b w:val="0"/>
                <w:i w:val="0"/>
                <w:color w:val="auto"/>
                <w:szCs w:val="20"/>
              </w:rPr>
              <w:t xml:space="preserve">Avoid waste discharge, including during extreme weather events, by ensuring appropriate buffering storage and </w:t>
            </w:r>
            <w:r w:rsidR="000B6A39" w:rsidRPr="00332B4D">
              <w:rPr>
                <w:rFonts w:cs="Arial"/>
                <w:b w:val="0"/>
                <w:i w:val="0"/>
                <w:color w:val="auto"/>
                <w:szCs w:val="20"/>
              </w:rPr>
              <w:t>processing facilities for waste.</w:t>
            </w:r>
          </w:p>
          <w:p w14:paraId="20DE73C0" w14:textId="07BFF888" w:rsidR="00747A12" w:rsidRPr="00332B4D" w:rsidRDefault="00747A12" w:rsidP="00332B4D">
            <w:pPr>
              <w:pStyle w:val="Subheading2"/>
              <w:numPr>
                <w:ilvl w:val="0"/>
                <w:numId w:val="15"/>
              </w:numPr>
              <w:spacing w:before="0" w:after="50"/>
              <w:ind w:right="-51"/>
              <w:rPr>
                <w:rFonts w:cs="Arial"/>
                <w:b w:val="0"/>
                <w:i w:val="0"/>
                <w:color w:val="auto"/>
                <w:szCs w:val="20"/>
              </w:rPr>
            </w:pPr>
            <w:r w:rsidRPr="00332B4D">
              <w:rPr>
                <w:rFonts w:cs="Arial"/>
                <w:b w:val="0"/>
                <w:i w:val="0"/>
                <w:color w:val="auto"/>
                <w:szCs w:val="20"/>
              </w:rPr>
              <w:t>Enact a robust management and monitoring plan covering habitats within and adjacent to the activity, to ensure nutrient supply is managed in a way that maintains seagrass health</w:t>
            </w:r>
            <w:r w:rsidR="00D251BE" w:rsidRPr="00332B4D">
              <w:rPr>
                <w:rFonts w:cs="Arial"/>
                <w:b w:val="0"/>
                <w:i w:val="0"/>
                <w:color w:val="auto"/>
                <w:szCs w:val="20"/>
              </w:rPr>
              <w:t xml:space="preserve"> and ecosystem integrity</w:t>
            </w:r>
            <w:r w:rsidRPr="00332B4D">
              <w:rPr>
                <w:rFonts w:cs="Arial"/>
                <w:b w:val="0"/>
                <w:i w:val="0"/>
                <w:color w:val="auto"/>
                <w:szCs w:val="20"/>
              </w:rPr>
              <w:t>.</w:t>
            </w:r>
          </w:p>
          <w:p w14:paraId="110B4579" w14:textId="77777777" w:rsidR="00A53CC8" w:rsidRPr="00332B4D" w:rsidRDefault="00747A12" w:rsidP="00332B4D">
            <w:pPr>
              <w:pStyle w:val="Subheading2"/>
              <w:numPr>
                <w:ilvl w:val="0"/>
                <w:numId w:val="15"/>
              </w:numPr>
              <w:spacing w:before="0" w:after="50"/>
              <w:ind w:right="-51"/>
              <w:rPr>
                <w:rFonts w:cs="Arial"/>
                <w:b w:val="0"/>
                <w:i w:val="0"/>
                <w:color w:val="auto"/>
                <w:szCs w:val="20"/>
              </w:rPr>
            </w:pPr>
            <w:r w:rsidRPr="00332B4D">
              <w:rPr>
                <w:rFonts w:cs="Arial"/>
                <w:b w:val="0"/>
                <w:i w:val="0"/>
                <w:szCs w:val="20"/>
              </w:rPr>
              <w:t>Conduct hydrodynamic modelling to predict plumes</w:t>
            </w:r>
            <w:r w:rsidRPr="00332B4D">
              <w:rPr>
                <w:rFonts w:cs="Arial"/>
                <w:b w:val="0"/>
                <w:i w:val="0"/>
                <w:color w:val="auto"/>
                <w:szCs w:val="20"/>
              </w:rPr>
              <w:t xml:space="preserve">. </w:t>
            </w:r>
          </w:p>
          <w:p w14:paraId="00E9658D" w14:textId="77777777" w:rsidR="0085337F" w:rsidRPr="00332B4D" w:rsidRDefault="0085337F" w:rsidP="00332B4D">
            <w:pPr>
              <w:pStyle w:val="Subheading2"/>
              <w:numPr>
                <w:ilvl w:val="0"/>
                <w:numId w:val="15"/>
              </w:numPr>
              <w:spacing w:before="0" w:after="50"/>
              <w:ind w:right="-51"/>
              <w:rPr>
                <w:rFonts w:cs="Arial"/>
                <w:b w:val="0"/>
                <w:i w:val="0"/>
                <w:color w:val="auto"/>
                <w:szCs w:val="20"/>
              </w:rPr>
            </w:pPr>
            <w:r w:rsidRPr="00332B4D">
              <w:rPr>
                <w:rFonts w:cs="Arial"/>
                <w:b w:val="0"/>
                <w:i w:val="0"/>
                <w:color w:val="auto"/>
                <w:szCs w:val="20"/>
              </w:rPr>
              <w:t>Site outfalls, including plume influence areas, away from seagrass meadows wherever possible.</w:t>
            </w:r>
          </w:p>
          <w:p w14:paraId="7874F9B0" w14:textId="2B24B3FA" w:rsidR="00A53CC8" w:rsidRPr="00332B4D" w:rsidRDefault="00A53CC8" w:rsidP="00332B4D">
            <w:pPr>
              <w:pStyle w:val="Subheading2"/>
              <w:numPr>
                <w:ilvl w:val="0"/>
                <w:numId w:val="15"/>
              </w:numPr>
              <w:spacing w:before="0" w:after="50"/>
              <w:ind w:right="-51"/>
              <w:rPr>
                <w:rFonts w:cs="Arial"/>
                <w:b w:val="0"/>
                <w:i w:val="0"/>
                <w:szCs w:val="20"/>
              </w:rPr>
            </w:pPr>
            <w:r w:rsidRPr="00332B4D">
              <w:rPr>
                <w:rFonts w:cs="Arial"/>
                <w:b w:val="0"/>
                <w:i w:val="0"/>
                <w:szCs w:val="20"/>
              </w:rPr>
              <w:t>Use modelling outputs along with works/operational monitoring (using parameters such as light/PAR and turbidity) and adaptive management response actions (such as stop works) based on appropriate ecologically relevant thresholds (such as minimum</w:t>
            </w:r>
            <w:r w:rsidR="00E948D3" w:rsidRPr="00332B4D">
              <w:rPr>
                <w:rFonts w:cs="Arial"/>
                <w:b w:val="0"/>
                <w:i w:val="0"/>
                <w:szCs w:val="20"/>
              </w:rPr>
              <w:t xml:space="preserve"> light requirement of seagrass</w:t>
            </w:r>
            <w:r w:rsidR="000E214B" w:rsidRPr="00332B4D">
              <w:rPr>
                <w:rFonts w:cs="Arial"/>
                <w:b w:val="0"/>
                <w:i w:val="0"/>
                <w:szCs w:val="20"/>
              </w:rPr>
              <w:t>)</w:t>
            </w:r>
            <w:r w:rsidR="006F35A3" w:rsidRPr="00332B4D">
              <w:rPr>
                <w:rFonts w:cs="Arial"/>
                <w:b w:val="0"/>
                <w:i w:val="0"/>
                <w:szCs w:val="20"/>
              </w:rPr>
              <w:t xml:space="preserve"> </w:t>
            </w:r>
            <w:r w:rsidR="00DA1FFC" w:rsidRPr="00332B4D">
              <w:rPr>
                <w:rFonts w:cs="Arial"/>
                <w:b w:val="0"/>
                <w:i w:val="0"/>
                <w:szCs w:val="20"/>
              </w:rPr>
              <w:t xml:space="preserve">and </w:t>
            </w:r>
            <w:r w:rsidRPr="00332B4D">
              <w:rPr>
                <w:rFonts w:cs="Arial"/>
                <w:b w:val="0"/>
                <w:i w:val="0"/>
                <w:szCs w:val="20"/>
              </w:rPr>
              <w:t>triggers.</w:t>
            </w:r>
          </w:p>
          <w:p w14:paraId="3A9BC0C3" w14:textId="77777777" w:rsidR="00A53CC8" w:rsidRPr="00332B4D" w:rsidRDefault="00A53CC8" w:rsidP="00332B4D">
            <w:pPr>
              <w:pStyle w:val="Subheading2"/>
              <w:numPr>
                <w:ilvl w:val="0"/>
                <w:numId w:val="15"/>
              </w:numPr>
              <w:spacing w:before="0" w:after="50"/>
              <w:ind w:right="-51"/>
              <w:rPr>
                <w:rFonts w:cs="Arial"/>
                <w:b w:val="0"/>
                <w:i w:val="0"/>
                <w:color w:val="auto"/>
                <w:szCs w:val="20"/>
              </w:rPr>
            </w:pPr>
            <w:r w:rsidRPr="00332B4D">
              <w:rPr>
                <w:rFonts w:cs="Arial"/>
                <w:b w:val="0"/>
                <w:i w:val="0"/>
                <w:szCs w:val="20"/>
              </w:rPr>
              <w:t xml:space="preserve">Monitoring program and adaptive management responses are specified in an Environmental Management Plan (refer to </w:t>
            </w:r>
            <w:hyperlink r:id="rId69" w:history="1">
              <w:r w:rsidRPr="00332B4D">
                <w:rPr>
                  <w:rStyle w:val="Hyperlink"/>
                  <w:rFonts w:cs="Arial"/>
                  <w:b w:val="0"/>
                  <w:i w:val="0"/>
                  <w:szCs w:val="20"/>
                </w:rPr>
                <w:t>Assessment Guidelines</w:t>
              </w:r>
            </w:hyperlink>
            <w:r w:rsidRPr="00332B4D">
              <w:rPr>
                <w:rFonts w:cs="Arial"/>
                <w:b w:val="0"/>
                <w:i w:val="0"/>
                <w:szCs w:val="20"/>
              </w:rPr>
              <w:t xml:space="preserve">). </w:t>
            </w:r>
          </w:p>
        </w:tc>
      </w:tr>
      <w:tr w:rsidR="00BD7DF1" w:rsidRPr="00332B4D" w14:paraId="6C802209" w14:textId="77777777" w:rsidTr="00A041CF">
        <w:tc>
          <w:tcPr>
            <w:tcW w:w="1730" w:type="dxa"/>
          </w:tcPr>
          <w:p w14:paraId="7598D7BF" w14:textId="77777777" w:rsidR="00BD7DF1" w:rsidRPr="00332B4D" w:rsidRDefault="00BD7DF1" w:rsidP="00332B4D">
            <w:pPr>
              <w:pStyle w:val="FurtherInformationText"/>
              <w:spacing w:before="0" w:after="50"/>
              <w:rPr>
                <w:b/>
              </w:rPr>
            </w:pPr>
            <w:r w:rsidRPr="00332B4D">
              <w:rPr>
                <w:b/>
              </w:rPr>
              <w:lastRenderedPageBreak/>
              <w:t>Change in salinity</w:t>
            </w:r>
          </w:p>
        </w:tc>
        <w:tc>
          <w:tcPr>
            <w:tcW w:w="2835" w:type="dxa"/>
          </w:tcPr>
          <w:p w14:paraId="0399B80C" w14:textId="5C34FEFC" w:rsidR="00BD7DF1" w:rsidRPr="00332B4D" w:rsidRDefault="00BD7DF1" w:rsidP="00332B4D">
            <w:pPr>
              <w:pStyle w:val="BodyTextNumbering"/>
              <w:numPr>
                <w:ilvl w:val="0"/>
                <w:numId w:val="17"/>
              </w:numPr>
              <w:spacing w:before="0" w:after="50"/>
              <w:rPr>
                <w:rFonts w:cs="Arial"/>
                <w:szCs w:val="20"/>
              </w:rPr>
            </w:pPr>
            <w:r w:rsidRPr="00332B4D">
              <w:rPr>
                <w:rFonts w:cs="Arial"/>
                <w:szCs w:val="20"/>
              </w:rPr>
              <w:t>Operating a facility</w:t>
            </w:r>
            <w:r w:rsidR="003033A7" w:rsidRPr="00332B4D">
              <w:rPr>
                <w:rFonts w:cs="Arial"/>
                <w:szCs w:val="20"/>
              </w:rPr>
              <w:t xml:space="preserve"> </w:t>
            </w:r>
            <w:r w:rsidR="00C309FE" w:rsidRPr="00332B4D">
              <w:rPr>
                <w:rFonts w:cs="Arial"/>
                <w:szCs w:val="20"/>
              </w:rPr>
              <w:t>(</w:t>
            </w:r>
            <w:r w:rsidR="003033A7" w:rsidRPr="00332B4D">
              <w:rPr>
                <w:rFonts w:cs="Arial"/>
                <w:szCs w:val="20"/>
              </w:rPr>
              <w:t>including discharge</w:t>
            </w:r>
            <w:r w:rsidR="00C309FE" w:rsidRPr="00332B4D">
              <w:rPr>
                <w:rFonts w:cs="Arial"/>
                <w:szCs w:val="20"/>
              </w:rPr>
              <w:t xml:space="preserve"> from a facility)</w:t>
            </w:r>
          </w:p>
        </w:tc>
        <w:tc>
          <w:tcPr>
            <w:tcW w:w="7655" w:type="dxa"/>
          </w:tcPr>
          <w:p w14:paraId="3B364900" w14:textId="19BA29C4" w:rsidR="008E6CD4" w:rsidRPr="00332B4D" w:rsidRDefault="00BD7DF1" w:rsidP="00332B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A moderate</w:t>
            </w:r>
            <w:r w:rsidR="008E6CD4" w:rsidRPr="00332B4D">
              <w:rPr>
                <w:rFonts w:cs="Arial"/>
                <w:b w:val="0"/>
                <w:i w:val="0"/>
                <w:color w:val="auto"/>
                <w:szCs w:val="20"/>
              </w:rPr>
              <w:t>ly</w:t>
            </w:r>
            <w:r w:rsidRPr="00332B4D">
              <w:rPr>
                <w:rFonts w:cs="Arial"/>
                <w:b w:val="0"/>
                <w:i w:val="0"/>
                <w:color w:val="auto"/>
                <w:szCs w:val="20"/>
              </w:rPr>
              <w:t xml:space="preserve"> low salinity </w:t>
            </w:r>
            <w:r w:rsidR="00425D1A" w:rsidRPr="00332B4D">
              <w:rPr>
                <w:rFonts w:cs="Arial"/>
                <w:b w:val="0"/>
                <w:i w:val="0"/>
                <w:color w:val="auto"/>
                <w:szCs w:val="20"/>
              </w:rPr>
              <w:t xml:space="preserve">exposure is expected to result in a stress response of reduced </w:t>
            </w:r>
            <w:r w:rsidRPr="00332B4D">
              <w:rPr>
                <w:rFonts w:cs="Arial"/>
                <w:b w:val="0"/>
                <w:i w:val="0"/>
                <w:color w:val="auto"/>
                <w:szCs w:val="20"/>
              </w:rPr>
              <w:t xml:space="preserve">shoot growth and </w:t>
            </w:r>
            <w:r w:rsidR="00425D1A" w:rsidRPr="00332B4D">
              <w:rPr>
                <w:rFonts w:cs="Arial"/>
                <w:b w:val="0"/>
                <w:i w:val="0"/>
                <w:color w:val="auto"/>
                <w:szCs w:val="20"/>
              </w:rPr>
              <w:t xml:space="preserve">reduced </w:t>
            </w:r>
            <w:r w:rsidRPr="00332B4D">
              <w:rPr>
                <w:rFonts w:cs="Arial"/>
                <w:b w:val="0"/>
                <w:i w:val="0"/>
                <w:color w:val="auto"/>
                <w:szCs w:val="20"/>
              </w:rPr>
              <w:t>flowerin</w:t>
            </w:r>
            <w:r w:rsidR="008E6CD4" w:rsidRPr="00332B4D">
              <w:rPr>
                <w:rFonts w:cs="Arial"/>
                <w:b w:val="0"/>
                <w:i w:val="0"/>
                <w:color w:val="auto"/>
                <w:szCs w:val="20"/>
              </w:rPr>
              <w:t>g.</w:t>
            </w:r>
            <w:r w:rsidR="00B22C7C" w:rsidRPr="00332B4D">
              <w:rPr>
                <w:rFonts w:cs="Arial"/>
                <w:b w:val="0"/>
                <w:i w:val="0"/>
                <w:color w:val="auto"/>
                <w:szCs w:val="20"/>
              </w:rPr>
              <w:fldChar w:fldCharType="begin"/>
            </w:r>
            <w:r w:rsidR="00EE558C" w:rsidRPr="00332B4D">
              <w:rPr>
                <w:rFonts w:cs="Arial"/>
                <w:b w:val="0"/>
                <w:i w:val="0"/>
                <w:color w:val="auto"/>
                <w:szCs w:val="20"/>
              </w:rPr>
              <w:instrText>ADDIN RW.CITE{{23237 Collier,C.J. 2014;}}</w:instrText>
            </w:r>
            <w:r w:rsidR="00B22C7C" w:rsidRPr="00332B4D">
              <w:rPr>
                <w:rFonts w:cs="Arial"/>
                <w:b w:val="0"/>
                <w:i w:val="0"/>
                <w:color w:val="auto"/>
                <w:szCs w:val="20"/>
              </w:rPr>
              <w:fldChar w:fldCharType="separate"/>
            </w:r>
            <w:r w:rsidR="00EE558C" w:rsidRPr="00332B4D">
              <w:rPr>
                <w:rFonts w:cs="Arial"/>
                <w:b w:val="0"/>
                <w:i w:val="0"/>
                <w:color w:val="auto"/>
                <w:szCs w:val="20"/>
                <w:vertAlign w:val="superscript"/>
              </w:rPr>
              <w:t>27</w:t>
            </w:r>
            <w:r w:rsidR="00B22C7C" w:rsidRPr="00332B4D">
              <w:rPr>
                <w:rFonts w:cs="Arial"/>
                <w:b w:val="0"/>
                <w:i w:val="0"/>
                <w:color w:val="auto"/>
                <w:szCs w:val="20"/>
              </w:rPr>
              <w:fldChar w:fldCharType="end"/>
            </w:r>
            <w:r w:rsidR="00B22C7C" w:rsidRPr="00332B4D">
              <w:rPr>
                <w:rFonts w:cs="Arial"/>
                <w:b w:val="0"/>
                <w:i w:val="0"/>
                <w:color w:val="auto"/>
                <w:szCs w:val="20"/>
              </w:rPr>
              <w:t xml:space="preserve"> </w:t>
            </w:r>
          </w:p>
          <w:p w14:paraId="2C9B5806" w14:textId="3C8CD533" w:rsidR="00BD7DF1" w:rsidRPr="00332B4D" w:rsidRDefault="00425D1A" w:rsidP="00332B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V</w:t>
            </w:r>
            <w:r w:rsidR="00766457" w:rsidRPr="00332B4D">
              <w:rPr>
                <w:rFonts w:cs="Arial"/>
                <w:b w:val="0"/>
                <w:i w:val="0"/>
                <w:color w:val="auto"/>
                <w:szCs w:val="20"/>
              </w:rPr>
              <w:t xml:space="preserve">ery low salinity levels for </w:t>
            </w:r>
            <w:r w:rsidR="00000A4E" w:rsidRPr="00332B4D">
              <w:rPr>
                <w:rFonts w:cs="Arial"/>
                <w:b w:val="0"/>
                <w:i w:val="0"/>
                <w:color w:val="auto"/>
                <w:szCs w:val="20"/>
              </w:rPr>
              <w:t xml:space="preserve">longer sustained </w:t>
            </w:r>
            <w:r w:rsidRPr="00332B4D">
              <w:rPr>
                <w:rFonts w:cs="Arial"/>
                <w:b w:val="0"/>
                <w:i w:val="0"/>
                <w:color w:val="auto"/>
                <w:szCs w:val="20"/>
              </w:rPr>
              <w:t xml:space="preserve">periods can result in </w:t>
            </w:r>
            <w:r w:rsidR="00050838" w:rsidRPr="00332B4D">
              <w:rPr>
                <w:rFonts w:cs="Arial"/>
                <w:b w:val="0"/>
                <w:i w:val="0"/>
                <w:color w:val="auto"/>
                <w:szCs w:val="20"/>
              </w:rPr>
              <w:t xml:space="preserve">reduced health or </w:t>
            </w:r>
            <w:r w:rsidR="00BD7DF1" w:rsidRPr="00332B4D">
              <w:rPr>
                <w:rFonts w:cs="Arial"/>
                <w:b w:val="0"/>
                <w:i w:val="0"/>
                <w:color w:val="auto"/>
                <w:szCs w:val="20"/>
              </w:rPr>
              <w:t>mortality.</w:t>
            </w:r>
          </w:p>
          <w:p w14:paraId="72B13AD1" w14:textId="32F8A59C" w:rsidR="0085337F" w:rsidRPr="00332B4D" w:rsidRDefault="0085337F" w:rsidP="00332B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 xml:space="preserve">Exposure to high salinity levels for sustained periods can result in </w:t>
            </w:r>
            <w:r w:rsidR="00050838" w:rsidRPr="00332B4D">
              <w:rPr>
                <w:rFonts w:cs="Arial"/>
                <w:b w:val="0"/>
                <w:i w:val="0"/>
                <w:color w:val="auto"/>
                <w:szCs w:val="20"/>
              </w:rPr>
              <w:t xml:space="preserve">reduced health or </w:t>
            </w:r>
            <w:r w:rsidRPr="00332B4D">
              <w:rPr>
                <w:rFonts w:cs="Arial"/>
                <w:b w:val="0"/>
                <w:i w:val="0"/>
                <w:color w:val="auto"/>
                <w:szCs w:val="20"/>
              </w:rPr>
              <w:t>mortality.</w:t>
            </w:r>
            <w:r w:rsidR="00203D26" w:rsidRPr="00332B4D">
              <w:rPr>
                <w:rFonts w:cs="Arial"/>
                <w:b w:val="0"/>
                <w:i w:val="0"/>
                <w:color w:val="auto"/>
                <w:szCs w:val="20"/>
              </w:rPr>
              <w:fldChar w:fldCharType="begin"/>
            </w:r>
            <w:r w:rsidR="00EE558C" w:rsidRPr="00332B4D">
              <w:rPr>
                <w:rFonts w:cs="Arial"/>
                <w:b w:val="0"/>
                <w:i w:val="0"/>
                <w:color w:val="auto"/>
                <w:szCs w:val="20"/>
              </w:rPr>
              <w:instrText>ADDIN RW.CITE{{25573 Koch,M.S. 2007;}}</w:instrText>
            </w:r>
            <w:r w:rsidR="00203D26" w:rsidRPr="00332B4D">
              <w:rPr>
                <w:rFonts w:cs="Arial"/>
                <w:b w:val="0"/>
                <w:i w:val="0"/>
                <w:color w:val="auto"/>
                <w:szCs w:val="20"/>
              </w:rPr>
              <w:fldChar w:fldCharType="separate"/>
            </w:r>
            <w:r w:rsidR="00EE558C" w:rsidRPr="00332B4D">
              <w:rPr>
                <w:rFonts w:cs="Arial"/>
                <w:b w:val="0"/>
                <w:i w:val="0"/>
                <w:color w:val="auto"/>
                <w:szCs w:val="20"/>
                <w:vertAlign w:val="superscript"/>
              </w:rPr>
              <w:t>28</w:t>
            </w:r>
            <w:r w:rsidR="00203D26" w:rsidRPr="00332B4D">
              <w:rPr>
                <w:rFonts w:cs="Arial"/>
                <w:b w:val="0"/>
                <w:i w:val="0"/>
                <w:color w:val="auto"/>
                <w:szCs w:val="20"/>
              </w:rPr>
              <w:fldChar w:fldCharType="end"/>
            </w:r>
            <w:r w:rsidR="00203D26" w:rsidRPr="00332B4D">
              <w:rPr>
                <w:rFonts w:cs="Arial"/>
                <w:b w:val="0"/>
                <w:i w:val="0"/>
                <w:color w:val="auto"/>
                <w:szCs w:val="20"/>
              </w:rPr>
              <w:t xml:space="preserve"> </w:t>
            </w:r>
          </w:p>
          <w:p w14:paraId="5E8C9B8B" w14:textId="77777777" w:rsidR="00856D74" w:rsidRPr="00332B4D" w:rsidRDefault="00856D74" w:rsidP="00332B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Negative changes to seagrass health and ecosystem function have flow-on implications for biodiversity values, social values, and Traditional Owner values.</w:t>
            </w:r>
          </w:p>
          <w:p w14:paraId="53381AA2" w14:textId="77777777" w:rsidR="00856D74" w:rsidRPr="00332B4D" w:rsidRDefault="00856D74" w:rsidP="00332B4D">
            <w:pPr>
              <w:pStyle w:val="Subheading2"/>
              <w:spacing w:before="0" w:after="50"/>
              <w:ind w:left="360" w:right="-51"/>
              <w:rPr>
                <w:rFonts w:cs="Arial"/>
                <w:b w:val="0"/>
                <w:i w:val="0"/>
                <w:color w:val="auto"/>
                <w:szCs w:val="20"/>
              </w:rPr>
            </w:pPr>
          </w:p>
        </w:tc>
        <w:tc>
          <w:tcPr>
            <w:tcW w:w="8788" w:type="dxa"/>
          </w:tcPr>
          <w:p w14:paraId="2527E28D" w14:textId="32E3DCD5" w:rsidR="00D0774D" w:rsidRPr="00332B4D" w:rsidRDefault="00D0774D" w:rsidP="00D077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 xml:space="preserve">Also refer to </w:t>
            </w:r>
            <w:r>
              <w:rPr>
                <w:rFonts w:cs="Arial"/>
                <w:b w:val="0"/>
                <w:i w:val="0"/>
                <w:color w:val="auto"/>
                <w:szCs w:val="20"/>
              </w:rPr>
              <w:t>‘c</w:t>
            </w:r>
            <w:r w:rsidRPr="00332B4D">
              <w:rPr>
                <w:rFonts w:cs="Arial"/>
                <w:b w:val="0"/>
                <w:i w:val="0"/>
                <w:color w:val="auto"/>
                <w:szCs w:val="20"/>
              </w:rPr>
              <w:t>hange in ecological processes</w:t>
            </w:r>
            <w:r>
              <w:rPr>
                <w:rFonts w:cs="Arial"/>
                <w:b w:val="0"/>
                <w:i w:val="0"/>
                <w:color w:val="auto"/>
                <w:szCs w:val="20"/>
              </w:rPr>
              <w:t>’</w:t>
            </w:r>
            <w:r w:rsidRPr="00332B4D">
              <w:rPr>
                <w:rFonts w:cs="Arial"/>
                <w:b w:val="0"/>
                <w:i w:val="0"/>
                <w:color w:val="auto"/>
                <w:szCs w:val="20"/>
              </w:rPr>
              <w:t xml:space="preserve"> in this table.</w:t>
            </w:r>
          </w:p>
          <w:p w14:paraId="2A628B59" w14:textId="7A2DAFEF" w:rsidR="00BD7DF1" w:rsidRPr="00332B4D" w:rsidRDefault="00BD7DF1" w:rsidP="00D077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Avoid or reduce waste discharge.</w:t>
            </w:r>
          </w:p>
          <w:p w14:paraId="2188AEA6" w14:textId="2F8D8D22" w:rsidR="00BD7DF1" w:rsidRPr="00332B4D" w:rsidRDefault="00BD7DF1" w:rsidP="00D077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Enact a management and monitoring plan covering habitats within and adjacent to the activity, to ensure salinity levels are managed in a way that maintains seagrass health.</w:t>
            </w:r>
          </w:p>
          <w:p w14:paraId="13A0DD91" w14:textId="77777777" w:rsidR="00BD7DF1" w:rsidRPr="00332B4D" w:rsidRDefault="00BD7DF1" w:rsidP="00D0774D">
            <w:pPr>
              <w:pStyle w:val="Subheading2"/>
              <w:numPr>
                <w:ilvl w:val="0"/>
                <w:numId w:val="17"/>
              </w:numPr>
              <w:spacing w:before="0" w:after="50"/>
              <w:ind w:right="-51"/>
              <w:rPr>
                <w:rFonts w:cs="Arial"/>
                <w:b w:val="0"/>
                <w:i w:val="0"/>
                <w:color w:val="auto"/>
                <w:szCs w:val="20"/>
              </w:rPr>
            </w:pPr>
            <w:r w:rsidRPr="00332B4D">
              <w:rPr>
                <w:rFonts w:cs="Arial"/>
                <w:b w:val="0"/>
                <w:i w:val="0"/>
                <w:szCs w:val="20"/>
              </w:rPr>
              <w:t>Conduct hydrodynamic modelling to predict plumes</w:t>
            </w:r>
            <w:r w:rsidR="00DD7E61" w:rsidRPr="00332B4D">
              <w:rPr>
                <w:rFonts w:cs="Arial"/>
                <w:b w:val="0"/>
                <w:i w:val="0"/>
                <w:color w:val="auto"/>
                <w:szCs w:val="20"/>
              </w:rPr>
              <w:t>.</w:t>
            </w:r>
          </w:p>
          <w:p w14:paraId="1D60AD30" w14:textId="77777777" w:rsidR="00DD7E61" w:rsidRPr="00332B4D" w:rsidRDefault="00BD7DF1" w:rsidP="00D077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 xml:space="preserve">Monitoring program with appropriate </w:t>
            </w:r>
            <w:r w:rsidR="00425D1A" w:rsidRPr="00332B4D">
              <w:rPr>
                <w:rFonts w:cs="Arial"/>
                <w:b w:val="0"/>
                <w:i w:val="0"/>
                <w:color w:val="auto"/>
                <w:szCs w:val="20"/>
              </w:rPr>
              <w:t xml:space="preserve">ecologically relevant </w:t>
            </w:r>
            <w:r w:rsidRPr="00332B4D">
              <w:rPr>
                <w:rFonts w:cs="Arial"/>
                <w:b w:val="0"/>
                <w:i w:val="0"/>
                <w:color w:val="auto"/>
                <w:szCs w:val="20"/>
              </w:rPr>
              <w:t xml:space="preserve">thresholds and triggers (and control sites), as well as adaptive management responses are identified and specified in an Environmental Management Plan (refer to </w:t>
            </w:r>
            <w:hyperlink r:id="rId70" w:history="1">
              <w:r w:rsidRPr="00332B4D">
                <w:rPr>
                  <w:rStyle w:val="Hyperlink"/>
                  <w:rFonts w:cs="Arial"/>
                  <w:b w:val="0"/>
                  <w:i w:val="0"/>
                  <w:szCs w:val="20"/>
                </w:rPr>
                <w:t>Assessment Guidelines</w:t>
              </w:r>
            </w:hyperlink>
            <w:r w:rsidR="00DD7E61" w:rsidRPr="00332B4D">
              <w:rPr>
                <w:rFonts w:cs="Arial"/>
                <w:b w:val="0"/>
                <w:i w:val="0"/>
                <w:color w:val="auto"/>
                <w:szCs w:val="20"/>
              </w:rPr>
              <w:t>).</w:t>
            </w:r>
          </w:p>
          <w:p w14:paraId="20E0D60B" w14:textId="48987E8F" w:rsidR="00BD7DF1" w:rsidRPr="00332B4D" w:rsidRDefault="00BD7DF1" w:rsidP="00D077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 xml:space="preserve">Seasonal loss, or reduced growth as a result of exposure to low </w:t>
            </w:r>
            <w:r w:rsidR="0085337F" w:rsidRPr="00332B4D">
              <w:rPr>
                <w:rFonts w:cs="Arial"/>
                <w:b w:val="0"/>
                <w:i w:val="0"/>
                <w:color w:val="auto"/>
                <w:szCs w:val="20"/>
              </w:rPr>
              <w:t xml:space="preserve">or high </w:t>
            </w:r>
            <w:r w:rsidRPr="00332B4D">
              <w:rPr>
                <w:rFonts w:cs="Arial"/>
                <w:b w:val="0"/>
                <w:i w:val="0"/>
                <w:color w:val="auto"/>
                <w:szCs w:val="20"/>
              </w:rPr>
              <w:t>salinity can occur, particularly in estuarine environments. Where relevant this should be considered in the monitoring and interpretation of results.</w:t>
            </w:r>
          </w:p>
        </w:tc>
      </w:tr>
      <w:tr w:rsidR="00BD7DF1" w:rsidRPr="00332B4D" w14:paraId="4724FD6D" w14:textId="77777777" w:rsidTr="00A041CF">
        <w:tc>
          <w:tcPr>
            <w:tcW w:w="1730" w:type="dxa"/>
          </w:tcPr>
          <w:p w14:paraId="0AA69C66" w14:textId="77777777" w:rsidR="00BD7DF1" w:rsidRPr="00332B4D" w:rsidRDefault="00BD7DF1" w:rsidP="00332B4D">
            <w:pPr>
              <w:pStyle w:val="FurtherInformationText"/>
              <w:spacing w:before="0" w:after="50"/>
              <w:rPr>
                <w:b/>
              </w:rPr>
            </w:pPr>
            <w:r w:rsidRPr="00332B4D">
              <w:rPr>
                <w:b/>
              </w:rPr>
              <w:t>Change in sedimentation</w:t>
            </w:r>
          </w:p>
        </w:tc>
        <w:tc>
          <w:tcPr>
            <w:tcW w:w="2835" w:type="dxa"/>
          </w:tcPr>
          <w:p w14:paraId="34CAA28A" w14:textId="77777777" w:rsidR="00BD7DF1" w:rsidRPr="00332B4D" w:rsidRDefault="00BD7DF1" w:rsidP="00332B4D">
            <w:pPr>
              <w:pStyle w:val="BodyTextNumbering"/>
              <w:numPr>
                <w:ilvl w:val="0"/>
                <w:numId w:val="20"/>
              </w:numPr>
              <w:spacing w:before="0" w:after="50"/>
              <w:rPr>
                <w:rFonts w:cs="Arial"/>
                <w:szCs w:val="20"/>
              </w:rPr>
            </w:pPr>
            <w:r w:rsidRPr="00332B4D">
              <w:rPr>
                <w:rFonts w:cs="Arial"/>
                <w:szCs w:val="20"/>
              </w:rPr>
              <w:t>Carrying out works (dredging, dumping of spoil, harbour works, reclamation)</w:t>
            </w:r>
          </w:p>
          <w:p w14:paraId="5CCA456C" w14:textId="77777777" w:rsidR="00BD7DF1" w:rsidRPr="00332B4D" w:rsidRDefault="00BD7DF1" w:rsidP="00332B4D">
            <w:pPr>
              <w:pStyle w:val="BodyTextNumbering"/>
              <w:numPr>
                <w:ilvl w:val="0"/>
                <w:numId w:val="17"/>
              </w:numPr>
              <w:spacing w:before="0" w:after="50"/>
              <w:rPr>
                <w:rFonts w:cs="Arial"/>
                <w:szCs w:val="20"/>
              </w:rPr>
            </w:pPr>
            <w:r w:rsidRPr="00332B4D">
              <w:rPr>
                <w:rFonts w:cs="Arial"/>
                <w:szCs w:val="20"/>
              </w:rPr>
              <w:t>Operating a facility</w:t>
            </w:r>
          </w:p>
        </w:tc>
        <w:tc>
          <w:tcPr>
            <w:tcW w:w="7655" w:type="dxa"/>
          </w:tcPr>
          <w:p w14:paraId="56D63067" w14:textId="4B3FFB41" w:rsidR="00BD7DF1" w:rsidRPr="00332B4D" w:rsidRDefault="00BD7DF1" w:rsidP="00332B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Sediment build-up over time may result in seagrass growing in more shallow water. This can increase periods of low tide exposure and consequent</w:t>
            </w:r>
            <w:r w:rsidR="00D0774D">
              <w:rPr>
                <w:rFonts w:cs="Arial"/>
                <w:b w:val="0"/>
                <w:i w:val="0"/>
                <w:color w:val="auto"/>
                <w:szCs w:val="20"/>
              </w:rPr>
              <w:t>ially</w:t>
            </w:r>
            <w:r w:rsidRPr="00332B4D">
              <w:rPr>
                <w:rFonts w:cs="Arial"/>
                <w:b w:val="0"/>
                <w:i w:val="0"/>
                <w:color w:val="auto"/>
                <w:szCs w:val="20"/>
              </w:rPr>
              <w:t xml:space="preserve"> higher temperatures, increasing pressure on seagrass which can lead to death. </w:t>
            </w:r>
          </w:p>
          <w:p w14:paraId="720BB608" w14:textId="16036DBA" w:rsidR="00BD7DF1" w:rsidRPr="00332B4D" w:rsidRDefault="00021037" w:rsidP="00332B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 xml:space="preserve">Sediment </w:t>
            </w:r>
            <w:r w:rsidR="00BD7DF1" w:rsidRPr="00332B4D">
              <w:rPr>
                <w:rFonts w:cs="Arial"/>
                <w:b w:val="0"/>
                <w:i w:val="0"/>
                <w:color w:val="auto"/>
                <w:szCs w:val="20"/>
              </w:rPr>
              <w:t xml:space="preserve">particles </w:t>
            </w:r>
            <w:r w:rsidRPr="00332B4D">
              <w:rPr>
                <w:rFonts w:cs="Arial"/>
                <w:b w:val="0"/>
                <w:i w:val="0"/>
                <w:color w:val="auto"/>
                <w:szCs w:val="20"/>
              </w:rPr>
              <w:t xml:space="preserve">can </w:t>
            </w:r>
            <w:r w:rsidR="00BD7DF1" w:rsidRPr="00332B4D">
              <w:rPr>
                <w:rFonts w:cs="Arial"/>
                <w:b w:val="0"/>
                <w:i w:val="0"/>
                <w:color w:val="auto"/>
                <w:szCs w:val="20"/>
              </w:rPr>
              <w:t>settl</w:t>
            </w:r>
            <w:r w:rsidRPr="00332B4D">
              <w:rPr>
                <w:rFonts w:cs="Arial"/>
                <w:b w:val="0"/>
                <w:i w:val="0"/>
                <w:color w:val="auto"/>
                <w:szCs w:val="20"/>
              </w:rPr>
              <w:t>e</w:t>
            </w:r>
            <w:r w:rsidR="00BD7DF1" w:rsidRPr="00332B4D">
              <w:rPr>
                <w:rFonts w:cs="Arial"/>
                <w:b w:val="0"/>
                <w:i w:val="0"/>
                <w:color w:val="auto"/>
                <w:szCs w:val="20"/>
              </w:rPr>
              <w:t xml:space="preserve"> on and smother seagrass, reducing light</w:t>
            </w:r>
            <w:r w:rsidR="00D0774D">
              <w:rPr>
                <w:rFonts w:cs="Arial"/>
                <w:b w:val="0"/>
                <w:i w:val="0"/>
                <w:color w:val="auto"/>
                <w:szCs w:val="20"/>
              </w:rPr>
              <w:t xml:space="preserve"> and</w:t>
            </w:r>
            <w:r w:rsidR="00BD7DF1" w:rsidRPr="00332B4D">
              <w:rPr>
                <w:rFonts w:cs="Arial"/>
                <w:b w:val="0"/>
                <w:i w:val="0"/>
                <w:color w:val="auto"/>
                <w:szCs w:val="20"/>
              </w:rPr>
              <w:t xml:space="preserve"> thus decreasing photosynthesis. </w:t>
            </w:r>
          </w:p>
          <w:p w14:paraId="46535036" w14:textId="77777777" w:rsidR="00856D74" w:rsidRPr="00332B4D" w:rsidRDefault="00BD7DF1" w:rsidP="00332B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Sedimentation is also related to ‘change in hydrodynamics’ hazard - see above.</w:t>
            </w:r>
          </w:p>
          <w:p w14:paraId="239CDB63" w14:textId="77777777" w:rsidR="00C309FE" w:rsidRPr="00332B4D" w:rsidRDefault="00856D74" w:rsidP="00332B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Negative changes to seagrass health and ecosystem function have flow-on implications for biodiversity values, social values, and Traditional Owner values.</w:t>
            </w:r>
          </w:p>
          <w:p w14:paraId="77826A84" w14:textId="14024C40" w:rsidR="00C309FE" w:rsidRPr="00332B4D" w:rsidRDefault="00306388" w:rsidP="00332B4D">
            <w:pPr>
              <w:pStyle w:val="Subheading2"/>
              <w:numPr>
                <w:ilvl w:val="0"/>
                <w:numId w:val="17"/>
              </w:numPr>
              <w:spacing w:before="0" w:after="50"/>
              <w:ind w:right="-51"/>
              <w:rPr>
                <w:rFonts w:cs="Arial"/>
                <w:b w:val="0"/>
                <w:i w:val="0"/>
                <w:color w:val="auto"/>
                <w:szCs w:val="20"/>
              </w:rPr>
            </w:pPr>
            <w:r w:rsidRPr="00332B4D">
              <w:rPr>
                <w:rFonts w:cs="Arial"/>
                <w:b w:val="0"/>
                <w:i w:val="0"/>
                <w:szCs w:val="20"/>
              </w:rPr>
              <w:t>Seagrass sensitivity (</w:t>
            </w:r>
            <w:r w:rsidR="00063D36" w:rsidRPr="00332B4D">
              <w:rPr>
                <w:rFonts w:cs="Arial"/>
                <w:b w:val="0"/>
                <w:i w:val="0"/>
                <w:szCs w:val="20"/>
              </w:rPr>
              <w:t>adaptive capacity or recoverability) to dredge–related hazards is considered very high for bur</w:t>
            </w:r>
            <w:r w:rsidR="009F0494" w:rsidRPr="00332B4D">
              <w:rPr>
                <w:rFonts w:cs="Arial"/>
                <w:b w:val="0"/>
                <w:i w:val="0"/>
                <w:szCs w:val="20"/>
              </w:rPr>
              <w:t xml:space="preserve">ial and moderate for deposition, where burial of seagrass </w:t>
            </w:r>
            <w:r w:rsidR="00D56518" w:rsidRPr="00332B4D">
              <w:rPr>
                <w:rFonts w:cs="Arial"/>
                <w:b w:val="0"/>
                <w:i w:val="0"/>
                <w:szCs w:val="20"/>
              </w:rPr>
              <w:t xml:space="preserve">resulting in severe impact </w:t>
            </w:r>
            <w:r w:rsidR="009F0494" w:rsidRPr="00332B4D">
              <w:rPr>
                <w:rFonts w:cs="Arial"/>
                <w:b w:val="0"/>
                <w:i w:val="0"/>
                <w:szCs w:val="20"/>
              </w:rPr>
              <w:t xml:space="preserve">is generally </w:t>
            </w:r>
            <w:r w:rsidR="00D56518" w:rsidRPr="00332B4D">
              <w:rPr>
                <w:rFonts w:cs="Arial"/>
                <w:b w:val="0"/>
                <w:i w:val="0"/>
                <w:szCs w:val="20"/>
              </w:rPr>
              <w:t>limited to</w:t>
            </w:r>
            <w:r w:rsidR="009F0494" w:rsidRPr="00332B4D">
              <w:rPr>
                <w:rFonts w:cs="Arial"/>
                <w:b w:val="0"/>
                <w:i w:val="0"/>
                <w:szCs w:val="20"/>
              </w:rPr>
              <w:t xml:space="preserve"> the footprint of the activity</w:t>
            </w:r>
            <w:r w:rsidR="004779BC" w:rsidRPr="00332B4D">
              <w:rPr>
                <w:rFonts w:cs="Arial"/>
                <w:b w:val="0"/>
                <w:i w:val="0"/>
                <w:szCs w:val="20"/>
              </w:rPr>
              <w:t xml:space="preserve"> (such as dredge spoil disposal sites)</w:t>
            </w:r>
            <w:r w:rsidR="009F0494" w:rsidRPr="00332B4D">
              <w:rPr>
                <w:rFonts w:cs="Arial"/>
                <w:b w:val="0"/>
                <w:i w:val="0"/>
                <w:szCs w:val="20"/>
              </w:rPr>
              <w:t>.</w:t>
            </w:r>
            <w:r w:rsidR="00345A0E" w:rsidRPr="00332B4D">
              <w:rPr>
                <w:rFonts w:cs="Arial"/>
                <w:b w:val="0"/>
                <w:i w:val="0"/>
                <w:szCs w:val="20"/>
              </w:rPr>
              <w:fldChar w:fldCharType="begin"/>
            </w:r>
            <w:r w:rsidR="00EE558C" w:rsidRPr="00332B4D">
              <w:rPr>
                <w:rFonts w:cs="Arial"/>
                <w:b w:val="0"/>
                <w:i w:val="0"/>
                <w:szCs w:val="20"/>
              </w:rPr>
              <w:instrText>ADDIN RW.CITE{{23873 McCook,L. 2015}}</w:instrText>
            </w:r>
            <w:r w:rsidR="00345A0E" w:rsidRPr="00332B4D">
              <w:rPr>
                <w:rFonts w:cs="Arial"/>
                <w:b w:val="0"/>
                <w:i w:val="0"/>
                <w:szCs w:val="20"/>
              </w:rPr>
              <w:fldChar w:fldCharType="separate"/>
            </w:r>
            <w:r w:rsidR="00EE558C" w:rsidRPr="00332B4D">
              <w:rPr>
                <w:rFonts w:cs="Arial"/>
                <w:b w:val="0"/>
                <w:i w:val="0"/>
                <w:szCs w:val="20"/>
                <w:vertAlign w:val="superscript"/>
              </w:rPr>
              <w:t>20</w:t>
            </w:r>
            <w:r w:rsidR="00345A0E" w:rsidRPr="00332B4D">
              <w:rPr>
                <w:rFonts w:cs="Arial"/>
                <w:b w:val="0"/>
                <w:i w:val="0"/>
                <w:szCs w:val="20"/>
              </w:rPr>
              <w:fldChar w:fldCharType="end"/>
            </w:r>
            <w:r w:rsidR="006F7C3F" w:rsidRPr="00332B4D">
              <w:rPr>
                <w:rFonts w:cs="Arial"/>
                <w:b w:val="0"/>
                <w:i w:val="0"/>
                <w:szCs w:val="20"/>
              </w:rPr>
              <w:t xml:space="preserve"> </w:t>
            </w:r>
          </w:p>
          <w:p w14:paraId="3DF2589B" w14:textId="4C93C2C7" w:rsidR="00063D36" w:rsidRPr="00332B4D" w:rsidRDefault="006F7C3F" w:rsidP="00D0774D">
            <w:pPr>
              <w:pStyle w:val="Subheading2"/>
              <w:numPr>
                <w:ilvl w:val="0"/>
                <w:numId w:val="17"/>
              </w:numPr>
              <w:spacing w:before="0" w:after="50"/>
              <w:ind w:right="-51"/>
              <w:rPr>
                <w:rFonts w:cs="Arial"/>
                <w:b w:val="0"/>
                <w:i w:val="0"/>
                <w:color w:val="auto"/>
                <w:szCs w:val="20"/>
              </w:rPr>
            </w:pPr>
            <w:r w:rsidRPr="00332B4D">
              <w:rPr>
                <w:rFonts w:cs="Arial"/>
                <w:b w:val="0"/>
                <w:i w:val="0"/>
                <w:szCs w:val="20"/>
              </w:rPr>
              <w:t>Also refer to</w:t>
            </w:r>
            <w:r w:rsidRPr="00332B4D">
              <w:rPr>
                <w:rFonts w:cs="Arial"/>
                <w:b w:val="0"/>
                <w:i w:val="0"/>
              </w:rPr>
              <w:t xml:space="preserve"> </w:t>
            </w:r>
            <w:r w:rsidR="00D0774D">
              <w:rPr>
                <w:rFonts w:cs="Arial"/>
                <w:b w:val="0"/>
                <w:i w:val="0"/>
              </w:rPr>
              <w:t>‘d</w:t>
            </w:r>
            <w:r w:rsidRPr="00332B4D">
              <w:rPr>
                <w:rFonts w:cs="Arial"/>
                <w:b w:val="0"/>
                <w:i w:val="0"/>
                <w:szCs w:val="20"/>
              </w:rPr>
              <w:t>irect death or removal of living things</w:t>
            </w:r>
            <w:r w:rsidR="00D0774D">
              <w:rPr>
                <w:rFonts w:cs="Arial"/>
                <w:b w:val="0"/>
                <w:i w:val="0"/>
                <w:szCs w:val="20"/>
              </w:rPr>
              <w:t>’</w:t>
            </w:r>
            <w:r w:rsidRPr="00332B4D">
              <w:rPr>
                <w:rFonts w:cs="Arial"/>
                <w:b w:val="0"/>
                <w:i w:val="0"/>
                <w:szCs w:val="20"/>
              </w:rPr>
              <w:t xml:space="preserve"> and </w:t>
            </w:r>
            <w:r w:rsidR="00D0774D">
              <w:rPr>
                <w:rFonts w:cs="Arial"/>
                <w:b w:val="0"/>
                <w:i w:val="0"/>
                <w:szCs w:val="20"/>
              </w:rPr>
              <w:t>‘d</w:t>
            </w:r>
            <w:r w:rsidRPr="00332B4D">
              <w:rPr>
                <w:rFonts w:cs="Arial"/>
                <w:b w:val="0"/>
                <w:i w:val="0"/>
                <w:szCs w:val="20"/>
              </w:rPr>
              <w:t>irect injury or disturbance of living things</w:t>
            </w:r>
            <w:r w:rsidR="00D0774D">
              <w:rPr>
                <w:rFonts w:cs="Arial"/>
                <w:b w:val="0"/>
                <w:i w:val="0"/>
                <w:szCs w:val="20"/>
              </w:rPr>
              <w:t>’</w:t>
            </w:r>
            <w:r w:rsidRPr="00332B4D">
              <w:rPr>
                <w:rFonts w:cs="Arial"/>
                <w:b w:val="0"/>
                <w:i w:val="0"/>
                <w:szCs w:val="20"/>
              </w:rPr>
              <w:t xml:space="preserve"> below.</w:t>
            </w:r>
            <w:r w:rsidRPr="00332B4D">
              <w:rPr>
                <w:rFonts w:cs="Arial"/>
                <w:szCs w:val="20"/>
              </w:rPr>
              <w:t xml:space="preserve"> </w:t>
            </w:r>
          </w:p>
        </w:tc>
        <w:tc>
          <w:tcPr>
            <w:tcW w:w="8788" w:type="dxa"/>
          </w:tcPr>
          <w:p w14:paraId="02AC2E59" w14:textId="77777777" w:rsidR="00D0774D" w:rsidRPr="00332B4D" w:rsidRDefault="00D0774D" w:rsidP="00D0774D">
            <w:pPr>
              <w:pStyle w:val="Subheading2"/>
              <w:numPr>
                <w:ilvl w:val="0"/>
                <w:numId w:val="17"/>
              </w:numPr>
              <w:spacing w:before="0" w:after="50"/>
              <w:ind w:right="-51"/>
              <w:rPr>
                <w:rFonts w:cs="Arial"/>
                <w:b w:val="0"/>
                <w:i w:val="0"/>
                <w:color w:val="auto"/>
                <w:szCs w:val="20"/>
              </w:rPr>
            </w:pPr>
            <w:r w:rsidRPr="00332B4D">
              <w:rPr>
                <w:rFonts w:cs="Arial"/>
                <w:b w:val="0"/>
                <w:i w:val="0"/>
                <w:color w:val="auto"/>
                <w:szCs w:val="20"/>
              </w:rPr>
              <w:t xml:space="preserve">Also refer to </w:t>
            </w:r>
            <w:r>
              <w:rPr>
                <w:rFonts w:cs="Arial"/>
                <w:b w:val="0"/>
                <w:i w:val="0"/>
                <w:color w:val="auto"/>
                <w:szCs w:val="20"/>
              </w:rPr>
              <w:t>‘c</w:t>
            </w:r>
            <w:r w:rsidRPr="00332B4D">
              <w:rPr>
                <w:rFonts w:cs="Arial"/>
                <w:b w:val="0"/>
                <w:i w:val="0"/>
                <w:color w:val="auto"/>
                <w:szCs w:val="20"/>
              </w:rPr>
              <w:t>hange in ecological processes</w:t>
            </w:r>
            <w:r>
              <w:rPr>
                <w:rFonts w:cs="Arial"/>
                <w:b w:val="0"/>
                <w:i w:val="0"/>
                <w:color w:val="auto"/>
                <w:szCs w:val="20"/>
              </w:rPr>
              <w:t>’</w:t>
            </w:r>
            <w:r w:rsidRPr="00332B4D">
              <w:rPr>
                <w:rFonts w:cs="Arial"/>
                <w:b w:val="0"/>
                <w:i w:val="0"/>
                <w:color w:val="auto"/>
                <w:szCs w:val="20"/>
              </w:rPr>
              <w:t xml:space="preserve"> in this table.</w:t>
            </w:r>
          </w:p>
          <w:p w14:paraId="153E0269" w14:textId="594A0E5A" w:rsidR="00BD7DF1" w:rsidRPr="00332B4D" w:rsidRDefault="00BD7DF1" w:rsidP="00D0774D">
            <w:pPr>
              <w:pStyle w:val="BodyTextNumbering"/>
              <w:numPr>
                <w:ilvl w:val="0"/>
                <w:numId w:val="17"/>
              </w:numPr>
              <w:spacing w:before="0" w:after="50"/>
              <w:rPr>
                <w:rFonts w:cs="Arial"/>
                <w:szCs w:val="20"/>
              </w:rPr>
            </w:pPr>
            <w:r w:rsidRPr="00332B4D">
              <w:rPr>
                <w:rFonts w:cs="Arial"/>
                <w:szCs w:val="20"/>
              </w:rPr>
              <w:t>Avoid activities that may cause the direct or indirect change in coastal profiles, including long-shore drift, erosion and accretion. Primarily relevant to works related activities but also to vessel traffic, particularly those vessels accessing shallow areas (such as barges with beach access).</w:t>
            </w:r>
          </w:p>
          <w:p w14:paraId="06EF304B" w14:textId="26ADAF59" w:rsidR="001F16F4" w:rsidRPr="00332B4D" w:rsidRDefault="001F16F4" w:rsidP="00332B4D">
            <w:pPr>
              <w:pStyle w:val="BodyTextNumbering"/>
              <w:numPr>
                <w:ilvl w:val="0"/>
                <w:numId w:val="17"/>
              </w:numPr>
              <w:spacing w:before="0" w:after="50"/>
              <w:rPr>
                <w:rFonts w:cs="Arial"/>
                <w:szCs w:val="20"/>
              </w:rPr>
            </w:pPr>
            <w:r w:rsidRPr="00332B4D">
              <w:rPr>
                <w:rFonts w:cs="Arial"/>
                <w:color w:val="auto"/>
                <w:szCs w:val="20"/>
              </w:rPr>
              <w:t xml:space="preserve">Activities involving carrying out works (such as dredging and dumping of spoil, harbour works) </w:t>
            </w:r>
            <w:r w:rsidR="003033A7" w:rsidRPr="00332B4D">
              <w:rPr>
                <w:rFonts w:cs="Arial"/>
                <w:color w:val="auto"/>
                <w:szCs w:val="20"/>
              </w:rPr>
              <w:t xml:space="preserve">are </w:t>
            </w:r>
            <w:r w:rsidRPr="00332B4D">
              <w:rPr>
                <w:rFonts w:cs="Arial"/>
                <w:color w:val="auto"/>
                <w:szCs w:val="20"/>
              </w:rPr>
              <w:t xml:space="preserve">consistent with the </w:t>
            </w:r>
            <w:hyperlink r:id="rId71" w:history="1">
              <w:r w:rsidRPr="00332B4D">
                <w:rPr>
                  <w:rStyle w:val="Hyperlink"/>
                  <w:rFonts w:cs="Arial"/>
                  <w:szCs w:val="20"/>
                </w:rPr>
                <w:t>National Assessment Guidelines for Dredging 2009</w:t>
              </w:r>
            </w:hyperlink>
            <w:r w:rsidRPr="00332B4D">
              <w:rPr>
                <w:rFonts w:cs="Arial"/>
                <w:color w:val="auto"/>
                <w:szCs w:val="20"/>
              </w:rPr>
              <w:t>, and where relevant, includes a Sediment Sampling and Analysis Plan (SAP) to determine the particle sizes of sediments.</w:t>
            </w:r>
          </w:p>
          <w:p w14:paraId="211C5EED" w14:textId="77777777" w:rsidR="00BD7DF1" w:rsidRPr="00332B4D" w:rsidRDefault="00BD7DF1" w:rsidP="00332B4D">
            <w:pPr>
              <w:pStyle w:val="BodyTextNumbering"/>
              <w:numPr>
                <w:ilvl w:val="0"/>
                <w:numId w:val="17"/>
              </w:numPr>
              <w:spacing w:before="0" w:after="50"/>
              <w:rPr>
                <w:rFonts w:cs="Arial"/>
                <w:szCs w:val="20"/>
              </w:rPr>
            </w:pPr>
            <w:r w:rsidRPr="00332B4D">
              <w:rPr>
                <w:rFonts w:cs="Arial"/>
                <w:szCs w:val="20"/>
              </w:rPr>
              <w:t xml:space="preserve">Predictive modelling, such as three-dimensional models which consider intra and inter-annual variability of background environmental conditions (refer to </w:t>
            </w:r>
            <w:hyperlink r:id="rId72" w:history="1">
              <w:r w:rsidRPr="00332B4D">
                <w:rPr>
                  <w:rStyle w:val="Hyperlink"/>
                  <w:rFonts w:cs="Arial"/>
                  <w:szCs w:val="20"/>
                </w:rPr>
                <w:t>GBRMPA Hydrodynamic Numerical Modelling guidelines</w:t>
              </w:r>
            </w:hyperlink>
            <w:r w:rsidR="001F16F4" w:rsidRPr="00332B4D">
              <w:rPr>
                <w:rFonts w:cs="Arial"/>
                <w:szCs w:val="20"/>
              </w:rPr>
              <w:t>).</w:t>
            </w:r>
          </w:p>
          <w:p w14:paraId="58726DFB" w14:textId="77777777" w:rsidR="00BD7DF1" w:rsidRPr="00332B4D" w:rsidRDefault="00BD7DF1" w:rsidP="00332B4D">
            <w:pPr>
              <w:pStyle w:val="BodyTextNumbering"/>
              <w:numPr>
                <w:ilvl w:val="0"/>
                <w:numId w:val="17"/>
              </w:numPr>
              <w:spacing w:before="0" w:after="50"/>
              <w:rPr>
                <w:rFonts w:cs="Arial"/>
                <w:szCs w:val="20"/>
              </w:rPr>
            </w:pPr>
            <w:r w:rsidRPr="00332B4D">
              <w:rPr>
                <w:rFonts w:cs="Arial"/>
                <w:szCs w:val="20"/>
              </w:rPr>
              <w:t>Test options for minim</w:t>
            </w:r>
            <w:r w:rsidR="001F16F4" w:rsidRPr="00332B4D">
              <w:rPr>
                <w:rFonts w:cs="Arial"/>
                <w:szCs w:val="20"/>
              </w:rPr>
              <w:t>ising changes to hydrodynamics.</w:t>
            </w:r>
          </w:p>
          <w:p w14:paraId="38F225C1" w14:textId="77777777" w:rsidR="00BD7DF1" w:rsidRPr="00332B4D" w:rsidRDefault="00BD7DF1" w:rsidP="00332B4D">
            <w:pPr>
              <w:pStyle w:val="BodyTextNumbering"/>
              <w:numPr>
                <w:ilvl w:val="0"/>
                <w:numId w:val="17"/>
              </w:numPr>
              <w:spacing w:before="0" w:after="50"/>
              <w:rPr>
                <w:rFonts w:cs="Arial"/>
                <w:szCs w:val="20"/>
              </w:rPr>
            </w:pPr>
            <w:r w:rsidRPr="00332B4D">
              <w:rPr>
                <w:rFonts w:cs="Arial"/>
                <w:szCs w:val="20"/>
              </w:rPr>
              <w:t>Monitor during works to assess any changes to the site (including substrate stability).</w:t>
            </w:r>
          </w:p>
          <w:p w14:paraId="3C9F2259" w14:textId="77777777" w:rsidR="00BD7DF1" w:rsidRPr="00332B4D" w:rsidRDefault="00BD7DF1" w:rsidP="00332B4D">
            <w:pPr>
              <w:pStyle w:val="BodyTextNumbering"/>
              <w:numPr>
                <w:ilvl w:val="0"/>
                <w:numId w:val="17"/>
              </w:numPr>
              <w:spacing w:before="0" w:after="50"/>
              <w:rPr>
                <w:rFonts w:cs="Arial"/>
                <w:szCs w:val="20"/>
              </w:rPr>
            </w:pPr>
            <w:r w:rsidRPr="00332B4D">
              <w:rPr>
                <w:rFonts w:cs="Arial"/>
                <w:szCs w:val="20"/>
              </w:rPr>
              <w:t>Restrict works to certain seasons, times or tida</w:t>
            </w:r>
            <w:r w:rsidR="001F16F4" w:rsidRPr="00332B4D">
              <w:rPr>
                <w:rFonts w:cs="Arial"/>
                <w:szCs w:val="20"/>
              </w:rPr>
              <w:t>l cycles to reduce the impacts.</w:t>
            </w:r>
          </w:p>
          <w:p w14:paraId="3FF583E1" w14:textId="77777777" w:rsidR="00BD7DF1" w:rsidRPr="00332B4D" w:rsidRDefault="00BD7DF1" w:rsidP="00332B4D">
            <w:pPr>
              <w:pStyle w:val="BodyTextNumbering"/>
              <w:numPr>
                <w:ilvl w:val="0"/>
                <w:numId w:val="17"/>
              </w:numPr>
              <w:spacing w:before="0" w:after="50"/>
              <w:rPr>
                <w:rFonts w:cs="Arial"/>
                <w:szCs w:val="20"/>
              </w:rPr>
            </w:pPr>
            <w:r w:rsidRPr="00332B4D">
              <w:rPr>
                <w:rFonts w:cs="Arial"/>
                <w:szCs w:val="20"/>
              </w:rPr>
              <w:t>A combination of monitoring and modelling during activity to minimise the risk that suspended sediments will cause impacts on any nearby seagrass meadows.</w:t>
            </w:r>
          </w:p>
          <w:p w14:paraId="48D11685" w14:textId="5351FFAB" w:rsidR="00BD7DF1" w:rsidRPr="00332B4D" w:rsidRDefault="00BD7DF1" w:rsidP="00332B4D">
            <w:pPr>
              <w:pStyle w:val="BodyTextNumbering"/>
              <w:numPr>
                <w:ilvl w:val="0"/>
                <w:numId w:val="17"/>
              </w:numPr>
              <w:spacing w:before="0" w:after="50"/>
              <w:rPr>
                <w:rFonts w:cs="Arial"/>
                <w:szCs w:val="20"/>
              </w:rPr>
            </w:pPr>
            <w:r w:rsidRPr="00332B4D">
              <w:rPr>
                <w:rFonts w:cs="Arial"/>
                <w:szCs w:val="20"/>
              </w:rPr>
              <w:t xml:space="preserve">Implement </w:t>
            </w:r>
            <w:r w:rsidR="00606D25">
              <w:rPr>
                <w:rFonts w:cs="Arial"/>
                <w:szCs w:val="20"/>
              </w:rPr>
              <w:t>‘</w:t>
            </w:r>
            <w:r w:rsidRPr="00332B4D">
              <w:rPr>
                <w:rFonts w:cs="Arial"/>
                <w:szCs w:val="20"/>
              </w:rPr>
              <w:t>Go Slow</w:t>
            </w:r>
            <w:r w:rsidR="00606D25">
              <w:rPr>
                <w:rFonts w:cs="Arial"/>
                <w:szCs w:val="20"/>
              </w:rPr>
              <w:t>’</w:t>
            </w:r>
            <w:r w:rsidRPr="00332B4D">
              <w:rPr>
                <w:rFonts w:cs="Arial"/>
                <w:szCs w:val="20"/>
              </w:rPr>
              <w:t xml:space="preserve"> zones (less than 4 knots planing speed) in and adjacent to the activity to reduce stirring up </w:t>
            </w:r>
            <w:r w:rsidR="000E214B" w:rsidRPr="00332B4D">
              <w:rPr>
                <w:rFonts w:cs="Arial"/>
                <w:szCs w:val="20"/>
              </w:rPr>
              <w:t>sediments</w:t>
            </w:r>
            <w:r w:rsidRPr="00332B4D">
              <w:rPr>
                <w:rFonts w:cs="Arial"/>
                <w:szCs w:val="20"/>
              </w:rPr>
              <w:t xml:space="preserve"> or scouring the seafloor.</w:t>
            </w:r>
          </w:p>
          <w:p w14:paraId="1859C69C" w14:textId="131637A9" w:rsidR="00A041CF" w:rsidRPr="00606D25" w:rsidRDefault="00BD7DF1" w:rsidP="00332B4D">
            <w:pPr>
              <w:pStyle w:val="BodyTextNumbering"/>
              <w:numPr>
                <w:ilvl w:val="0"/>
                <w:numId w:val="17"/>
              </w:numPr>
              <w:spacing w:before="0" w:after="50"/>
              <w:rPr>
                <w:rFonts w:cs="Arial"/>
                <w:szCs w:val="20"/>
              </w:rPr>
            </w:pPr>
            <w:r w:rsidRPr="00332B4D">
              <w:rPr>
                <w:rFonts w:cs="Arial"/>
                <w:szCs w:val="20"/>
              </w:rPr>
              <w:t xml:space="preserve">Where applicable, monitoring program and adaptive management responses are specified in an Environmental Management Plan (refer to </w:t>
            </w:r>
            <w:hyperlink r:id="rId73" w:history="1">
              <w:r w:rsidRPr="00332B4D">
                <w:rPr>
                  <w:rStyle w:val="Hyperlink"/>
                  <w:rFonts w:cs="Arial"/>
                  <w:szCs w:val="20"/>
                </w:rPr>
                <w:t>Assessment Guidelines</w:t>
              </w:r>
            </w:hyperlink>
            <w:r w:rsidRPr="00332B4D">
              <w:rPr>
                <w:rFonts w:cs="Arial"/>
                <w:szCs w:val="20"/>
              </w:rPr>
              <w:t>).</w:t>
            </w:r>
          </w:p>
        </w:tc>
      </w:tr>
      <w:tr w:rsidR="00BD7DF1" w:rsidRPr="00332B4D" w14:paraId="16B33B83" w14:textId="77777777" w:rsidTr="00A041CF">
        <w:tc>
          <w:tcPr>
            <w:tcW w:w="1730" w:type="dxa"/>
          </w:tcPr>
          <w:p w14:paraId="711B259F" w14:textId="77777777" w:rsidR="00BD7DF1" w:rsidRPr="00332B4D" w:rsidRDefault="00BD7DF1" w:rsidP="00332B4D">
            <w:pPr>
              <w:pStyle w:val="FurtherInformationText"/>
              <w:spacing w:before="0" w:after="50"/>
              <w:rPr>
                <w:b/>
              </w:rPr>
            </w:pPr>
            <w:r w:rsidRPr="00332B4D">
              <w:rPr>
                <w:b/>
              </w:rPr>
              <w:t>Contamination of water or sediment</w:t>
            </w:r>
          </w:p>
        </w:tc>
        <w:tc>
          <w:tcPr>
            <w:tcW w:w="2835" w:type="dxa"/>
          </w:tcPr>
          <w:p w14:paraId="397F3B99" w14:textId="77777777" w:rsidR="00BD7DF1" w:rsidRPr="00332B4D" w:rsidRDefault="00BD7DF1" w:rsidP="00332B4D">
            <w:pPr>
              <w:pStyle w:val="BodyTextNumbering"/>
              <w:numPr>
                <w:ilvl w:val="0"/>
                <w:numId w:val="20"/>
              </w:numPr>
              <w:spacing w:before="0" w:after="50"/>
              <w:rPr>
                <w:rFonts w:cs="Arial"/>
                <w:szCs w:val="20"/>
              </w:rPr>
            </w:pPr>
            <w:r w:rsidRPr="00332B4D">
              <w:rPr>
                <w:rFonts w:cs="Arial"/>
                <w:szCs w:val="20"/>
              </w:rPr>
              <w:t>Carrying out works (dredging, dumping of spoil, harbour works, reclamation)</w:t>
            </w:r>
          </w:p>
          <w:p w14:paraId="611E39B7" w14:textId="73FE5C63" w:rsidR="00BD7DF1" w:rsidRPr="00332B4D" w:rsidRDefault="00BD7DF1" w:rsidP="00332B4D">
            <w:pPr>
              <w:pStyle w:val="BodyTextNumbering"/>
              <w:keepNext/>
              <w:numPr>
                <w:ilvl w:val="0"/>
                <w:numId w:val="20"/>
              </w:numPr>
              <w:spacing w:before="0" w:after="50"/>
              <w:ind w:left="357"/>
              <w:rPr>
                <w:rFonts w:cs="Arial"/>
                <w:szCs w:val="20"/>
              </w:rPr>
            </w:pPr>
            <w:r w:rsidRPr="00332B4D">
              <w:rPr>
                <w:rFonts w:cs="Arial"/>
                <w:szCs w:val="20"/>
              </w:rPr>
              <w:t>Operating a facility</w:t>
            </w:r>
            <w:r w:rsidR="00AF6A4B" w:rsidRPr="00332B4D">
              <w:rPr>
                <w:rFonts w:cs="Arial"/>
                <w:szCs w:val="20"/>
              </w:rPr>
              <w:t xml:space="preserve"> </w:t>
            </w:r>
            <w:r w:rsidR="00AF6A4B" w:rsidRPr="00332B4D">
              <w:rPr>
                <w:rFonts w:cs="Arial"/>
                <w:szCs w:val="20"/>
              </w:rPr>
              <w:lastRenderedPageBreak/>
              <w:t>(including discharge from facility)</w:t>
            </w:r>
          </w:p>
          <w:p w14:paraId="155CB240" w14:textId="4A1A19E8" w:rsidR="008B5DF1" w:rsidRPr="00332B4D" w:rsidRDefault="00BD7DF1" w:rsidP="00332B4D">
            <w:pPr>
              <w:pStyle w:val="BodyTextNumbering"/>
              <w:keepNext/>
              <w:numPr>
                <w:ilvl w:val="0"/>
                <w:numId w:val="20"/>
              </w:numPr>
              <w:spacing w:before="0" w:after="50"/>
              <w:ind w:left="357"/>
              <w:rPr>
                <w:rFonts w:cs="Arial"/>
                <w:szCs w:val="20"/>
              </w:rPr>
            </w:pPr>
            <w:r w:rsidRPr="00332B4D">
              <w:rPr>
                <w:rFonts w:cs="Arial"/>
                <w:szCs w:val="20"/>
              </w:rPr>
              <w:t>Conducting an aquaculture operation</w:t>
            </w:r>
          </w:p>
          <w:p w14:paraId="526A74A1" w14:textId="77777777" w:rsidR="00BD7DF1" w:rsidRPr="00332B4D" w:rsidRDefault="00BD7DF1" w:rsidP="00332B4D">
            <w:pPr>
              <w:pStyle w:val="BodyTextNumbering"/>
              <w:numPr>
                <w:ilvl w:val="0"/>
                <w:numId w:val="20"/>
              </w:numPr>
              <w:spacing w:before="0" w:after="50"/>
              <w:rPr>
                <w:rFonts w:cs="Arial"/>
                <w:szCs w:val="20"/>
              </w:rPr>
            </w:pPr>
            <w:r w:rsidRPr="00332B4D">
              <w:rPr>
                <w:rFonts w:cs="Arial"/>
                <w:szCs w:val="20"/>
              </w:rPr>
              <w:t>Research other than limited impact research</w:t>
            </w:r>
          </w:p>
        </w:tc>
        <w:tc>
          <w:tcPr>
            <w:tcW w:w="7655" w:type="dxa"/>
          </w:tcPr>
          <w:p w14:paraId="5909351B" w14:textId="77777777" w:rsidR="00BD7DF1" w:rsidRPr="00332B4D" w:rsidRDefault="00BD7DF1" w:rsidP="00332B4D">
            <w:pPr>
              <w:pStyle w:val="BodyTextNumbering"/>
              <w:keepNext/>
              <w:numPr>
                <w:ilvl w:val="0"/>
                <w:numId w:val="20"/>
              </w:numPr>
              <w:spacing w:before="0" w:after="50"/>
              <w:rPr>
                <w:rFonts w:cs="Arial"/>
                <w:szCs w:val="20"/>
              </w:rPr>
            </w:pPr>
            <w:r w:rsidRPr="00332B4D">
              <w:rPr>
                <w:rFonts w:cs="Arial"/>
                <w:szCs w:val="20"/>
              </w:rPr>
              <w:lastRenderedPageBreak/>
              <w:t xml:space="preserve">Contamination can directly poison, stress and kill seagrass. </w:t>
            </w:r>
          </w:p>
          <w:p w14:paraId="514726DF" w14:textId="77777777" w:rsidR="00BD7DF1" w:rsidRPr="00332B4D" w:rsidRDefault="00BD7DF1" w:rsidP="00332B4D">
            <w:pPr>
              <w:pStyle w:val="BodyTextNumbering"/>
              <w:keepNext/>
              <w:numPr>
                <w:ilvl w:val="0"/>
                <w:numId w:val="20"/>
              </w:numPr>
              <w:spacing w:before="0" w:after="50"/>
              <w:rPr>
                <w:rFonts w:cs="Arial"/>
                <w:szCs w:val="20"/>
              </w:rPr>
            </w:pPr>
            <w:r w:rsidRPr="00332B4D">
              <w:rPr>
                <w:rFonts w:cs="Arial"/>
                <w:szCs w:val="20"/>
              </w:rPr>
              <w:t xml:space="preserve">Contamination (intentionally or unintentionally) can impact on the water quality of seagrass habitats or directly affect seagrass health. </w:t>
            </w:r>
          </w:p>
          <w:p w14:paraId="31AB1F97" w14:textId="075EF438" w:rsidR="00BD7DF1" w:rsidRPr="00332B4D" w:rsidRDefault="00BD7DF1" w:rsidP="00332B4D">
            <w:pPr>
              <w:pStyle w:val="BodyTextNumbering"/>
              <w:keepNext/>
              <w:numPr>
                <w:ilvl w:val="0"/>
                <w:numId w:val="20"/>
              </w:numPr>
              <w:spacing w:before="0" w:after="50"/>
              <w:rPr>
                <w:rFonts w:cs="Arial"/>
                <w:szCs w:val="20"/>
              </w:rPr>
            </w:pPr>
            <w:r w:rsidRPr="00332B4D">
              <w:rPr>
                <w:rFonts w:cs="Arial"/>
                <w:szCs w:val="20"/>
              </w:rPr>
              <w:t xml:space="preserve">Contaminants (including freshwater) can stress, disturb or kill seagrass populations through toxicity, growth inhibition, changes to nutrient levels, </w:t>
            </w:r>
            <w:r w:rsidRPr="00332B4D">
              <w:rPr>
                <w:rFonts w:cs="Arial"/>
                <w:szCs w:val="20"/>
              </w:rPr>
              <w:lastRenderedPageBreak/>
              <w:t xml:space="preserve">reduced light levels and changes to salinity. </w:t>
            </w:r>
          </w:p>
          <w:p w14:paraId="0CE7B0E3" w14:textId="75A0D867" w:rsidR="00BD7DF1" w:rsidRPr="00332B4D" w:rsidRDefault="00BD7DF1" w:rsidP="00332B4D">
            <w:pPr>
              <w:pStyle w:val="BodyTextNumbering"/>
              <w:keepNext/>
              <w:numPr>
                <w:ilvl w:val="0"/>
                <w:numId w:val="20"/>
              </w:numPr>
              <w:spacing w:before="0" w:after="50"/>
              <w:rPr>
                <w:rFonts w:cs="Arial"/>
                <w:szCs w:val="20"/>
              </w:rPr>
            </w:pPr>
            <w:r w:rsidRPr="00332B4D">
              <w:rPr>
                <w:rFonts w:cs="Arial"/>
                <w:szCs w:val="20"/>
              </w:rPr>
              <w:t>Seagrass habitat may be contaminated with toxic elements and synthetic compounds</w:t>
            </w:r>
            <w:r w:rsidR="008B5DF1" w:rsidRPr="00332B4D">
              <w:rPr>
                <w:rFonts w:cs="Arial"/>
                <w:szCs w:val="20"/>
              </w:rPr>
              <w:t xml:space="preserve">. </w:t>
            </w:r>
            <w:r w:rsidRPr="00332B4D">
              <w:rPr>
                <w:rFonts w:cs="Arial"/>
                <w:szCs w:val="20"/>
              </w:rPr>
              <w:t xml:space="preserve"> </w:t>
            </w:r>
          </w:p>
          <w:p w14:paraId="2F799D74" w14:textId="77777777" w:rsidR="00BD7DF1" w:rsidRPr="00332B4D" w:rsidRDefault="00BD7DF1" w:rsidP="00332B4D">
            <w:pPr>
              <w:pStyle w:val="BodyTextNumbering"/>
              <w:keepNext/>
              <w:numPr>
                <w:ilvl w:val="0"/>
                <w:numId w:val="20"/>
              </w:numPr>
              <w:spacing w:before="0" w:after="50"/>
              <w:rPr>
                <w:rFonts w:cs="Arial"/>
                <w:szCs w:val="20"/>
              </w:rPr>
            </w:pPr>
            <w:r w:rsidRPr="00332B4D">
              <w:rPr>
                <w:rFonts w:cs="Arial"/>
                <w:szCs w:val="20"/>
              </w:rPr>
              <w:t xml:space="preserve">Reduced water clarity leads to reduction in light to seagrass, blocking photosynthesis and growth (refer to ‘change in light’ hazard above). </w:t>
            </w:r>
          </w:p>
          <w:p w14:paraId="679A2C53" w14:textId="77777777" w:rsidR="00BD7DF1" w:rsidRPr="00332B4D" w:rsidRDefault="00BD7DF1" w:rsidP="00332B4D">
            <w:pPr>
              <w:pStyle w:val="BodyTextNumbering"/>
              <w:keepNext/>
              <w:numPr>
                <w:ilvl w:val="0"/>
                <w:numId w:val="20"/>
              </w:numPr>
              <w:spacing w:before="0" w:after="50"/>
              <w:rPr>
                <w:rFonts w:cs="Arial"/>
                <w:szCs w:val="20"/>
              </w:rPr>
            </w:pPr>
            <w:r w:rsidRPr="00332B4D">
              <w:rPr>
                <w:rFonts w:cs="Arial"/>
                <w:szCs w:val="20"/>
              </w:rPr>
              <w:t xml:space="preserve">Contaminants already in the system can re-enter the water column through resuspension (from activities such as dredging, propeller action and/or vessel movements). </w:t>
            </w:r>
          </w:p>
          <w:p w14:paraId="08DE43E8" w14:textId="2C2E1147" w:rsidR="00C309FE" w:rsidRPr="00332B4D" w:rsidRDefault="00C309FE" w:rsidP="00332B4D">
            <w:pPr>
              <w:pStyle w:val="BodyTextNumbering"/>
              <w:keepNext/>
              <w:numPr>
                <w:ilvl w:val="0"/>
                <w:numId w:val="20"/>
              </w:numPr>
              <w:spacing w:before="0" w:after="50"/>
              <w:rPr>
                <w:rFonts w:cs="Arial"/>
                <w:szCs w:val="20"/>
              </w:rPr>
            </w:pPr>
            <w:r w:rsidRPr="00332B4D">
              <w:rPr>
                <w:rFonts w:cs="Arial"/>
                <w:szCs w:val="20"/>
              </w:rPr>
              <w:t>Seagrass sensitivity (adaptive capacity or recoverability) to dredge–related hazards is considered high for contaminants.</w:t>
            </w:r>
            <w:r w:rsidRPr="00332B4D">
              <w:rPr>
                <w:rFonts w:cs="Arial"/>
                <w:szCs w:val="20"/>
              </w:rPr>
              <w:fldChar w:fldCharType="begin"/>
            </w:r>
            <w:r w:rsidR="00EE558C" w:rsidRPr="00332B4D">
              <w:rPr>
                <w:rFonts w:cs="Arial"/>
                <w:szCs w:val="20"/>
              </w:rPr>
              <w:instrText>ADDIN RW.CITE{{23873 McCook,L. 2015}}</w:instrText>
            </w:r>
            <w:r w:rsidRPr="00332B4D">
              <w:rPr>
                <w:rFonts w:cs="Arial"/>
                <w:szCs w:val="20"/>
              </w:rPr>
              <w:fldChar w:fldCharType="separate"/>
            </w:r>
            <w:r w:rsidR="00EE558C" w:rsidRPr="00332B4D">
              <w:rPr>
                <w:rFonts w:cs="Arial"/>
                <w:szCs w:val="20"/>
                <w:vertAlign w:val="superscript"/>
              </w:rPr>
              <w:t>20</w:t>
            </w:r>
            <w:r w:rsidRPr="00332B4D">
              <w:rPr>
                <w:rFonts w:cs="Arial"/>
                <w:szCs w:val="20"/>
              </w:rPr>
              <w:fldChar w:fldCharType="end"/>
            </w:r>
            <w:r w:rsidRPr="00332B4D">
              <w:rPr>
                <w:rFonts w:cs="Arial"/>
                <w:szCs w:val="20"/>
              </w:rPr>
              <w:t xml:space="preserve"> </w:t>
            </w:r>
          </w:p>
          <w:p w14:paraId="20A36D68" w14:textId="0E39EF68" w:rsidR="00856D74" w:rsidRPr="00332B4D" w:rsidRDefault="00BD7DF1" w:rsidP="00332B4D">
            <w:pPr>
              <w:pStyle w:val="BodyTextNumbering"/>
              <w:keepNext/>
              <w:numPr>
                <w:ilvl w:val="0"/>
                <w:numId w:val="20"/>
              </w:numPr>
              <w:spacing w:before="0" w:after="50"/>
              <w:rPr>
                <w:rFonts w:cs="Arial"/>
                <w:szCs w:val="20"/>
              </w:rPr>
            </w:pPr>
            <w:r w:rsidRPr="00332B4D">
              <w:rPr>
                <w:rFonts w:cs="Arial"/>
                <w:szCs w:val="20"/>
              </w:rPr>
              <w:t xml:space="preserve">Flow-on impacts to the food chain for species that feed on seagrass where toxic elements and synthetic compounds are also ingested. For example, </w:t>
            </w:r>
            <w:r w:rsidR="0075641A" w:rsidRPr="00332B4D">
              <w:rPr>
                <w:rFonts w:cs="Arial"/>
                <w:szCs w:val="20"/>
              </w:rPr>
              <w:t>organochlorine compounds and heavy metals</w:t>
            </w:r>
            <w:r w:rsidRPr="00332B4D">
              <w:rPr>
                <w:rFonts w:cs="Arial"/>
                <w:szCs w:val="20"/>
              </w:rPr>
              <w:t xml:space="preserve"> have been reported in tissues of dugongs in Queensland from contaminated se</w:t>
            </w:r>
            <w:r w:rsidR="004C1DD4" w:rsidRPr="00332B4D">
              <w:rPr>
                <w:rFonts w:cs="Arial"/>
                <w:szCs w:val="20"/>
              </w:rPr>
              <w:t>diments and seagrass</w:t>
            </w:r>
            <w:r w:rsidR="00B22C7C" w:rsidRPr="00332B4D">
              <w:rPr>
                <w:rFonts w:cs="Arial"/>
                <w:szCs w:val="20"/>
              </w:rPr>
              <w:t>.</w:t>
            </w:r>
            <w:r w:rsidR="007D51E7" w:rsidRPr="00332B4D">
              <w:rPr>
                <w:rFonts w:cs="Arial"/>
                <w:szCs w:val="20"/>
              </w:rPr>
              <w:fldChar w:fldCharType="begin"/>
            </w:r>
            <w:r w:rsidR="00EE558C" w:rsidRPr="00332B4D">
              <w:rPr>
                <w:rFonts w:cs="Arial"/>
                <w:szCs w:val="20"/>
              </w:rPr>
              <w:instrText>ADDIN RW.CITE{{25487 Vos,J.G. 2003; 4899 Haynes,D. 2005; 4900 Haynes,D. 2001}}</w:instrText>
            </w:r>
            <w:r w:rsidR="007D51E7" w:rsidRPr="00332B4D">
              <w:rPr>
                <w:rFonts w:cs="Arial"/>
                <w:szCs w:val="20"/>
              </w:rPr>
              <w:fldChar w:fldCharType="separate"/>
            </w:r>
            <w:r w:rsidR="00EE558C" w:rsidRPr="00332B4D">
              <w:rPr>
                <w:rFonts w:cs="Arial"/>
                <w:szCs w:val="20"/>
                <w:vertAlign w:val="superscript"/>
              </w:rPr>
              <w:t>29,30,31</w:t>
            </w:r>
            <w:r w:rsidR="007D51E7" w:rsidRPr="00332B4D">
              <w:rPr>
                <w:rFonts w:cs="Arial"/>
                <w:szCs w:val="20"/>
              </w:rPr>
              <w:fldChar w:fldCharType="end"/>
            </w:r>
            <w:r w:rsidR="007D51E7" w:rsidRPr="00332B4D">
              <w:rPr>
                <w:rFonts w:cs="Arial"/>
                <w:szCs w:val="20"/>
              </w:rPr>
              <w:t xml:space="preserve"> </w:t>
            </w:r>
            <w:r w:rsidRPr="00332B4D">
              <w:rPr>
                <w:rFonts w:cs="Arial"/>
                <w:szCs w:val="20"/>
              </w:rPr>
              <w:t xml:space="preserve">The long-term effect of such contamination on species is still mostly unknown, as is any potential impact on human health through consumption of such species. Therefore, there are </w:t>
            </w:r>
            <w:r w:rsidR="00B22C7C" w:rsidRPr="00332B4D">
              <w:rPr>
                <w:rFonts w:cs="Arial"/>
                <w:szCs w:val="20"/>
              </w:rPr>
              <w:t xml:space="preserve">potential </w:t>
            </w:r>
            <w:r w:rsidRPr="00332B4D">
              <w:rPr>
                <w:rFonts w:cs="Arial"/>
                <w:szCs w:val="20"/>
              </w:rPr>
              <w:t>implications for Traditional Owner values and their health and wellbeing.</w:t>
            </w:r>
          </w:p>
          <w:p w14:paraId="6732D437" w14:textId="54B7D144" w:rsidR="00063D36" w:rsidRPr="00332B4D" w:rsidRDefault="00856D74" w:rsidP="00332B4D">
            <w:pPr>
              <w:pStyle w:val="BodyTextNumbering"/>
              <w:keepNext/>
              <w:numPr>
                <w:ilvl w:val="0"/>
                <w:numId w:val="20"/>
              </w:numPr>
              <w:spacing w:before="0" w:after="50"/>
              <w:rPr>
                <w:rFonts w:cs="Arial"/>
                <w:szCs w:val="20"/>
              </w:rPr>
            </w:pPr>
            <w:r w:rsidRPr="00332B4D">
              <w:rPr>
                <w:rFonts w:cs="Arial"/>
                <w:color w:val="auto"/>
                <w:szCs w:val="20"/>
              </w:rPr>
              <w:t>Negative changes to seagrass health and ecosystem function have flow-on implications for biodiversity values, social values, and Traditional Owner values.</w:t>
            </w:r>
          </w:p>
        </w:tc>
        <w:tc>
          <w:tcPr>
            <w:tcW w:w="8788" w:type="dxa"/>
          </w:tcPr>
          <w:p w14:paraId="4CDB7A37" w14:textId="77777777" w:rsidR="00606D25" w:rsidRPr="00332B4D" w:rsidRDefault="00606D25" w:rsidP="00606D25">
            <w:pPr>
              <w:pStyle w:val="Subheading2"/>
              <w:numPr>
                <w:ilvl w:val="0"/>
                <w:numId w:val="20"/>
              </w:numPr>
              <w:spacing w:before="0" w:after="50"/>
              <w:ind w:right="-51"/>
              <w:rPr>
                <w:rFonts w:cs="Arial"/>
                <w:b w:val="0"/>
                <w:i w:val="0"/>
                <w:color w:val="auto"/>
                <w:szCs w:val="20"/>
              </w:rPr>
            </w:pPr>
            <w:r w:rsidRPr="00332B4D">
              <w:rPr>
                <w:rFonts w:cs="Arial"/>
                <w:b w:val="0"/>
                <w:i w:val="0"/>
                <w:color w:val="auto"/>
                <w:szCs w:val="20"/>
              </w:rPr>
              <w:lastRenderedPageBreak/>
              <w:t xml:space="preserve">Also refer to </w:t>
            </w:r>
            <w:r>
              <w:rPr>
                <w:rFonts w:cs="Arial"/>
                <w:b w:val="0"/>
                <w:i w:val="0"/>
                <w:color w:val="auto"/>
                <w:szCs w:val="20"/>
              </w:rPr>
              <w:t>‘c</w:t>
            </w:r>
            <w:r w:rsidRPr="00332B4D">
              <w:rPr>
                <w:rFonts w:cs="Arial"/>
                <w:b w:val="0"/>
                <w:i w:val="0"/>
                <w:color w:val="auto"/>
                <w:szCs w:val="20"/>
              </w:rPr>
              <w:t>hange in ecological processes</w:t>
            </w:r>
            <w:r>
              <w:rPr>
                <w:rFonts w:cs="Arial"/>
                <w:b w:val="0"/>
                <w:i w:val="0"/>
                <w:color w:val="auto"/>
                <w:szCs w:val="20"/>
              </w:rPr>
              <w:t>’</w:t>
            </w:r>
            <w:r w:rsidRPr="00332B4D">
              <w:rPr>
                <w:rFonts w:cs="Arial"/>
                <w:b w:val="0"/>
                <w:i w:val="0"/>
                <w:color w:val="auto"/>
                <w:szCs w:val="20"/>
              </w:rPr>
              <w:t xml:space="preserve"> in this table.</w:t>
            </w:r>
          </w:p>
          <w:p w14:paraId="24042929" w14:textId="7D05F767" w:rsidR="00BD7DF1" w:rsidRPr="00332B4D" w:rsidRDefault="00BD7DF1" w:rsidP="00606D25">
            <w:pPr>
              <w:pStyle w:val="BodyTextNumbering"/>
              <w:keepNext/>
              <w:numPr>
                <w:ilvl w:val="0"/>
                <w:numId w:val="20"/>
              </w:numPr>
              <w:spacing w:before="0" w:after="50"/>
              <w:rPr>
                <w:rFonts w:cs="Arial"/>
                <w:szCs w:val="20"/>
              </w:rPr>
            </w:pPr>
            <w:r w:rsidRPr="00332B4D">
              <w:rPr>
                <w:rFonts w:cs="Arial"/>
                <w:szCs w:val="20"/>
              </w:rPr>
              <w:t>Prevent runoff or discharge of turbid or polluted water.</w:t>
            </w:r>
          </w:p>
          <w:p w14:paraId="4EABC1F1" w14:textId="1192FF30" w:rsidR="00BD7DF1" w:rsidRPr="00332B4D" w:rsidRDefault="00BD7DF1" w:rsidP="00606D25">
            <w:pPr>
              <w:pStyle w:val="Subheading2"/>
              <w:numPr>
                <w:ilvl w:val="0"/>
                <w:numId w:val="20"/>
              </w:numPr>
              <w:spacing w:before="0" w:after="50"/>
              <w:rPr>
                <w:rFonts w:cs="Arial"/>
                <w:b w:val="0"/>
                <w:i w:val="0"/>
                <w:szCs w:val="20"/>
              </w:rPr>
            </w:pPr>
            <w:r w:rsidRPr="00332B4D">
              <w:rPr>
                <w:rFonts w:cs="Arial"/>
                <w:b w:val="0"/>
                <w:i w:val="0"/>
                <w:szCs w:val="20"/>
              </w:rPr>
              <w:t>Analyse potential contami</w:t>
            </w:r>
            <w:r w:rsidR="00606D25">
              <w:rPr>
                <w:rFonts w:cs="Arial"/>
                <w:b w:val="0"/>
                <w:i w:val="0"/>
                <w:szCs w:val="20"/>
              </w:rPr>
              <w:t xml:space="preserve">nants to understand their short </w:t>
            </w:r>
            <w:r w:rsidRPr="00332B4D">
              <w:rPr>
                <w:rFonts w:cs="Arial"/>
                <w:b w:val="0"/>
                <w:i w:val="0"/>
                <w:szCs w:val="20"/>
              </w:rPr>
              <w:t>and long-term impacts on seagrass, including chain reactions if released into seawater.</w:t>
            </w:r>
          </w:p>
          <w:p w14:paraId="2E3C0F4C" w14:textId="77777777" w:rsidR="00BD7DF1" w:rsidRPr="00332B4D" w:rsidRDefault="00BD7DF1" w:rsidP="00606D25">
            <w:pPr>
              <w:pStyle w:val="Subheading2"/>
              <w:numPr>
                <w:ilvl w:val="0"/>
                <w:numId w:val="20"/>
              </w:numPr>
              <w:spacing w:before="0" w:after="50"/>
              <w:ind w:right="-51"/>
              <w:rPr>
                <w:rFonts w:cs="Arial"/>
                <w:b w:val="0"/>
                <w:i w:val="0"/>
                <w:color w:val="auto"/>
                <w:szCs w:val="20"/>
              </w:rPr>
            </w:pPr>
            <w:r w:rsidRPr="00332B4D">
              <w:rPr>
                <w:rFonts w:cs="Arial"/>
                <w:b w:val="0"/>
                <w:i w:val="0"/>
                <w:color w:val="auto"/>
                <w:szCs w:val="20"/>
              </w:rPr>
              <w:lastRenderedPageBreak/>
              <w:t>Avoid or reduce contamination.</w:t>
            </w:r>
          </w:p>
          <w:p w14:paraId="51239ACB" w14:textId="77777777" w:rsidR="00E96FE7" w:rsidRPr="00332B4D" w:rsidRDefault="00E96FE7" w:rsidP="00606D25">
            <w:pPr>
              <w:pStyle w:val="Subheading2"/>
              <w:numPr>
                <w:ilvl w:val="0"/>
                <w:numId w:val="20"/>
              </w:numPr>
              <w:spacing w:before="0" w:after="50"/>
              <w:ind w:right="-51"/>
              <w:rPr>
                <w:rFonts w:cs="Arial"/>
                <w:b w:val="0"/>
                <w:i w:val="0"/>
                <w:color w:val="auto"/>
                <w:szCs w:val="20"/>
              </w:rPr>
            </w:pPr>
            <w:r w:rsidRPr="00332B4D">
              <w:rPr>
                <w:rFonts w:cs="Arial"/>
                <w:b w:val="0"/>
                <w:i w:val="0"/>
                <w:color w:val="auto"/>
                <w:szCs w:val="20"/>
              </w:rPr>
              <w:t xml:space="preserve">Activities involving carrying out works (such as dredging and dumping of spoil, harbour works) is consistent with the </w:t>
            </w:r>
            <w:hyperlink r:id="rId74" w:history="1">
              <w:r w:rsidRPr="00332B4D">
                <w:rPr>
                  <w:rStyle w:val="Hyperlink"/>
                  <w:rFonts w:cs="Arial"/>
                  <w:b w:val="0"/>
                  <w:i w:val="0"/>
                  <w:szCs w:val="20"/>
                </w:rPr>
                <w:t>National Assessment Guidelines for Dredging 2009</w:t>
              </w:r>
            </w:hyperlink>
            <w:r w:rsidR="002625A8" w:rsidRPr="00332B4D">
              <w:rPr>
                <w:rFonts w:cs="Arial"/>
                <w:b w:val="0"/>
                <w:i w:val="0"/>
                <w:color w:val="auto"/>
                <w:szCs w:val="20"/>
              </w:rPr>
              <w:t xml:space="preserve">, including a </w:t>
            </w:r>
            <w:r w:rsidRPr="00332B4D">
              <w:rPr>
                <w:rFonts w:cs="Arial"/>
                <w:b w:val="0"/>
                <w:i w:val="0"/>
                <w:color w:val="auto"/>
                <w:szCs w:val="20"/>
              </w:rPr>
              <w:t>Sediment Sampling and Analysis Plan (SAP)</w:t>
            </w:r>
            <w:r w:rsidR="001F16F4" w:rsidRPr="00332B4D">
              <w:rPr>
                <w:rFonts w:cs="Arial"/>
                <w:b w:val="0"/>
                <w:i w:val="0"/>
                <w:color w:val="auto"/>
                <w:szCs w:val="20"/>
              </w:rPr>
              <w:t xml:space="preserve"> to determine if sediment contains contaminants</w:t>
            </w:r>
            <w:r w:rsidRPr="00332B4D">
              <w:rPr>
                <w:rFonts w:cs="Arial"/>
                <w:b w:val="0"/>
                <w:i w:val="0"/>
                <w:color w:val="auto"/>
                <w:szCs w:val="20"/>
              </w:rPr>
              <w:t>.</w:t>
            </w:r>
          </w:p>
          <w:p w14:paraId="3116E557" w14:textId="422933C9" w:rsidR="00AF6A4B" w:rsidRPr="00332B4D" w:rsidRDefault="00AF6A4B" w:rsidP="00606D25">
            <w:pPr>
              <w:pStyle w:val="Subheading2"/>
              <w:numPr>
                <w:ilvl w:val="0"/>
                <w:numId w:val="20"/>
              </w:numPr>
              <w:spacing w:before="0" w:after="50"/>
              <w:ind w:right="-51"/>
              <w:rPr>
                <w:rFonts w:cs="Arial"/>
                <w:b w:val="0"/>
                <w:i w:val="0"/>
                <w:color w:val="auto"/>
                <w:szCs w:val="20"/>
              </w:rPr>
            </w:pPr>
            <w:r w:rsidRPr="00332B4D">
              <w:rPr>
                <w:rFonts w:cs="Arial"/>
                <w:b w:val="0"/>
                <w:i w:val="0"/>
                <w:szCs w:val="20"/>
              </w:rPr>
              <w:t xml:space="preserve">Individual contaminants should be assessed on a case-by-case basis. Information on the effects of some toxicants can be found in the </w:t>
            </w:r>
            <w:hyperlink r:id="rId75" w:history="1">
              <w:r w:rsidRPr="00332B4D">
                <w:rPr>
                  <w:rStyle w:val="Hyperlink"/>
                  <w:rFonts w:cs="Arial"/>
                  <w:b w:val="0"/>
                  <w:i w:val="0"/>
                  <w:szCs w:val="20"/>
                </w:rPr>
                <w:t>Water Quality Guidelines for the Great Barrier Reef Marine Park</w:t>
              </w:r>
            </w:hyperlink>
            <w:r w:rsidRPr="00332B4D">
              <w:rPr>
                <w:rFonts w:cs="Arial"/>
                <w:b w:val="0"/>
                <w:i w:val="0"/>
                <w:color w:val="auto"/>
              </w:rPr>
              <w:t>. Other information sources include</w:t>
            </w:r>
            <w:r w:rsidR="00606D25">
              <w:rPr>
                <w:rFonts w:cs="Arial"/>
                <w:b w:val="0"/>
                <w:i w:val="0"/>
                <w:color w:val="auto"/>
              </w:rPr>
              <w:t xml:space="preserve"> the</w:t>
            </w:r>
            <w:r w:rsidRPr="00332B4D">
              <w:rPr>
                <w:rFonts w:cs="Arial"/>
                <w:b w:val="0"/>
                <w:i w:val="0"/>
                <w:color w:val="auto"/>
              </w:rPr>
              <w:t xml:space="preserve"> </w:t>
            </w:r>
            <w:hyperlink r:id="rId76" w:history="1">
              <w:r w:rsidRPr="00332B4D">
                <w:rPr>
                  <w:rStyle w:val="Hyperlink"/>
                  <w:rFonts w:cs="Arial"/>
                  <w:b w:val="0"/>
                  <w:i w:val="0"/>
                </w:rPr>
                <w:t>Ecotox</w:t>
              </w:r>
            </w:hyperlink>
            <w:r w:rsidRPr="00332B4D">
              <w:rPr>
                <w:rFonts w:cs="Arial"/>
                <w:b w:val="0"/>
                <w:i w:val="0"/>
                <w:color w:val="auto"/>
              </w:rPr>
              <w:t xml:space="preserve"> database and the </w:t>
            </w:r>
            <w:hyperlink r:id="rId77" w:history="1">
              <w:r w:rsidRPr="00332B4D">
                <w:rPr>
                  <w:rStyle w:val="Hyperlink"/>
                  <w:rFonts w:cs="Arial"/>
                  <w:b w:val="0"/>
                  <w:i w:val="0"/>
                </w:rPr>
                <w:t>Australian Pesticides and Veterinary Medicines Authority</w:t>
              </w:r>
            </w:hyperlink>
            <w:r w:rsidRPr="00332B4D">
              <w:rPr>
                <w:rFonts w:cs="Arial"/>
                <w:b w:val="0"/>
                <w:i w:val="0"/>
                <w:color w:val="auto"/>
              </w:rPr>
              <w:t>.</w:t>
            </w:r>
            <w:r w:rsidRPr="00332B4D">
              <w:rPr>
                <w:rFonts w:cs="Arial"/>
                <w:color w:val="auto"/>
              </w:rPr>
              <w:t xml:space="preserve"> </w:t>
            </w:r>
          </w:p>
          <w:p w14:paraId="5DF642D3" w14:textId="77777777" w:rsidR="00BD7DF1" w:rsidRPr="00332B4D" w:rsidRDefault="00BD7DF1" w:rsidP="00606D25">
            <w:pPr>
              <w:pStyle w:val="Subheading2"/>
              <w:numPr>
                <w:ilvl w:val="0"/>
                <w:numId w:val="20"/>
              </w:numPr>
              <w:spacing w:before="0" w:after="50"/>
              <w:ind w:right="-51"/>
              <w:rPr>
                <w:rFonts w:cs="Arial"/>
                <w:b w:val="0"/>
                <w:i w:val="0"/>
                <w:color w:val="auto"/>
                <w:szCs w:val="20"/>
              </w:rPr>
            </w:pPr>
            <w:r w:rsidRPr="00332B4D">
              <w:rPr>
                <w:rFonts w:cs="Arial"/>
                <w:b w:val="0"/>
                <w:i w:val="0"/>
                <w:color w:val="auto"/>
                <w:szCs w:val="20"/>
              </w:rPr>
              <w:t>Enact a robust management and monitoring plan covering habitats within and adjacent to the activity, to ensure contamination of water and sediment is avoided and managed.</w:t>
            </w:r>
          </w:p>
          <w:p w14:paraId="4B6E73C4" w14:textId="77777777" w:rsidR="00BD7DF1" w:rsidRPr="00332B4D" w:rsidRDefault="00BD7DF1" w:rsidP="00606D25">
            <w:pPr>
              <w:pStyle w:val="Subheading2"/>
              <w:numPr>
                <w:ilvl w:val="0"/>
                <w:numId w:val="20"/>
              </w:numPr>
              <w:spacing w:before="0" w:after="50"/>
              <w:ind w:right="-51"/>
              <w:rPr>
                <w:rFonts w:cs="Arial"/>
                <w:b w:val="0"/>
                <w:i w:val="0"/>
                <w:color w:val="auto"/>
                <w:szCs w:val="20"/>
              </w:rPr>
            </w:pPr>
            <w:r w:rsidRPr="00332B4D">
              <w:rPr>
                <w:rFonts w:cs="Arial"/>
                <w:b w:val="0"/>
                <w:i w:val="0"/>
                <w:szCs w:val="20"/>
              </w:rPr>
              <w:t>Conduct hydrodynamic modelling to predict potential plumes</w:t>
            </w:r>
            <w:r w:rsidRPr="00332B4D">
              <w:rPr>
                <w:rFonts w:cs="Arial"/>
                <w:b w:val="0"/>
                <w:i w:val="0"/>
                <w:color w:val="auto"/>
                <w:szCs w:val="20"/>
              </w:rPr>
              <w:t xml:space="preserve">. </w:t>
            </w:r>
          </w:p>
          <w:p w14:paraId="675BFB3F" w14:textId="77777777" w:rsidR="00BD7DF1" w:rsidRPr="00332B4D" w:rsidRDefault="00BD7DF1" w:rsidP="00606D25">
            <w:pPr>
              <w:pStyle w:val="Subheading2"/>
              <w:numPr>
                <w:ilvl w:val="0"/>
                <w:numId w:val="20"/>
              </w:numPr>
              <w:spacing w:before="0" w:after="50"/>
              <w:ind w:right="-51"/>
              <w:rPr>
                <w:rFonts w:cs="Arial"/>
                <w:b w:val="0"/>
                <w:i w:val="0"/>
                <w:color w:val="auto"/>
                <w:szCs w:val="20"/>
              </w:rPr>
            </w:pPr>
            <w:r w:rsidRPr="00332B4D">
              <w:rPr>
                <w:rFonts w:cs="Arial"/>
                <w:b w:val="0"/>
                <w:i w:val="0"/>
                <w:color w:val="auto"/>
                <w:szCs w:val="20"/>
              </w:rPr>
              <w:t xml:space="preserve">Monitoring program with </w:t>
            </w:r>
            <w:r w:rsidR="00DD7E61" w:rsidRPr="00332B4D">
              <w:rPr>
                <w:rFonts w:cs="Arial"/>
                <w:b w:val="0"/>
                <w:i w:val="0"/>
                <w:color w:val="auto"/>
                <w:szCs w:val="20"/>
              </w:rPr>
              <w:t>ecologically relevant</w:t>
            </w:r>
            <w:r w:rsidRPr="00332B4D">
              <w:rPr>
                <w:rFonts w:cs="Arial"/>
                <w:b w:val="0"/>
                <w:i w:val="0"/>
                <w:color w:val="auto"/>
                <w:szCs w:val="20"/>
              </w:rPr>
              <w:t xml:space="preserve"> thresholds and triggers (and control sites), as well as adaptive management responses are identified and specified in an Environmental Management Plan (refer to </w:t>
            </w:r>
            <w:hyperlink r:id="rId78" w:history="1">
              <w:r w:rsidRPr="00332B4D">
                <w:rPr>
                  <w:rStyle w:val="Hyperlink"/>
                  <w:rFonts w:cs="Arial"/>
                  <w:b w:val="0"/>
                  <w:i w:val="0"/>
                  <w:szCs w:val="20"/>
                </w:rPr>
                <w:t>Assessment Guidelines</w:t>
              </w:r>
            </w:hyperlink>
            <w:r w:rsidR="00E96FE7" w:rsidRPr="00332B4D">
              <w:rPr>
                <w:rFonts w:cs="Arial"/>
                <w:b w:val="0"/>
                <w:i w:val="0"/>
                <w:color w:val="auto"/>
                <w:szCs w:val="20"/>
              </w:rPr>
              <w:t>).</w:t>
            </w:r>
          </w:p>
          <w:p w14:paraId="4EC27FF2" w14:textId="3E74F5AD" w:rsidR="00E96FE7" w:rsidRPr="00332B4D" w:rsidRDefault="00BD7DF1" w:rsidP="00606D25">
            <w:pPr>
              <w:pStyle w:val="Subheading2"/>
              <w:numPr>
                <w:ilvl w:val="0"/>
                <w:numId w:val="20"/>
              </w:numPr>
              <w:spacing w:before="0" w:after="50"/>
              <w:ind w:right="-51"/>
              <w:rPr>
                <w:rFonts w:cs="Arial"/>
                <w:b w:val="0"/>
                <w:i w:val="0"/>
                <w:color w:val="auto"/>
                <w:szCs w:val="20"/>
              </w:rPr>
            </w:pPr>
            <w:r w:rsidRPr="00332B4D">
              <w:rPr>
                <w:rFonts w:cs="Arial"/>
                <w:b w:val="0"/>
                <w:i w:val="0"/>
                <w:color w:val="auto"/>
                <w:szCs w:val="20"/>
              </w:rPr>
              <w:t>Managing risk of contamination, including during extreme weather events, through appropriate chemical storage, buffering storage and processing facilities. Identify appropriate clean-up strategies, including access to clean-up equipment.</w:t>
            </w:r>
          </w:p>
        </w:tc>
      </w:tr>
      <w:tr w:rsidR="00764940" w:rsidRPr="00332B4D" w14:paraId="6ECFF15E" w14:textId="77777777" w:rsidTr="00A041CF">
        <w:tc>
          <w:tcPr>
            <w:tcW w:w="1730" w:type="dxa"/>
          </w:tcPr>
          <w:p w14:paraId="74FEC6D6" w14:textId="5D75457F" w:rsidR="00501A1F" w:rsidRPr="00332B4D" w:rsidRDefault="00501A1F" w:rsidP="00332B4D">
            <w:pPr>
              <w:pStyle w:val="FurtherInformationText"/>
              <w:spacing w:before="0" w:after="50"/>
              <w:rPr>
                <w:b/>
              </w:rPr>
            </w:pPr>
            <w:r w:rsidRPr="00332B4D">
              <w:rPr>
                <w:b/>
              </w:rPr>
              <w:lastRenderedPageBreak/>
              <w:t xml:space="preserve">Direct death or removal </w:t>
            </w:r>
            <w:r w:rsidR="00A03655" w:rsidRPr="00332B4D">
              <w:rPr>
                <w:b/>
              </w:rPr>
              <w:t>of living things</w:t>
            </w:r>
          </w:p>
          <w:p w14:paraId="6D1EED0F" w14:textId="1775CF09" w:rsidR="00501A1F" w:rsidRPr="00332B4D" w:rsidRDefault="00501A1F" w:rsidP="00332B4D">
            <w:pPr>
              <w:pStyle w:val="FurtherInformationText"/>
              <w:spacing w:before="0" w:after="50"/>
            </w:pPr>
            <w:r w:rsidRPr="00332B4D">
              <w:t>and</w:t>
            </w:r>
          </w:p>
          <w:p w14:paraId="56795940" w14:textId="62B11EDD" w:rsidR="00FA23A8" w:rsidRPr="00332B4D" w:rsidRDefault="00764940" w:rsidP="00332B4D">
            <w:pPr>
              <w:pStyle w:val="FurtherInformationText"/>
              <w:spacing w:before="0" w:after="50"/>
              <w:rPr>
                <w:b/>
              </w:rPr>
            </w:pPr>
            <w:r w:rsidRPr="00332B4D">
              <w:rPr>
                <w:b/>
              </w:rPr>
              <w:t>Direct injury o</w:t>
            </w:r>
            <w:r w:rsidR="00A03655" w:rsidRPr="00332B4D">
              <w:rPr>
                <w:b/>
              </w:rPr>
              <w:t>r disturbance of living things</w:t>
            </w:r>
          </w:p>
          <w:p w14:paraId="0861CF62" w14:textId="77777777" w:rsidR="00764940" w:rsidRPr="00332B4D" w:rsidRDefault="00764940" w:rsidP="00332B4D">
            <w:pPr>
              <w:pStyle w:val="FurtherInformationText"/>
              <w:spacing w:before="0" w:after="50"/>
              <w:rPr>
                <w:b/>
              </w:rPr>
            </w:pPr>
          </w:p>
        </w:tc>
        <w:tc>
          <w:tcPr>
            <w:tcW w:w="2835" w:type="dxa"/>
          </w:tcPr>
          <w:p w14:paraId="2B5DA1FE" w14:textId="77777777" w:rsidR="00501A1F" w:rsidRPr="00332B4D" w:rsidRDefault="00501A1F" w:rsidP="00332B4D">
            <w:pPr>
              <w:pStyle w:val="BodyTextNumbering"/>
              <w:numPr>
                <w:ilvl w:val="0"/>
                <w:numId w:val="20"/>
              </w:numPr>
              <w:spacing w:before="0" w:after="50"/>
              <w:rPr>
                <w:rFonts w:cs="Arial"/>
                <w:szCs w:val="20"/>
              </w:rPr>
            </w:pPr>
            <w:r w:rsidRPr="00332B4D">
              <w:rPr>
                <w:rFonts w:cs="Arial"/>
                <w:szCs w:val="20"/>
              </w:rPr>
              <w:t>Carrying out works (dredging, dumping of spoil, harbour works, reclamation)</w:t>
            </w:r>
          </w:p>
          <w:p w14:paraId="1BFC0D68" w14:textId="77777777" w:rsidR="008416E2" w:rsidRPr="00332B4D" w:rsidRDefault="00501A1F" w:rsidP="00332B4D">
            <w:pPr>
              <w:pStyle w:val="BodyTextNumbering"/>
              <w:numPr>
                <w:ilvl w:val="0"/>
                <w:numId w:val="20"/>
              </w:numPr>
              <w:spacing w:before="0" w:after="50"/>
              <w:rPr>
                <w:rFonts w:cs="Arial"/>
                <w:szCs w:val="20"/>
              </w:rPr>
            </w:pPr>
            <w:r w:rsidRPr="00332B4D">
              <w:rPr>
                <w:rFonts w:cs="Arial"/>
                <w:szCs w:val="20"/>
              </w:rPr>
              <w:t>Operating a facility</w:t>
            </w:r>
          </w:p>
          <w:p w14:paraId="4C340893" w14:textId="2F9B0FD2" w:rsidR="00764940" w:rsidRPr="00332B4D" w:rsidRDefault="00501A1F" w:rsidP="00332B4D">
            <w:pPr>
              <w:pStyle w:val="BodyTextNumbering"/>
              <w:numPr>
                <w:ilvl w:val="0"/>
                <w:numId w:val="20"/>
              </w:numPr>
              <w:spacing w:before="0" w:after="50"/>
              <w:rPr>
                <w:rFonts w:cs="Arial"/>
                <w:szCs w:val="20"/>
              </w:rPr>
            </w:pPr>
            <w:r w:rsidRPr="00332B4D">
              <w:rPr>
                <w:rFonts w:cs="Arial"/>
                <w:szCs w:val="20"/>
              </w:rPr>
              <w:t>Research other than limited impact research</w:t>
            </w:r>
          </w:p>
        </w:tc>
        <w:tc>
          <w:tcPr>
            <w:tcW w:w="7655" w:type="dxa"/>
          </w:tcPr>
          <w:p w14:paraId="0339C37A" w14:textId="33413276" w:rsidR="00764940" w:rsidRPr="00332B4D" w:rsidRDefault="00764940" w:rsidP="00332B4D">
            <w:pPr>
              <w:pStyle w:val="BodyTextNumbering"/>
              <w:numPr>
                <w:ilvl w:val="0"/>
                <w:numId w:val="21"/>
              </w:numPr>
              <w:spacing w:before="0" w:after="50"/>
              <w:rPr>
                <w:rFonts w:cs="Arial"/>
                <w:szCs w:val="20"/>
              </w:rPr>
            </w:pPr>
            <w:r w:rsidRPr="00332B4D">
              <w:rPr>
                <w:rFonts w:cs="Arial"/>
                <w:szCs w:val="20"/>
              </w:rPr>
              <w:t xml:space="preserve">Any action that physically </w:t>
            </w:r>
            <w:r w:rsidR="00EB192D" w:rsidRPr="00332B4D">
              <w:rPr>
                <w:rFonts w:cs="Arial"/>
                <w:szCs w:val="20"/>
              </w:rPr>
              <w:t>contacts</w:t>
            </w:r>
            <w:r w:rsidRPr="00332B4D">
              <w:rPr>
                <w:rFonts w:cs="Arial"/>
                <w:szCs w:val="20"/>
              </w:rPr>
              <w:t xml:space="preserve"> or uproots </w:t>
            </w:r>
            <w:r w:rsidR="00FA23A8" w:rsidRPr="00332B4D">
              <w:rPr>
                <w:rFonts w:cs="Arial"/>
                <w:szCs w:val="20"/>
              </w:rPr>
              <w:t>seagrass</w:t>
            </w:r>
            <w:r w:rsidRPr="00332B4D">
              <w:rPr>
                <w:rFonts w:cs="Arial"/>
                <w:szCs w:val="20"/>
              </w:rPr>
              <w:t xml:space="preserve"> plant</w:t>
            </w:r>
            <w:r w:rsidR="00FA23A8" w:rsidRPr="00332B4D">
              <w:rPr>
                <w:rFonts w:cs="Arial"/>
                <w:szCs w:val="20"/>
              </w:rPr>
              <w:t xml:space="preserve">s </w:t>
            </w:r>
            <w:r w:rsidR="003033A7" w:rsidRPr="00332B4D">
              <w:rPr>
                <w:rFonts w:cs="Arial"/>
                <w:szCs w:val="20"/>
              </w:rPr>
              <w:t>may</w:t>
            </w:r>
            <w:r w:rsidR="00362D1A" w:rsidRPr="00332B4D">
              <w:rPr>
                <w:rFonts w:cs="Arial"/>
                <w:szCs w:val="20"/>
              </w:rPr>
              <w:t xml:space="preserve"> </w:t>
            </w:r>
            <w:r w:rsidR="007164AA" w:rsidRPr="00332B4D">
              <w:rPr>
                <w:rFonts w:cs="Arial"/>
                <w:szCs w:val="20"/>
              </w:rPr>
              <w:t xml:space="preserve">result in </w:t>
            </w:r>
            <w:r w:rsidR="00FA23A8" w:rsidRPr="00332B4D">
              <w:rPr>
                <w:rFonts w:cs="Arial"/>
                <w:szCs w:val="20"/>
              </w:rPr>
              <w:t>death and removal</w:t>
            </w:r>
            <w:r w:rsidRPr="00332B4D">
              <w:rPr>
                <w:rFonts w:cs="Arial"/>
                <w:szCs w:val="20"/>
              </w:rPr>
              <w:t>.</w:t>
            </w:r>
            <w:r w:rsidR="00FA23A8" w:rsidRPr="00332B4D">
              <w:rPr>
                <w:rFonts w:cs="Arial"/>
                <w:szCs w:val="20"/>
              </w:rPr>
              <w:t xml:space="preserve"> This is particularly evident during works in and</w:t>
            </w:r>
            <w:r w:rsidR="00063D36" w:rsidRPr="00332B4D">
              <w:rPr>
                <w:rFonts w:cs="Arial"/>
                <w:szCs w:val="20"/>
              </w:rPr>
              <w:t xml:space="preserve"> adjacent to seagrass habitats.</w:t>
            </w:r>
          </w:p>
          <w:p w14:paraId="5A0CCB27" w14:textId="27A59BAC" w:rsidR="00764940" w:rsidRPr="00332B4D" w:rsidRDefault="001E1774" w:rsidP="00332B4D">
            <w:pPr>
              <w:pStyle w:val="BodyTextNumbering"/>
              <w:numPr>
                <w:ilvl w:val="0"/>
                <w:numId w:val="21"/>
              </w:numPr>
              <w:spacing w:before="0" w:after="50"/>
              <w:rPr>
                <w:rFonts w:cs="Arial"/>
                <w:szCs w:val="20"/>
              </w:rPr>
            </w:pPr>
            <w:r w:rsidRPr="00332B4D">
              <w:rPr>
                <w:rFonts w:cs="Arial"/>
                <w:szCs w:val="20"/>
              </w:rPr>
              <w:t>I</w:t>
            </w:r>
            <w:r w:rsidR="00764940" w:rsidRPr="00332B4D">
              <w:rPr>
                <w:rFonts w:cs="Arial"/>
                <w:szCs w:val="20"/>
              </w:rPr>
              <w:t>ncreased vessel activity</w:t>
            </w:r>
            <w:r w:rsidR="00FA23A8" w:rsidRPr="00332B4D">
              <w:rPr>
                <w:rFonts w:cs="Arial"/>
                <w:szCs w:val="20"/>
              </w:rPr>
              <w:t xml:space="preserve"> (associated with works or other activities)</w:t>
            </w:r>
            <w:r w:rsidR="00764940" w:rsidRPr="00332B4D">
              <w:rPr>
                <w:rFonts w:cs="Arial"/>
                <w:szCs w:val="20"/>
              </w:rPr>
              <w:t xml:space="preserve"> creates impacts from propellers, anchors, mooring chains and rope – leading to</w:t>
            </w:r>
            <w:r w:rsidR="00EB192D" w:rsidRPr="00332B4D">
              <w:rPr>
                <w:rFonts w:cs="Arial"/>
                <w:szCs w:val="20"/>
              </w:rPr>
              <w:t xml:space="preserve"> </w:t>
            </w:r>
            <w:r w:rsidR="00764940" w:rsidRPr="00332B4D">
              <w:rPr>
                <w:rFonts w:cs="Arial"/>
                <w:szCs w:val="20"/>
              </w:rPr>
              <w:t xml:space="preserve">physical damage </w:t>
            </w:r>
            <w:r w:rsidR="00EB192D" w:rsidRPr="00332B4D">
              <w:rPr>
                <w:rFonts w:cs="Arial"/>
                <w:szCs w:val="20"/>
              </w:rPr>
              <w:t xml:space="preserve">(to leaves, stems and roots) </w:t>
            </w:r>
            <w:r w:rsidR="00764940" w:rsidRPr="00332B4D">
              <w:rPr>
                <w:rFonts w:cs="Arial"/>
                <w:szCs w:val="20"/>
              </w:rPr>
              <w:t xml:space="preserve">and </w:t>
            </w:r>
            <w:r w:rsidR="00EB192D" w:rsidRPr="00332B4D">
              <w:rPr>
                <w:rFonts w:cs="Arial"/>
                <w:szCs w:val="20"/>
              </w:rPr>
              <w:t>may result in death</w:t>
            </w:r>
            <w:r w:rsidR="00764940" w:rsidRPr="00332B4D">
              <w:rPr>
                <w:rFonts w:cs="Arial"/>
                <w:szCs w:val="20"/>
              </w:rPr>
              <w:t xml:space="preserve">. </w:t>
            </w:r>
          </w:p>
          <w:p w14:paraId="37DA7AFA" w14:textId="77777777" w:rsidR="00764940" w:rsidRPr="00332B4D" w:rsidRDefault="00764940" w:rsidP="00332B4D">
            <w:pPr>
              <w:pStyle w:val="BodyTextNumbering"/>
              <w:numPr>
                <w:ilvl w:val="0"/>
                <w:numId w:val="21"/>
              </w:numPr>
              <w:spacing w:before="0" w:after="50"/>
              <w:rPr>
                <w:rFonts w:cs="Arial"/>
                <w:szCs w:val="20"/>
              </w:rPr>
            </w:pPr>
            <w:r w:rsidRPr="00332B4D">
              <w:rPr>
                <w:rFonts w:cs="Arial"/>
                <w:szCs w:val="20"/>
              </w:rPr>
              <w:t>Accidental or intentional groundings of vessels, barges and ships in shallow areas may lead to significant physical damage</w:t>
            </w:r>
            <w:r w:rsidR="00FA23A8" w:rsidRPr="00332B4D">
              <w:rPr>
                <w:rFonts w:cs="Arial"/>
                <w:szCs w:val="20"/>
              </w:rPr>
              <w:t>, including death</w:t>
            </w:r>
            <w:r w:rsidR="00063D36" w:rsidRPr="00332B4D">
              <w:rPr>
                <w:rFonts w:cs="Arial"/>
                <w:szCs w:val="20"/>
              </w:rPr>
              <w:t>.</w:t>
            </w:r>
          </w:p>
          <w:p w14:paraId="53AC9133" w14:textId="7319504B" w:rsidR="00DD44AD" w:rsidRPr="00332B4D" w:rsidRDefault="00F63061" w:rsidP="00332B4D">
            <w:pPr>
              <w:pStyle w:val="BodyTextNumbering"/>
              <w:numPr>
                <w:ilvl w:val="0"/>
                <w:numId w:val="21"/>
              </w:numPr>
              <w:spacing w:before="0" w:after="50"/>
              <w:rPr>
                <w:rFonts w:cs="Arial"/>
                <w:szCs w:val="20"/>
              </w:rPr>
            </w:pPr>
            <w:r w:rsidRPr="00332B4D">
              <w:rPr>
                <w:rFonts w:cs="Arial"/>
                <w:szCs w:val="20"/>
              </w:rPr>
              <w:t xml:space="preserve">Dredging activities </w:t>
            </w:r>
            <w:r w:rsidR="00DD44AD" w:rsidRPr="00332B4D">
              <w:rPr>
                <w:rFonts w:cs="Arial"/>
                <w:szCs w:val="20"/>
              </w:rPr>
              <w:t xml:space="preserve">(including the anchoring system) </w:t>
            </w:r>
            <w:r w:rsidRPr="00332B4D">
              <w:rPr>
                <w:rFonts w:cs="Arial"/>
                <w:szCs w:val="20"/>
              </w:rPr>
              <w:t xml:space="preserve">may </w:t>
            </w:r>
            <w:r w:rsidR="00DD44AD" w:rsidRPr="00332B4D">
              <w:rPr>
                <w:rFonts w:cs="Arial"/>
                <w:szCs w:val="20"/>
              </w:rPr>
              <w:t>result in direct physical damage or direct death</w:t>
            </w:r>
            <w:r w:rsidR="00836C0D" w:rsidRPr="00332B4D">
              <w:rPr>
                <w:rFonts w:cs="Arial"/>
                <w:szCs w:val="20"/>
              </w:rPr>
              <w:t>,</w:t>
            </w:r>
            <w:r w:rsidR="00DD44AD" w:rsidRPr="00332B4D">
              <w:rPr>
                <w:rFonts w:cs="Arial"/>
                <w:szCs w:val="20"/>
              </w:rPr>
              <w:t xml:space="preserve"> and removal of seagrass beds</w:t>
            </w:r>
            <w:r w:rsidR="00063D36" w:rsidRPr="00332B4D">
              <w:rPr>
                <w:rFonts w:cs="Arial"/>
                <w:szCs w:val="20"/>
              </w:rPr>
              <w:t>.</w:t>
            </w:r>
          </w:p>
          <w:p w14:paraId="1E4B3D34" w14:textId="68B647E3" w:rsidR="00DD44AD" w:rsidRPr="00332B4D" w:rsidRDefault="00DD44AD" w:rsidP="00332B4D">
            <w:pPr>
              <w:pStyle w:val="BodyTextNumbering"/>
              <w:numPr>
                <w:ilvl w:val="0"/>
                <w:numId w:val="21"/>
              </w:numPr>
              <w:spacing w:before="0" w:after="50"/>
              <w:rPr>
                <w:rFonts w:cs="Arial"/>
                <w:szCs w:val="20"/>
              </w:rPr>
            </w:pPr>
            <w:r w:rsidRPr="00332B4D">
              <w:rPr>
                <w:rFonts w:cs="Arial"/>
                <w:szCs w:val="20"/>
              </w:rPr>
              <w:t>Spoil d</w:t>
            </w:r>
            <w:r w:rsidR="00F63061" w:rsidRPr="00332B4D">
              <w:rPr>
                <w:rFonts w:cs="Arial"/>
                <w:szCs w:val="20"/>
              </w:rPr>
              <w:t xml:space="preserve">isposal activities may </w:t>
            </w:r>
            <w:r w:rsidRPr="00332B4D">
              <w:rPr>
                <w:rFonts w:cs="Arial"/>
                <w:szCs w:val="20"/>
              </w:rPr>
              <w:t xml:space="preserve">result in direct </w:t>
            </w:r>
            <w:r w:rsidR="007164AA" w:rsidRPr="00332B4D">
              <w:rPr>
                <w:rFonts w:cs="Arial"/>
                <w:szCs w:val="20"/>
              </w:rPr>
              <w:t xml:space="preserve">death </w:t>
            </w:r>
            <w:r w:rsidRPr="00332B4D">
              <w:rPr>
                <w:rFonts w:cs="Arial"/>
                <w:szCs w:val="20"/>
              </w:rPr>
              <w:t xml:space="preserve">by </w:t>
            </w:r>
            <w:r w:rsidR="00F63061" w:rsidRPr="00332B4D">
              <w:rPr>
                <w:rFonts w:cs="Arial"/>
                <w:szCs w:val="20"/>
              </w:rPr>
              <w:t>bury</w:t>
            </w:r>
            <w:r w:rsidRPr="00332B4D">
              <w:rPr>
                <w:rFonts w:cs="Arial"/>
                <w:szCs w:val="20"/>
              </w:rPr>
              <w:t xml:space="preserve">ing </w:t>
            </w:r>
            <w:r w:rsidR="009E189D" w:rsidRPr="00332B4D">
              <w:rPr>
                <w:rFonts w:cs="Arial"/>
                <w:szCs w:val="20"/>
              </w:rPr>
              <w:t xml:space="preserve">or smothering </w:t>
            </w:r>
            <w:r w:rsidRPr="00332B4D">
              <w:rPr>
                <w:rFonts w:cs="Arial"/>
                <w:szCs w:val="20"/>
              </w:rPr>
              <w:t>seagrass</w:t>
            </w:r>
            <w:r w:rsidR="00063D36" w:rsidRPr="00332B4D">
              <w:rPr>
                <w:rFonts w:cs="Arial"/>
                <w:szCs w:val="20"/>
              </w:rPr>
              <w:t>.</w:t>
            </w:r>
          </w:p>
          <w:p w14:paraId="32EB2D82" w14:textId="7109223E" w:rsidR="00C309FE" w:rsidRPr="00332B4D" w:rsidRDefault="00C309FE" w:rsidP="00332B4D">
            <w:pPr>
              <w:pStyle w:val="BodyTextNumbering"/>
              <w:numPr>
                <w:ilvl w:val="0"/>
                <w:numId w:val="21"/>
              </w:numPr>
              <w:spacing w:before="0" w:after="50"/>
              <w:rPr>
                <w:rFonts w:cs="Arial"/>
                <w:szCs w:val="20"/>
              </w:rPr>
            </w:pPr>
            <w:r w:rsidRPr="00332B4D">
              <w:rPr>
                <w:rFonts w:cs="Arial"/>
                <w:szCs w:val="20"/>
              </w:rPr>
              <w:t>Seagrass sensitivity (adaptive capacity or recoverability) to dredge–related hazards is considered very high for removal and burial, and moderate for deposition. Removal and burial of seagrass resulting in severe impact is generally limited to the footprint of the activity.</w:t>
            </w:r>
            <w:r w:rsidRPr="00332B4D">
              <w:rPr>
                <w:rFonts w:cs="Arial"/>
                <w:szCs w:val="20"/>
              </w:rPr>
              <w:fldChar w:fldCharType="begin"/>
            </w:r>
            <w:r w:rsidR="00EE558C" w:rsidRPr="00332B4D">
              <w:rPr>
                <w:rFonts w:cs="Arial"/>
                <w:szCs w:val="20"/>
              </w:rPr>
              <w:instrText>ADDIN RW.CITE{{23873 McCook,L. 2015}}</w:instrText>
            </w:r>
            <w:r w:rsidRPr="00332B4D">
              <w:rPr>
                <w:rFonts w:cs="Arial"/>
                <w:szCs w:val="20"/>
              </w:rPr>
              <w:fldChar w:fldCharType="separate"/>
            </w:r>
            <w:r w:rsidR="00EE558C" w:rsidRPr="00332B4D">
              <w:rPr>
                <w:rFonts w:cs="Arial"/>
                <w:szCs w:val="20"/>
                <w:vertAlign w:val="superscript"/>
              </w:rPr>
              <w:t>20</w:t>
            </w:r>
            <w:r w:rsidRPr="00332B4D">
              <w:rPr>
                <w:rFonts w:cs="Arial"/>
                <w:szCs w:val="20"/>
              </w:rPr>
              <w:fldChar w:fldCharType="end"/>
            </w:r>
            <w:r w:rsidRPr="00332B4D">
              <w:rPr>
                <w:rFonts w:cs="Arial"/>
                <w:szCs w:val="20"/>
              </w:rPr>
              <w:t xml:space="preserve"> </w:t>
            </w:r>
          </w:p>
          <w:p w14:paraId="4777A80A" w14:textId="033DB09E" w:rsidR="00FA23A8" w:rsidRPr="00332B4D" w:rsidRDefault="00764940" w:rsidP="00332B4D">
            <w:pPr>
              <w:pStyle w:val="BodyTextNumbering"/>
              <w:numPr>
                <w:ilvl w:val="0"/>
                <w:numId w:val="21"/>
              </w:numPr>
              <w:spacing w:before="0" w:after="50"/>
              <w:rPr>
                <w:rFonts w:cs="Arial"/>
                <w:szCs w:val="20"/>
              </w:rPr>
            </w:pPr>
            <w:r w:rsidRPr="00332B4D">
              <w:rPr>
                <w:rFonts w:cs="Arial"/>
                <w:szCs w:val="20"/>
              </w:rPr>
              <w:t>Propeller scarring often results in a continuous line of seagrass damage which can fragment th</w:t>
            </w:r>
            <w:r w:rsidR="00FA23A8" w:rsidRPr="00332B4D">
              <w:rPr>
                <w:rFonts w:cs="Arial"/>
                <w:szCs w:val="20"/>
              </w:rPr>
              <w:t>e habitat, increase</w:t>
            </w:r>
            <w:r w:rsidRPr="00332B4D">
              <w:rPr>
                <w:rFonts w:cs="Arial"/>
                <w:szCs w:val="20"/>
              </w:rPr>
              <w:t xml:space="preserve"> erosion, </w:t>
            </w:r>
            <w:r w:rsidR="00FA23A8" w:rsidRPr="00332B4D">
              <w:rPr>
                <w:rFonts w:cs="Arial"/>
                <w:szCs w:val="20"/>
              </w:rPr>
              <w:t xml:space="preserve">increase vulnerability </w:t>
            </w:r>
            <w:r w:rsidR="001E1774" w:rsidRPr="00332B4D">
              <w:rPr>
                <w:rFonts w:cs="Arial"/>
                <w:szCs w:val="20"/>
              </w:rPr>
              <w:t xml:space="preserve">to other pressures </w:t>
            </w:r>
            <w:r w:rsidR="00FA23A8" w:rsidRPr="00332B4D">
              <w:rPr>
                <w:rFonts w:cs="Arial"/>
                <w:szCs w:val="20"/>
              </w:rPr>
              <w:t>and disrupt</w:t>
            </w:r>
            <w:r w:rsidR="00063D36" w:rsidRPr="00332B4D">
              <w:rPr>
                <w:rFonts w:cs="Arial"/>
                <w:szCs w:val="20"/>
              </w:rPr>
              <w:t xml:space="preserve"> connectivity.</w:t>
            </w:r>
          </w:p>
          <w:p w14:paraId="547671A8" w14:textId="77777777" w:rsidR="00856D74" w:rsidRPr="00332B4D" w:rsidRDefault="00764940" w:rsidP="00332B4D">
            <w:pPr>
              <w:pStyle w:val="BodyTextNumbering"/>
              <w:numPr>
                <w:ilvl w:val="0"/>
                <w:numId w:val="21"/>
              </w:numPr>
              <w:spacing w:before="0" w:after="50"/>
              <w:rPr>
                <w:rFonts w:cs="Arial"/>
                <w:szCs w:val="20"/>
              </w:rPr>
            </w:pPr>
            <w:r w:rsidRPr="00332B4D">
              <w:rPr>
                <w:rFonts w:cs="Arial"/>
                <w:szCs w:val="20"/>
              </w:rPr>
              <w:t xml:space="preserve">Flow-on effects to </w:t>
            </w:r>
            <w:r w:rsidR="00FA23A8" w:rsidRPr="00332B4D">
              <w:rPr>
                <w:rFonts w:cs="Arial"/>
                <w:szCs w:val="20"/>
              </w:rPr>
              <w:t xml:space="preserve">dependant species, such as dugong and turtles may include </w:t>
            </w:r>
            <w:r w:rsidRPr="00332B4D">
              <w:rPr>
                <w:rFonts w:cs="Arial"/>
                <w:szCs w:val="20"/>
              </w:rPr>
              <w:t>alter</w:t>
            </w:r>
            <w:r w:rsidR="00FA23A8" w:rsidRPr="00332B4D">
              <w:rPr>
                <w:rFonts w:cs="Arial"/>
                <w:szCs w:val="20"/>
              </w:rPr>
              <w:t>ed</w:t>
            </w:r>
            <w:r w:rsidRPr="00332B4D">
              <w:rPr>
                <w:rFonts w:cs="Arial"/>
                <w:szCs w:val="20"/>
              </w:rPr>
              <w:t xml:space="preserve"> feeding behaviour or displacement of animals</w:t>
            </w:r>
            <w:r w:rsidR="00FA23A8" w:rsidRPr="00332B4D">
              <w:rPr>
                <w:rFonts w:cs="Arial"/>
                <w:szCs w:val="20"/>
              </w:rPr>
              <w:t>. This may</w:t>
            </w:r>
            <w:r w:rsidRPr="00332B4D">
              <w:rPr>
                <w:rFonts w:cs="Arial"/>
                <w:szCs w:val="20"/>
              </w:rPr>
              <w:t xml:space="preserve"> lead</w:t>
            </w:r>
            <w:r w:rsidR="00FA23A8" w:rsidRPr="00332B4D">
              <w:rPr>
                <w:rFonts w:cs="Arial"/>
                <w:szCs w:val="20"/>
              </w:rPr>
              <w:t xml:space="preserve"> </w:t>
            </w:r>
            <w:r w:rsidRPr="00332B4D">
              <w:rPr>
                <w:rFonts w:cs="Arial"/>
                <w:szCs w:val="20"/>
              </w:rPr>
              <w:t>to reduced fitness, resilience, fecundity and even death</w:t>
            </w:r>
            <w:r w:rsidR="00FA23A8" w:rsidRPr="00332B4D">
              <w:rPr>
                <w:rFonts w:cs="Arial"/>
                <w:szCs w:val="20"/>
              </w:rPr>
              <w:t xml:space="preserve"> of those species</w:t>
            </w:r>
            <w:r w:rsidR="00063D36" w:rsidRPr="00332B4D">
              <w:rPr>
                <w:rFonts w:cs="Arial"/>
                <w:szCs w:val="20"/>
              </w:rPr>
              <w:t>.</w:t>
            </w:r>
          </w:p>
          <w:p w14:paraId="43C256C3" w14:textId="434F1661" w:rsidR="00063D36" w:rsidRPr="00332B4D" w:rsidRDefault="00856D74" w:rsidP="00332B4D">
            <w:pPr>
              <w:pStyle w:val="BodyTextNumbering"/>
              <w:numPr>
                <w:ilvl w:val="0"/>
                <w:numId w:val="21"/>
              </w:numPr>
              <w:spacing w:before="0" w:after="50"/>
              <w:rPr>
                <w:rFonts w:cs="Arial"/>
                <w:szCs w:val="20"/>
              </w:rPr>
            </w:pPr>
            <w:r w:rsidRPr="00332B4D">
              <w:rPr>
                <w:rFonts w:cs="Arial"/>
                <w:color w:val="auto"/>
                <w:szCs w:val="20"/>
              </w:rPr>
              <w:t>Negative changes to seagrass health and ecosystem function have flow-on implications for biodiversity values, social values, and Traditional Owner values.</w:t>
            </w:r>
          </w:p>
        </w:tc>
        <w:tc>
          <w:tcPr>
            <w:tcW w:w="8788" w:type="dxa"/>
          </w:tcPr>
          <w:p w14:paraId="7FDFA1ED" w14:textId="77777777" w:rsidR="00606D25" w:rsidRPr="00332B4D" w:rsidRDefault="00606D25" w:rsidP="00606D25">
            <w:pPr>
              <w:pStyle w:val="Subheading2"/>
              <w:numPr>
                <w:ilvl w:val="0"/>
                <w:numId w:val="21"/>
              </w:numPr>
              <w:spacing w:before="0" w:after="50"/>
              <w:ind w:right="-51"/>
              <w:rPr>
                <w:rFonts w:cs="Arial"/>
                <w:b w:val="0"/>
                <w:i w:val="0"/>
                <w:color w:val="auto"/>
                <w:szCs w:val="20"/>
              </w:rPr>
            </w:pPr>
            <w:r w:rsidRPr="00332B4D">
              <w:rPr>
                <w:rFonts w:cs="Arial"/>
                <w:b w:val="0"/>
                <w:i w:val="0"/>
                <w:color w:val="auto"/>
                <w:szCs w:val="20"/>
              </w:rPr>
              <w:t xml:space="preserve">Also refer to </w:t>
            </w:r>
            <w:r>
              <w:rPr>
                <w:rFonts w:cs="Arial"/>
                <w:b w:val="0"/>
                <w:i w:val="0"/>
                <w:color w:val="auto"/>
                <w:szCs w:val="20"/>
              </w:rPr>
              <w:t>‘c</w:t>
            </w:r>
            <w:r w:rsidRPr="00332B4D">
              <w:rPr>
                <w:rFonts w:cs="Arial"/>
                <w:b w:val="0"/>
                <w:i w:val="0"/>
                <w:color w:val="auto"/>
                <w:szCs w:val="20"/>
              </w:rPr>
              <w:t>hange in ecological processes</w:t>
            </w:r>
            <w:r>
              <w:rPr>
                <w:rFonts w:cs="Arial"/>
                <w:b w:val="0"/>
                <w:i w:val="0"/>
                <w:color w:val="auto"/>
                <w:szCs w:val="20"/>
              </w:rPr>
              <w:t>’</w:t>
            </w:r>
            <w:r w:rsidRPr="00332B4D">
              <w:rPr>
                <w:rFonts w:cs="Arial"/>
                <w:b w:val="0"/>
                <w:i w:val="0"/>
                <w:color w:val="auto"/>
                <w:szCs w:val="20"/>
              </w:rPr>
              <w:t xml:space="preserve"> in this table.</w:t>
            </w:r>
          </w:p>
          <w:p w14:paraId="632322DD" w14:textId="77777777" w:rsidR="00606D25" w:rsidRDefault="00EB6A94" w:rsidP="00606D25">
            <w:pPr>
              <w:pStyle w:val="BodyTextNumbering"/>
              <w:numPr>
                <w:ilvl w:val="0"/>
                <w:numId w:val="21"/>
              </w:numPr>
              <w:spacing w:before="0" w:after="50"/>
              <w:rPr>
                <w:rFonts w:cs="Arial"/>
                <w:szCs w:val="20"/>
              </w:rPr>
            </w:pPr>
            <w:r w:rsidRPr="00332B4D">
              <w:rPr>
                <w:rFonts w:cs="Arial"/>
                <w:szCs w:val="20"/>
              </w:rPr>
              <w:t xml:space="preserve">Prudent and feasible alternatives </w:t>
            </w:r>
            <w:r w:rsidR="00744A02" w:rsidRPr="00332B4D">
              <w:rPr>
                <w:rFonts w:cs="Arial"/>
                <w:szCs w:val="20"/>
              </w:rPr>
              <w:t>(such as alternative location and/or infrastructure design</w:t>
            </w:r>
            <w:r w:rsidR="008A320F" w:rsidRPr="00332B4D">
              <w:rPr>
                <w:rFonts w:cs="Arial"/>
                <w:szCs w:val="20"/>
              </w:rPr>
              <w:t xml:space="preserve"> minimising footprint</w:t>
            </w:r>
            <w:r w:rsidR="00744A02" w:rsidRPr="00332B4D">
              <w:rPr>
                <w:rFonts w:cs="Arial"/>
                <w:szCs w:val="20"/>
              </w:rPr>
              <w:t xml:space="preserve">) </w:t>
            </w:r>
            <w:r w:rsidRPr="00332B4D">
              <w:rPr>
                <w:rFonts w:cs="Arial"/>
                <w:szCs w:val="20"/>
              </w:rPr>
              <w:t xml:space="preserve">must be considered to avoid impacts to seagrass habitats (and other habitats). </w:t>
            </w:r>
          </w:p>
          <w:p w14:paraId="1E4F74B8" w14:textId="55FD6023" w:rsidR="00FB43A4" w:rsidRPr="00606D25" w:rsidRDefault="00FB43A4" w:rsidP="00606D25">
            <w:pPr>
              <w:pStyle w:val="BodyTextNumbering"/>
              <w:numPr>
                <w:ilvl w:val="0"/>
                <w:numId w:val="21"/>
              </w:numPr>
              <w:spacing w:before="0" w:after="50"/>
              <w:rPr>
                <w:rFonts w:cs="Arial"/>
                <w:szCs w:val="20"/>
              </w:rPr>
            </w:pPr>
            <w:r w:rsidRPr="00606D25">
              <w:rPr>
                <w:rFonts w:cs="Arial"/>
                <w:szCs w:val="20"/>
              </w:rPr>
              <w:t xml:space="preserve">Reduce footprint of the activity. </w:t>
            </w:r>
            <w:r w:rsidR="000B734D" w:rsidRPr="00606D25">
              <w:rPr>
                <w:rFonts w:cs="Arial"/>
                <w:szCs w:val="20"/>
              </w:rPr>
              <w:t>Although</w:t>
            </w:r>
            <w:r w:rsidR="004779BC" w:rsidRPr="00606D25">
              <w:rPr>
                <w:rFonts w:cs="Arial"/>
                <w:szCs w:val="20"/>
              </w:rPr>
              <w:t xml:space="preserve"> in some cases, depending on the species of seagrass present</w:t>
            </w:r>
            <w:r w:rsidR="000B734D" w:rsidRPr="00606D25">
              <w:rPr>
                <w:rFonts w:cs="Arial"/>
                <w:szCs w:val="20"/>
              </w:rPr>
              <w:t xml:space="preserve"> and the location</w:t>
            </w:r>
            <w:r w:rsidR="004779BC" w:rsidRPr="00606D25">
              <w:rPr>
                <w:rFonts w:cs="Arial"/>
                <w:szCs w:val="20"/>
              </w:rPr>
              <w:t>, disposal of dred</w:t>
            </w:r>
            <w:r w:rsidR="000B734D" w:rsidRPr="00606D25">
              <w:rPr>
                <w:rFonts w:cs="Arial"/>
                <w:szCs w:val="20"/>
              </w:rPr>
              <w:t>ge spoil material spread thinly over a larger area may allow</w:t>
            </w:r>
            <w:r w:rsidR="004779BC" w:rsidRPr="00606D25">
              <w:rPr>
                <w:rFonts w:cs="Arial"/>
                <w:szCs w:val="20"/>
              </w:rPr>
              <w:t xml:space="preserve"> seagrass </w:t>
            </w:r>
            <w:r w:rsidR="000B734D" w:rsidRPr="00606D25">
              <w:rPr>
                <w:rFonts w:cs="Arial"/>
                <w:szCs w:val="20"/>
              </w:rPr>
              <w:t xml:space="preserve">to </w:t>
            </w:r>
            <w:r w:rsidR="004779BC" w:rsidRPr="00606D25">
              <w:rPr>
                <w:rFonts w:cs="Arial"/>
                <w:szCs w:val="20"/>
              </w:rPr>
              <w:t>recover at the disposal site, as opposed to t</w:t>
            </w:r>
            <w:r w:rsidR="000B734D" w:rsidRPr="00606D25">
              <w:rPr>
                <w:rFonts w:cs="Arial"/>
                <w:szCs w:val="20"/>
              </w:rPr>
              <w:t>hick</w:t>
            </w:r>
            <w:r w:rsidR="004779BC" w:rsidRPr="00606D25">
              <w:rPr>
                <w:rFonts w:cs="Arial"/>
                <w:szCs w:val="20"/>
              </w:rPr>
              <w:t xml:space="preserve"> layer of material </w:t>
            </w:r>
            <w:r w:rsidR="00BB3606" w:rsidRPr="00606D25">
              <w:rPr>
                <w:rFonts w:cs="Arial"/>
                <w:szCs w:val="20"/>
              </w:rPr>
              <w:t xml:space="preserve">that is </w:t>
            </w:r>
            <w:r w:rsidR="000B734D" w:rsidRPr="00606D25">
              <w:rPr>
                <w:rFonts w:cs="Arial"/>
                <w:szCs w:val="20"/>
              </w:rPr>
              <w:t>likely to result</w:t>
            </w:r>
            <w:r w:rsidR="004779BC" w:rsidRPr="00606D25">
              <w:rPr>
                <w:rFonts w:cs="Arial"/>
                <w:szCs w:val="20"/>
              </w:rPr>
              <w:t xml:space="preserve"> in </w:t>
            </w:r>
            <w:r w:rsidR="000B734D" w:rsidRPr="00606D25">
              <w:rPr>
                <w:rFonts w:cs="Arial"/>
                <w:szCs w:val="20"/>
              </w:rPr>
              <w:t xml:space="preserve">mortality at the </w:t>
            </w:r>
            <w:r w:rsidR="004779BC" w:rsidRPr="00606D25">
              <w:rPr>
                <w:rFonts w:cs="Arial"/>
                <w:szCs w:val="20"/>
              </w:rPr>
              <w:t xml:space="preserve">immediate </w:t>
            </w:r>
            <w:r w:rsidR="000B734D" w:rsidRPr="00606D25">
              <w:rPr>
                <w:rFonts w:cs="Arial"/>
                <w:szCs w:val="20"/>
              </w:rPr>
              <w:t>disposal site</w:t>
            </w:r>
            <w:r w:rsidR="004779BC" w:rsidRPr="00606D25">
              <w:rPr>
                <w:rFonts w:cs="Arial"/>
                <w:szCs w:val="20"/>
              </w:rPr>
              <w:t>.</w:t>
            </w:r>
            <w:r w:rsidR="00910098" w:rsidRPr="00606D25">
              <w:rPr>
                <w:rFonts w:cs="Arial"/>
                <w:szCs w:val="20"/>
              </w:rPr>
              <w:fldChar w:fldCharType="begin"/>
            </w:r>
            <w:r w:rsidR="00EE558C" w:rsidRPr="00606D25">
              <w:rPr>
                <w:rFonts w:cs="Arial"/>
                <w:szCs w:val="20"/>
              </w:rPr>
              <w:instrText>ADDIN RW.CITE{{25580 Hirst,A.J. 2010;}}</w:instrText>
            </w:r>
            <w:r w:rsidR="00910098" w:rsidRPr="00606D25">
              <w:rPr>
                <w:rFonts w:cs="Arial"/>
                <w:szCs w:val="20"/>
              </w:rPr>
              <w:fldChar w:fldCharType="separate"/>
            </w:r>
            <w:r w:rsidR="00EE558C" w:rsidRPr="00606D25">
              <w:rPr>
                <w:rFonts w:cs="Arial"/>
                <w:szCs w:val="20"/>
                <w:vertAlign w:val="superscript"/>
              </w:rPr>
              <w:t>32</w:t>
            </w:r>
            <w:r w:rsidR="00910098" w:rsidRPr="00606D25">
              <w:rPr>
                <w:rFonts w:cs="Arial"/>
                <w:szCs w:val="20"/>
              </w:rPr>
              <w:fldChar w:fldCharType="end"/>
            </w:r>
          </w:p>
          <w:p w14:paraId="0E0F81D2" w14:textId="77777777" w:rsidR="00764940" w:rsidRPr="00332B4D" w:rsidRDefault="00764940" w:rsidP="00606D25">
            <w:pPr>
              <w:pStyle w:val="BodyTextNumbering"/>
              <w:numPr>
                <w:ilvl w:val="0"/>
                <w:numId w:val="21"/>
              </w:numPr>
              <w:spacing w:before="0" w:after="50"/>
              <w:rPr>
                <w:rFonts w:cs="Arial"/>
                <w:szCs w:val="20"/>
              </w:rPr>
            </w:pPr>
            <w:r w:rsidRPr="00332B4D">
              <w:rPr>
                <w:rFonts w:cs="Arial"/>
                <w:szCs w:val="20"/>
              </w:rPr>
              <w:t xml:space="preserve">Consider timing </w:t>
            </w:r>
            <w:r w:rsidR="00744A02" w:rsidRPr="00332B4D">
              <w:rPr>
                <w:rFonts w:cs="Arial"/>
                <w:szCs w:val="20"/>
              </w:rPr>
              <w:t>of the activity (such as the</w:t>
            </w:r>
            <w:r w:rsidRPr="00332B4D">
              <w:rPr>
                <w:rFonts w:cs="Arial"/>
                <w:szCs w:val="20"/>
              </w:rPr>
              <w:t xml:space="preserve"> construction of a facility</w:t>
            </w:r>
            <w:r w:rsidR="00744A02" w:rsidRPr="00332B4D">
              <w:rPr>
                <w:rFonts w:cs="Arial"/>
                <w:szCs w:val="20"/>
              </w:rPr>
              <w:t>, or dredging and disposal activities)</w:t>
            </w:r>
            <w:r w:rsidRPr="00332B4D">
              <w:rPr>
                <w:rFonts w:cs="Arial"/>
                <w:szCs w:val="20"/>
              </w:rPr>
              <w:t xml:space="preserve">. </w:t>
            </w:r>
            <w:r w:rsidR="00744A02" w:rsidRPr="00332B4D">
              <w:rPr>
                <w:rFonts w:cs="Arial"/>
                <w:szCs w:val="20"/>
              </w:rPr>
              <w:t xml:space="preserve">Restrict seasons and avoid flowering and growing season - </w:t>
            </w:r>
            <w:r w:rsidRPr="00332B4D">
              <w:rPr>
                <w:rFonts w:cs="Arial"/>
                <w:szCs w:val="20"/>
              </w:rPr>
              <w:t>typically July</w:t>
            </w:r>
            <w:r w:rsidR="00744A02" w:rsidRPr="00332B4D">
              <w:rPr>
                <w:rFonts w:cs="Arial"/>
                <w:szCs w:val="20"/>
              </w:rPr>
              <w:t xml:space="preserve"> to January -</w:t>
            </w:r>
            <w:r w:rsidR="00EB6A94" w:rsidRPr="00332B4D">
              <w:rPr>
                <w:rFonts w:cs="Arial"/>
                <w:szCs w:val="20"/>
              </w:rPr>
              <w:t xml:space="preserve"> to conserve </w:t>
            </w:r>
            <w:r w:rsidRPr="00332B4D">
              <w:rPr>
                <w:rFonts w:cs="Arial"/>
                <w:szCs w:val="20"/>
              </w:rPr>
              <w:t xml:space="preserve">reproduction rates. </w:t>
            </w:r>
          </w:p>
          <w:p w14:paraId="03F3FE6E" w14:textId="77777777" w:rsidR="00744A02" w:rsidRPr="00332B4D" w:rsidRDefault="00744A02" w:rsidP="00606D25">
            <w:pPr>
              <w:pStyle w:val="BodyTextNumbering"/>
              <w:numPr>
                <w:ilvl w:val="0"/>
                <w:numId w:val="21"/>
              </w:numPr>
              <w:spacing w:before="0" w:after="50"/>
              <w:rPr>
                <w:rFonts w:cs="Arial"/>
                <w:szCs w:val="20"/>
              </w:rPr>
            </w:pPr>
            <w:r w:rsidRPr="00332B4D">
              <w:rPr>
                <w:rFonts w:cs="Arial"/>
                <w:szCs w:val="20"/>
              </w:rPr>
              <w:t>Establish exclusion/shut-down zones during works.</w:t>
            </w:r>
          </w:p>
          <w:p w14:paraId="42746AB9" w14:textId="77777777" w:rsidR="00744A02" w:rsidRPr="00332B4D" w:rsidRDefault="00764940" w:rsidP="00606D25">
            <w:pPr>
              <w:pStyle w:val="BodyTextNumbering"/>
              <w:numPr>
                <w:ilvl w:val="0"/>
                <w:numId w:val="21"/>
              </w:numPr>
              <w:spacing w:before="0" w:after="50"/>
              <w:rPr>
                <w:rFonts w:cs="Arial"/>
                <w:szCs w:val="20"/>
              </w:rPr>
            </w:pPr>
            <w:r w:rsidRPr="00332B4D">
              <w:rPr>
                <w:rFonts w:cs="Arial"/>
                <w:szCs w:val="20"/>
              </w:rPr>
              <w:t xml:space="preserve">Limit physical access to the site. </w:t>
            </w:r>
          </w:p>
          <w:p w14:paraId="072F0DDB" w14:textId="77777777" w:rsidR="00764940" w:rsidRPr="00332B4D" w:rsidRDefault="00764940" w:rsidP="00606D25">
            <w:pPr>
              <w:pStyle w:val="BodyTextNumbering"/>
              <w:numPr>
                <w:ilvl w:val="0"/>
                <w:numId w:val="21"/>
              </w:numPr>
              <w:spacing w:before="0" w:after="50"/>
              <w:rPr>
                <w:rFonts w:cs="Arial"/>
                <w:szCs w:val="20"/>
              </w:rPr>
            </w:pPr>
            <w:r w:rsidRPr="00332B4D">
              <w:rPr>
                <w:rFonts w:cs="Arial"/>
                <w:szCs w:val="20"/>
              </w:rPr>
              <w:t xml:space="preserve">Moorings may </w:t>
            </w:r>
            <w:r w:rsidR="00744A02" w:rsidRPr="00332B4D">
              <w:rPr>
                <w:rFonts w:cs="Arial"/>
                <w:szCs w:val="20"/>
              </w:rPr>
              <w:t>assist in mitigating</w:t>
            </w:r>
            <w:r w:rsidRPr="00332B4D">
              <w:rPr>
                <w:rFonts w:cs="Arial"/>
                <w:szCs w:val="20"/>
              </w:rPr>
              <w:t xml:space="preserve"> the amount of anchor damage to a site</w:t>
            </w:r>
            <w:r w:rsidR="00744A02" w:rsidRPr="00332B4D">
              <w:rPr>
                <w:rFonts w:cs="Arial"/>
                <w:szCs w:val="20"/>
              </w:rPr>
              <w:t>. Avoid placing moorings within 10m of seagrass and c</w:t>
            </w:r>
            <w:r w:rsidRPr="00332B4D">
              <w:rPr>
                <w:rFonts w:cs="Arial"/>
                <w:szCs w:val="20"/>
              </w:rPr>
              <w:t xml:space="preserve">onsider using lower impact mooring systems as an alternative to swing moorings. </w:t>
            </w:r>
          </w:p>
          <w:p w14:paraId="33334B73" w14:textId="60C864DE" w:rsidR="00764940" w:rsidRPr="00332B4D" w:rsidRDefault="00764940" w:rsidP="00606D25">
            <w:pPr>
              <w:pStyle w:val="BodyTextNumbering"/>
              <w:numPr>
                <w:ilvl w:val="0"/>
                <w:numId w:val="21"/>
              </w:numPr>
              <w:spacing w:before="0" w:after="50"/>
              <w:rPr>
                <w:rFonts w:cs="Arial"/>
                <w:szCs w:val="20"/>
              </w:rPr>
            </w:pPr>
            <w:r w:rsidRPr="00332B4D">
              <w:rPr>
                <w:rFonts w:cs="Arial"/>
                <w:szCs w:val="20"/>
              </w:rPr>
              <w:t xml:space="preserve">Establish and maintain a monitoring program to identify changes to seagrass from </w:t>
            </w:r>
            <w:r w:rsidR="007164AA" w:rsidRPr="00332B4D">
              <w:rPr>
                <w:rFonts w:cs="Arial"/>
                <w:szCs w:val="20"/>
              </w:rPr>
              <w:t xml:space="preserve">a </w:t>
            </w:r>
            <w:r w:rsidRPr="00332B4D">
              <w:rPr>
                <w:rFonts w:cs="Arial"/>
                <w:szCs w:val="20"/>
              </w:rPr>
              <w:t xml:space="preserve">permitted activity. </w:t>
            </w:r>
          </w:p>
          <w:p w14:paraId="51E239CB" w14:textId="3D3F3FBD" w:rsidR="00764940" w:rsidRPr="00332B4D" w:rsidRDefault="00764940" w:rsidP="00606D25">
            <w:pPr>
              <w:pStyle w:val="BodyTextNumbering"/>
              <w:numPr>
                <w:ilvl w:val="0"/>
                <w:numId w:val="21"/>
              </w:numPr>
              <w:spacing w:before="0" w:after="50"/>
              <w:rPr>
                <w:rFonts w:cs="Arial"/>
                <w:szCs w:val="20"/>
              </w:rPr>
            </w:pPr>
            <w:r w:rsidRPr="00332B4D">
              <w:rPr>
                <w:rFonts w:cs="Arial"/>
                <w:szCs w:val="20"/>
              </w:rPr>
              <w:t xml:space="preserve">Set triggers for management intervention, for example loss/death of seagrass at </w:t>
            </w:r>
            <w:r w:rsidR="007164AA" w:rsidRPr="00332B4D">
              <w:rPr>
                <w:rFonts w:cs="Arial"/>
                <w:szCs w:val="20"/>
              </w:rPr>
              <w:t xml:space="preserve">specified </w:t>
            </w:r>
            <w:r w:rsidRPr="00332B4D">
              <w:rPr>
                <w:rFonts w:cs="Arial"/>
                <w:szCs w:val="20"/>
              </w:rPr>
              <w:t xml:space="preserve">percentage of reference sites. </w:t>
            </w:r>
            <w:r w:rsidR="00744A02" w:rsidRPr="00332B4D">
              <w:rPr>
                <w:rFonts w:cs="Arial"/>
                <w:szCs w:val="20"/>
              </w:rPr>
              <w:t>Where possible, i</w:t>
            </w:r>
            <w:r w:rsidRPr="00332B4D">
              <w:rPr>
                <w:rFonts w:cs="Arial"/>
                <w:szCs w:val="20"/>
              </w:rPr>
              <w:t>mplement monitoring to detect sub-lethal stress levels in seagrass so that management action can be enacted prior to declines or losses.</w:t>
            </w:r>
          </w:p>
        </w:tc>
      </w:tr>
    </w:tbl>
    <w:p w14:paraId="3A6B8E12" w14:textId="77777777" w:rsidR="00B82F57" w:rsidRDefault="00B82F57" w:rsidP="000773D9">
      <w:pPr>
        <w:pStyle w:val="Level1Heading"/>
        <w:sectPr w:rsidR="00B82F57" w:rsidSect="00FA5F2A">
          <w:pgSz w:w="23814" w:h="16839" w:orient="landscape" w:code="8"/>
          <w:pgMar w:top="1271" w:right="1253" w:bottom="1077" w:left="1440" w:header="567" w:footer="816" w:gutter="0"/>
          <w:cols w:space="720"/>
          <w:docGrid w:linePitch="326"/>
        </w:sectPr>
      </w:pPr>
    </w:p>
    <w:p w14:paraId="4B362A2C" w14:textId="77777777" w:rsidR="00EF383F" w:rsidRPr="00692195" w:rsidRDefault="00EF383F" w:rsidP="00D50AE2">
      <w:pPr>
        <w:pStyle w:val="Heading2"/>
      </w:pPr>
      <w:r w:rsidRPr="00692195">
        <w:lastRenderedPageBreak/>
        <w:t xml:space="preserve">Consequence </w:t>
      </w:r>
    </w:p>
    <w:p w14:paraId="77FCA775" w14:textId="2848DCAD" w:rsidR="00B1372A" w:rsidRPr="00B1372A" w:rsidRDefault="004A5F4B" w:rsidP="00331A31">
      <w:pPr>
        <w:pStyle w:val="BodyTextNumbering"/>
        <w:numPr>
          <w:ilvl w:val="0"/>
          <w:numId w:val="9"/>
        </w:numPr>
        <w:spacing w:before="120"/>
      </w:pPr>
      <w:r w:rsidRPr="00B1372A">
        <w:t xml:space="preserve">Consequences of proposed activities to seagrass and seagrass meadows in and adjacent to the area </w:t>
      </w:r>
      <w:r w:rsidR="003033A7">
        <w:t>are</w:t>
      </w:r>
      <w:r w:rsidRPr="00B1372A">
        <w:t xml:space="preserve"> dete</w:t>
      </w:r>
      <w:r w:rsidR="00B1372A" w:rsidRPr="00B1372A">
        <w:t>rmined on a c</w:t>
      </w:r>
      <w:r w:rsidR="00D50AE2">
        <w:t>ase-by-case basis as regionally-</w:t>
      </w:r>
      <w:r w:rsidR="00B1372A" w:rsidRPr="00B1372A">
        <w:t>specific factors can influence the consequence rating</w:t>
      </w:r>
      <w:r w:rsidR="00D50AE2">
        <w:t xml:space="preserve"> – </w:t>
      </w:r>
      <w:r w:rsidR="00B1372A" w:rsidRPr="00B1372A">
        <w:t xml:space="preserve">such as in areas recently impacted by extreme weather events, flood plumes or past disturbance. </w:t>
      </w:r>
      <w:r w:rsidRPr="00B1372A">
        <w:t xml:space="preserve">They </w:t>
      </w:r>
      <w:r w:rsidR="003033A7">
        <w:t>are</w:t>
      </w:r>
      <w:r w:rsidR="00223236">
        <w:t xml:space="preserve"> </w:t>
      </w:r>
      <w:r w:rsidRPr="00B1372A">
        <w:t xml:space="preserve">assessed and evaluated by GBRMPA staff and other experts if required. </w:t>
      </w:r>
    </w:p>
    <w:p w14:paraId="32B12CAA" w14:textId="63A20525" w:rsidR="004A5F4B" w:rsidRDefault="004A5F4B" w:rsidP="00331A31">
      <w:pPr>
        <w:pStyle w:val="BodyTextNumbering"/>
        <w:numPr>
          <w:ilvl w:val="0"/>
          <w:numId w:val="9"/>
        </w:numPr>
        <w:spacing w:before="120"/>
      </w:pPr>
      <w:r>
        <w:t>T</w:t>
      </w:r>
      <w:r w:rsidRPr="005F0DF2">
        <w:t xml:space="preserve">he </w:t>
      </w:r>
      <w:hyperlink r:id="rId79" w:history="1">
        <w:r w:rsidR="00D50AE2" w:rsidRPr="00D50AE2">
          <w:rPr>
            <w:rStyle w:val="Hyperlink"/>
            <w:rFonts w:cs="Arial"/>
            <w:szCs w:val="20"/>
          </w:rPr>
          <w:t>r</w:t>
        </w:r>
        <w:r w:rsidRPr="00D50AE2">
          <w:rPr>
            <w:rStyle w:val="Hyperlink"/>
            <w:rFonts w:cs="Arial"/>
            <w:szCs w:val="20"/>
          </w:rPr>
          <w:t>isk assessment procedure</w:t>
        </w:r>
        <w:r w:rsidR="00D50AE2" w:rsidRPr="00D50AE2">
          <w:rPr>
            <w:rStyle w:val="Hyperlink"/>
            <w:rFonts w:cs="Arial"/>
            <w:szCs w:val="20"/>
          </w:rPr>
          <w:t xml:space="preserve"> for the permission system</w:t>
        </w:r>
      </w:hyperlink>
      <w:r>
        <w:t xml:space="preserve"> provides information on how to determine risk and consequences and provides e</w:t>
      </w:r>
      <w:r w:rsidRPr="005F0DF2">
        <w:t>xamples of consequence</w:t>
      </w:r>
      <w:r>
        <w:t>s</w:t>
      </w:r>
      <w:r w:rsidRPr="005F0DF2">
        <w:t xml:space="preserve"> of impact</w:t>
      </w:r>
      <w:r>
        <w:t>s</w:t>
      </w:r>
      <w:r w:rsidRPr="005F0DF2">
        <w:t xml:space="preserve"> to </w:t>
      </w:r>
      <w:r>
        <w:t xml:space="preserve">biodiversity values, generally. </w:t>
      </w:r>
    </w:p>
    <w:p w14:paraId="520B44A8" w14:textId="77777777" w:rsidR="004A5F4B" w:rsidRDefault="004A5F4B" w:rsidP="00331A31">
      <w:pPr>
        <w:pStyle w:val="BodyTextNumbering"/>
        <w:numPr>
          <w:ilvl w:val="0"/>
          <w:numId w:val="9"/>
        </w:numPr>
        <w:spacing w:before="120"/>
      </w:pPr>
      <w:r>
        <w:t xml:space="preserve">Consequences of impacts to other values as a result of impact to seagrass is also to be considered. </w:t>
      </w:r>
    </w:p>
    <w:p w14:paraId="1555C523" w14:textId="77777777" w:rsidR="00EF383F" w:rsidRPr="00692195" w:rsidRDefault="00EF383F" w:rsidP="00D50AE2">
      <w:pPr>
        <w:pStyle w:val="Heading2"/>
      </w:pPr>
      <w:r w:rsidRPr="00692195">
        <w:t xml:space="preserve">Assessment information </w:t>
      </w:r>
    </w:p>
    <w:p w14:paraId="16789CF8" w14:textId="7EEA24D2" w:rsidR="00895CB2" w:rsidRDefault="00895CB2" w:rsidP="00331A31">
      <w:pPr>
        <w:pStyle w:val="BodyTextNumbering"/>
        <w:numPr>
          <w:ilvl w:val="0"/>
          <w:numId w:val="9"/>
        </w:numPr>
        <w:spacing w:before="120"/>
      </w:pPr>
      <w:r>
        <w:t xml:space="preserve">The information required to be submitted at the time of application is available in the </w:t>
      </w:r>
      <w:r w:rsidR="00D50AE2">
        <w:t>‘</w:t>
      </w:r>
      <w:hyperlink r:id="rId80" w:history="1">
        <w:r w:rsidRPr="00D50AE2">
          <w:rPr>
            <w:rStyle w:val="Hyperlink"/>
          </w:rPr>
          <w:t>checklist</w:t>
        </w:r>
        <w:r w:rsidR="00D50AE2" w:rsidRPr="00D50AE2">
          <w:rPr>
            <w:rStyle w:val="Hyperlink"/>
          </w:rPr>
          <w:t xml:space="preserve"> of application information</w:t>
        </w:r>
      </w:hyperlink>
      <w:r w:rsidR="00D50AE2">
        <w:t>’</w:t>
      </w:r>
      <w:r>
        <w:t>. In some cases (likely when involving a new fixed facility other than mooring), a draft Environmental Management Plan</w:t>
      </w:r>
      <w:r w:rsidR="004260A3">
        <w:t>, including proposed works monitoring and long term monitoring programs,</w:t>
      </w:r>
      <w:r>
        <w:t xml:space="preserve"> may also be required </w:t>
      </w:r>
      <w:r w:rsidR="00B22EC6">
        <w:t xml:space="preserve">from the applicant </w:t>
      </w:r>
      <w:r>
        <w:t xml:space="preserve">at the time of application (see </w:t>
      </w:r>
      <w:r w:rsidR="00D50AE2">
        <w:t xml:space="preserve">the </w:t>
      </w:r>
      <w:r>
        <w:t xml:space="preserve">checklist </w:t>
      </w:r>
      <w:r w:rsidR="00D50AE2">
        <w:t xml:space="preserve">for </w:t>
      </w:r>
      <w:r>
        <w:t>further information and also</w:t>
      </w:r>
      <w:r w:rsidR="00D50AE2">
        <w:t xml:space="preserve"> the</w:t>
      </w:r>
      <w:r>
        <w:t xml:space="preserve"> </w:t>
      </w:r>
      <w:hyperlink r:id="rId81" w:history="1">
        <w:r w:rsidR="00D50AE2">
          <w:rPr>
            <w:rStyle w:val="Hyperlink"/>
          </w:rPr>
          <w:t>a</w:t>
        </w:r>
        <w:r w:rsidRPr="00F13080">
          <w:rPr>
            <w:rStyle w:val="Hyperlink"/>
          </w:rPr>
          <w:t xml:space="preserve">ssessment </w:t>
        </w:r>
        <w:r w:rsidR="00D50AE2">
          <w:rPr>
            <w:rStyle w:val="Hyperlink"/>
          </w:rPr>
          <w:t>and decision g</w:t>
        </w:r>
        <w:r w:rsidRPr="00F13080">
          <w:rPr>
            <w:rStyle w:val="Hyperlink"/>
          </w:rPr>
          <w:t>uidelines</w:t>
        </w:r>
      </w:hyperlink>
      <w:r>
        <w:t>).</w:t>
      </w:r>
    </w:p>
    <w:p w14:paraId="79BA16E4" w14:textId="78FA47FC" w:rsidR="00B22EC6" w:rsidRPr="00B22EC6" w:rsidRDefault="0088556C" w:rsidP="00331A31">
      <w:pPr>
        <w:pStyle w:val="BodyTextNumbering"/>
        <w:numPr>
          <w:ilvl w:val="0"/>
          <w:numId w:val="9"/>
        </w:numPr>
        <w:spacing w:before="120"/>
      </w:pPr>
      <w:r>
        <w:t xml:space="preserve">Additional </w:t>
      </w:r>
      <w:r w:rsidRPr="002B3027">
        <w:t>information</w:t>
      </w:r>
      <w:r>
        <w:t xml:space="preserve"> may be required </w:t>
      </w:r>
      <w:r w:rsidR="008306CB">
        <w:t xml:space="preserve">from </w:t>
      </w:r>
      <w:r w:rsidR="009938E1">
        <w:t xml:space="preserve">an applicant for a permission </w:t>
      </w:r>
      <w:r w:rsidR="00D50AE2">
        <w:t>involving higher risk and/or</w:t>
      </w:r>
      <w:r w:rsidR="004260A3">
        <w:t xml:space="preserve"> more complex proposed activities</w:t>
      </w:r>
      <w:r w:rsidR="004260A3" w:rsidRPr="004B6F10">
        <w:t xml:space="preserve"> </w:t>
      </w:r>
      <w:r w:rsidR="004260A3">
        <w:t xml:space="preserve">(for example </w:t>
      </w:r>
      <w:r w:rsidR="00D50AE2">
        <w:t xml:space="preserve">those requiring the use of </w:t>
      </w:r>
      <w:r w:rsidR="00221FC0">
        <w:t>assessment approach</w:t>
      </w:r>
      <w:r w:rsidR="00D50AE2">
        <w:t>es</w:t>
      </w:r>
      <w:r w:rsidR="00221FC0">
        <w:t xml:space="preserve"> Public Environment Report or Environmental Impact Statement</w:t>
      </w:r>
      <w:r w:rsidR="00C8246C">
        <w:t>). Information requirements for the assessment will be specified in the Terms of Reference spec</w:t>
      </w:r>
      <w:r w:rsidR="00B22EC6">
        <w:t>ific to the proposed activity. Further, a</w:t>
      </w:r>
      <w:r w:rsidR="00B22EC6" w:rsidRPr="00B22EC6">
        <w:t xml:space="preserve">s described in the </w:t>
      </w:r>
      <w:hyperlink r:id="rId82" w:history="1">
        <w:r w:rsidR="00B22EC6" w:rsidRPr="00B22EC6">
          <w:rPr>
            <w:rStyle w:val="Hyperlink"/>
          </w:rPr>
          <w:t>Permission System Policy</w:t>
        </w:r>
      </w:hyperlink>
      <w:r w:rsidR="00B22EC6" w:rsidRPr="00B22EC6">
        <w:t xml:space="preserve">, permission applications involving Public Information Package, Public Environmental Report or Environmental Impact Statement assessment approaches require the applicant to carry out public consultation. </w:t>
      </w:r>
    </w:p>
    <w:p w14:paraId="4C2E8823" w14:textId="2466515A" w:rsidR="007D29D5" w:rsidRPr="004009D1" w:rsidRDefault="00C8246C" w:rsidP="00331A31">
      <w:pPr>
        <w:pStyle w:val="BodyTextNumbering"/>
        <w:numPr>
          <w:ilvl w:val="0"/>
          <w:numId w:val="9"/>
        </w:numPr>
        <w:spacing w:before="120"/>
      </w:pPr>
      <w:r>
        <w:t>As a general guide the following information may be required for higher risk proposals</w:t>
      </w:r>
      <w:r w:rsidR="007D4DDC">
        <w:t xml:space="preserve"> </w:t>
      </w:r>
      <w:r w:rsidR="007D4DDC" w:rsidRPr="007D29D5">
        <w:rPr>
          <w:rFonts w:cs="Arial"/>
          <w:szCs w:val="20"/>
        </w:rPr>
        <w:t>(</w:t>
      </w:r>
      <w:r w:rsidR="007D4DDC">
        <w:rPr>
          <w:rFonts w:cs="Arial"/>
          <w:szCs w:val="20"/>
        </w:rPr>
        <w:t xml:space="preserve">also </w:t>
      </w:r>
      <w:r w:rsidR="007D4DDC" w:rsidRPr="007D29D5">
        <w:rPr>
          <w:rFonts w:cs="Arial"/>
          <w:szCs w:val="20"/>
        </w:rPr>
        <w:t xml:space="preserve">refer to </w:t>
      </w:r>
      <w:hyperlink r:id="rId83" w:history="1">
        <w:r w:rsidR="007D4DDC" w:rsidRPr="00D50AE2">
          <w:rPr>
            <w:rStyle w:val="Hyperlink"/>
            <w:rFonts w:cs="Arial"/>
            <w:szCs w:val="20"/>
          </w:rPr>
          <w:t>Cumulative Impact Management Policy</w:t>
        </w:r>
      </w:hyperlink>
      <w:r w:rsidR="00DE6A41">
        <w:rPr>
          <w:rFonts w:cs="Arial"/>
          <w:szCs w:val="20"/>
        </w:rPr>
        <w:t xml:space="preserve"> (in draft</w:t>
      </w:r>
      <w:r w:rsidR="007D4DDC" w:rsidRPr="007D29D5">
        <w:rPr>
          <w:rFonts w:cs="Arial"/>
          <w:szCs w:val="20"/>
        </w:rPr>
        <w:t>)</w:t>
      </w:r>
      <w:r w:rsidR="00DE6A41">
        <w:rPr>
          <w:rFonts w:cs="Arial"/>
          <w:szCs w:val="20"/>
        </w:rPr>
        <w:t>)</w:t>
      </w:r>
      <w:r>
        <w:t xml:space="preserve">: </w:t>
      </w:r>
    </w:p>
    <w:p w14:paraId="157B2DD4" w14:textId="2234A871" w:rsidR="004009D1" w:rsidRDefault="00F56A5B" w:rsidP="00331A31">
      <w:pPr>
        <w:pStyle w:val="BodyTextNumbering"/>
        <w:numPr>
          <w:ilvl w:val="1"/>
          <w:numId w:val="50"/>
        </w:numPr>
        <w:spacing w:before="0" w:after="120"/>
        <w:rPr>
          <w:rFonts w:cs="Arial"/>
          <w:szCs w:val="20"/>
        </w:rPr>
      </w:pPr>
      <w:r>
        <w:rPr>
          <w:rFonts w:cs="Arial"/>
          <w:szCs w:val="20"/>
        </w:rPr>
        <w:t>D</w:t>
      </w:r>
      <w:r w:rsidR="004009D1" w:rsidRPr="007D29D5">
        <w:rPr>
          <w:rFonts w:cs="Arial"/>
          <w:szCs w:val="20"/>
        </w:rPr>
        <w:t xml:space="preserve">escription of seagrass </w:t>
      </w:r>
      <w:r w:rsidR="004009D1">
        <w:rPr>
          <w:rFonts w:cs="Arial"/>
          <w:szCs w:val="20"/>
        </w:rPr>
        <w:t xml:space="preserve">ecosystem (and other ecosystems) </w:t>
      </w:r>
      <w:r w:rsidR="004009D1" w:rsidRPr="007D29D5">
        <w:rPr>
          <w:rFonts w:cs="Arial"/>
          <w:szCs w:val="20"/>
        </w:rPr>
        <w:t>present in the proposed area</w:t>
      </w:r>
      <w:r w:rsidR="00D22E08">
        <w:rPr>
          <w:rFonts w:cs="Arial"/>
          <w:szCs w:val="20"/>
        </w:rPr>
        <w:t xml:space="preserve"> and </w:t>
      </w:r>
      <w:r w:rsidR="009D06D9">
        <w:rPr>
          <w:rFonts w:cs="Arial"/>
          <w:szCs w:val="20"/>
        </w:rPr>
        <w:t xml:space="preserve">in the </w:t>
      </w:r>
      <w:r w:rsidR="00D22E08">
        <w:rPr>
          <w:rFonts w:cs="Arial"/>
          <w:szCs w:val="20"/>
        </w:rPr>
        <w:t xml:space="preserve">adjacent </w:t>
      </w:r>
      <w:r w:rsidR="00133439">
        <w:rPr>
          <w:rFonts w:cs="Arial"/>
          <w:szCs w:val="20"/>
        </w:rPr>
        <w:t>area</w:t>
      </w:r>
      <w:r w:rsidR="00D22E08">
        <w:rPr>
          <w:rFonts w:cs="Arial"/>
          <w:szCs w:val="20"/>
        </w:rPr>
        <w:t>s both</w:t>
      </w:r>
      <w:r w:rsidR="00133439">
        <w:rPr>
          <w:rFonts w:cs="Arial"/>
          <w:szCs w:val="20"/>
        </w:rPr>
        <w:t xml:space="preserve"> potentially impacted (including downstream and consequential impacts),</w:t>
      </w:r>
      <w:r w:rsidR="004009D1">
        <w:rPr>
          <w:rFonts w:cs="Arial"/>
          <w:szCs w:val="20"/>
        </w:rPr>
        <w:t xml:space="preserve"> and </w:t>
      </w:r>
      <w:r w:rsidR="00D22E08">
        <w:rPr>
          <w:rFonts w:cs="Arial"/>
          <w:szCs w:val="20"/>
        </w:rPr>
        <w:t>outside the impact zone</w:t>
      </w:r>
      <w:r w:rsidR="007D4DDC">
        <w:rPr>
          <w:rFonts w:cs="Arial"/>
          <w:szCs w:val="20"/>
        </w:rPr>
        <w:t xml:space="preserve">. What are the </w:t>
      </w:r>
      <w:r w:rsidR="007D4DDC">
        <w:rPr>
          <w:rFonts w:eastAsia="Calibri"/>
        </w:rPr>
        <w:t>location</w:t>
      </w:r>
      <w:r>
        <w:rPr>
          <w:rFonts w:eastAsia="Calibri"/>
        </w:rPr>
        <w:t>-</w:t>
      </w:r>
      <w:r w:rsidR="007D4DDC">
        <w:rPr>
          <w:rFonts w:eastAsia="Calibri"/>
        </w:rPr>
        <w:t>specific conditions and their exposure to pressures over time (past, present and foreseeable future)</w:t>
      </w:r>
      <w:r>
        <w:rPr>
          <w:rFonts w:eastAsia="Calibri"/>
        </w:rPr>
        <w:t>?</w:t>
      </w:r>
    </w:p>
    <w:p w14:paraId="688325F9" w14:textId="5E0B14FA" w:rsidR="004009D1" w:rsidRPr="004009D1" w:rsidRDefault="00F56A5B" w:rsidP="00331A31">
      <w:pPr>
        <w:pStyle w:val="BodyTextNumbering"/>
        <w:numPr>
          <w:ilvl w:val="1"/>
          <w:numId w:val="50"/>
        </w:numPr>
        <w:spacing w:before="0" w:after="120"/>
        <w:rPr>
          <w:rFonts w:cs="Arial"/>
          <w:szCs w:val="20"/>
        </w:rPr>
      </w:pPr>
      <w:r>
        <w:rPr>
          <w:rFonts w:cs="Arial"/>
          <w:szCs w:val="20"/>
        </w:rPr>
        <w:t>The</w:t>
      </w:r>
      <w:r w:rsidR="004009D1" w:rsidRPr="007D29D5">
        <w:rPr>
          <w:rFonts w:cs="Arial"/>
          <w:szCs w:val="20"/>
        </w:rPr>
        <w:t xml:space="preserve"> vulnerability of seagrass species and the capacity of species to recover. Assess the vulnerability and resilience of the overall ecosystem and its values, the sensitivity of the value (based on past, present and foreseeable future pressures) and their adaptive capacity.  </w:t>
      </w:r>
    </w:p>
    <w:p w14:paraId="2DD5AE0D" w14:textId="54507A59" w:rsidR="007D4DDC" w:rsidRPr="00C8246C" w:rsidRDefault="00F56A5B" w:rsidP="00331A31">
      <w:pPr>
        <w:pStyle w:val="BodyTextNumbering"/>
        <w:numPr>
          <w:ilvl w:val="1"/>
          <w:numId w:val="50"/>
        </w:numPr>
        <w:spacing w:before="0" w:after="120"/>
        <w:rPr>
          <w:rFonts w:cs="Arial"/>
          <w:szCs w:val="20"/>
        </w:rPr>
      </w:pPr>
      <w:r>
        <w:rPr>
          <w:rFonts w:cs="Arial"/>
          <w:szCs w:val="20"/>
        </w:rPr>
        <w:t>B</w:t>
      </w:r>
      <w:r w:rsidR="00362D1A">
        <w:rPr>
          <w:rFonts w:cs="Arial"/>
          <w:szCs w:val="20"/>
        </w:rPr>
        <w:t>ackground</w:t>
      </w:r>
      <w:r w:rsidR="00362D1A" w:rsidRPr="007D4DDC">
        <w:rPr>
          <w:rFonts w:cs="Arial"/>
          <w:szCs w:val="20"/>
        </w:rPr>
        <w:t xml:space="preserve"> </w:t>
      </w:r>
      <w:r w:rsidR="007D4DDC" w:rsidRPr="007D4DDC">
        <w:rPr>
          <w:rFonts w:cs="Arial"/>
          <w:szCs w:val="20"/>
        </w:rPr>
        <w:t>assessment</w:t>
      </w:r>
      <w:r w:rsidR="007D4DDC" w:rsidRPr="00C8246C">
        <w:rPr>
          <w:rFonts w:cs="Arial"/>
          <w:szCs w:val="20"/>
        </w:rPr>
        <w:t xml:space="preserve"> of seagrasses </w:t>
      </w:r>
      <w:r w:rsidR="007D4DDC">
        <w:rPr>
          <w:rFonts w:cs="Arial"/>
          <w:szCs w:val="20"/>
        </w:rPr>
        <w:t xml:space="preserve">and water quality </w:t>
      </w:r>
      <w:r w:rsidR="007D4DDC" w:rsidRPr="00C8246C">
        <w:rPr>
          <w:rFonts w:cs="Arial"/>
          <w:szCs w:val="20"/>
        </w:rPr>
        <w:t>that account for likely seasonal and inter-annual change and include at least three (3) years of background data</w:t>
      </w:r>
      <w:r w:rsidR="00C404E8">
        <w:rPr>
          <w:rFonts w:cs="Arial"/>
          <w:szCs w:val="20"/>
        </w:rPr>
        <w:t>.</w:t>
      </w:r>
    </w:p>
    <w:p w14:paraId="0650E11D" w14:textId="5F909AF8" w:rsidR="009A5B95" w:rsidRDefault="00F56A5B" w:rsidP="00331A31">
      <w:pPr>
        <w:pStyle w:val="BodyTextNumbering"/>
        <w:numPr>
          <w:ilvl w:val="1"/>
          <w:numId w:val="50"/>
        </w:numPr>
        <w:spacing w:before="0" w:after="120"/>
        <w:rPr>
          <w:rFonts w:cs="Arial"/>
          <w:szCs w:val="20"/>
        </w:rPr>
      </w:pPr>
      <w:r>
        <w:rPr>
          <w:rFonts w:cs="Arial"/>
          <w:szCs w:val="20"/>
        </w:rPr>
        <w:t>B</w:t>
      </w:r>
      <w:r w:rsidR="009A5B95" w:rsidRPr="00643AAF">
        <w:rPr>
          <w:rFonts w:cs="Arial"/>
          <w:szCs w:val="20"/>
        </w:rPr>
        <w:t>athymetric and topographic surveys before any action is undertaken using at least t</w:t>
      </w:r>
      <w:r w:rsidR="009A5B95">
        <w:rPr>
          <w:rFonts w:cs="Arial"/>
          <w:szCs w:val="20"/>
        </w:rPr>
        <w:t>hree</w:t>
      </w:r>
      <w:r w:rsidR="009A5B95" w:rsidRPr="00643AAF">
        <w:rPr>
          <w:rFonts w:cs="Arial"/>
          <w:szCs w:val="20"/>
        </w:rPr>
        <w:t xml:space="preserve"> (3) years of consecutive</w:t>
      </w:r>
      <w:r w:rsidR="009A5B95">
        <w:rPr>
          <w:rFonts w:cs="Arial"/>
          <w:szCs w:val="20"/>
        </w:rPr>
        <w:t xml:space="preserve"> data. Surveys should explain </w:t>
      </w:r>
      <w:r w:rsidR="009A5B95" w:rsidRPr="00643AAF">
        <w:rPr>
          <w:rFonts w:cs="Arial"/>
          <w:szCs w:val="20"/>
        </w:rPr>
        <w:t xml:space="preserve">the presence/absence of seagrass, extent, cover or biomass, and species composition </w:t>
      </w:r>
      <w:r w:rsidR="009A5B95">
        <w:rPr>
          <w:rFonts w:cs="Arial"/>
          <w:szCs w:val="20"/>
        </w:rPr>
        <w:t>u</w:t>
      </w:r>
      <w:r w:rsidR="009A5B95" w:rsidRPr="00643AAF">
        <w:rPr>
          <w:rFonts w:cs="Arial"/>
          <w:szCs w:val="20"/>
        </w:rPr>
        <w:t xml:space="preserve">sing methods appropriate to the scale of potential impact and type of seagrass meadows likely to be encountered. Ideally methods should be compatible with previous seagrass assessments conducted at the site or to those at nearby locations to allow historical or regional comparisons. Approaches identified in </w:t>
      </w:r>
      <w:r w:rsidR="00D96D4D" w:rsidRPr="00D96D4D">
        <w:rPr>
          <w:rFonts w:cs="Arial"/>
          <w:szCs w:val="20"/>
        </w:rPr>
        <w:t xml:space="preserve">the </w:t>
      </w:r>
      <w:hyperlink r:id="rId84" w:anchor="physical_and_chemical_assessment" w:history="1">
        <w:r w:rsidR="00D96D4D" w:rsidRPr="00D96D4D">
          <w:rPr>
            <w:rStyle w:val="Hyperlink"/>
            <w:rFonts w:cs="Arial"/>
            <w:szCs w:val="20"/>
          </w:rPr>
          <w:t>Queensland monitoring manual</w:t>
        </w:r>
      </w:hyperlink>
      <w:r w:rsidR="00D96D4D">
        <w:rPr>
          <w:rFonts w:cs="Arial"/>
          <w:szCs w:val="20"/>
        </w:rPr>
        <w:t xml:space="preserve"> </w:t>
      </w:r>
      <w:r w:rsidR="009A5B95">
        <w:rPr>
          <w:rFonts w:cs="Arial"/>
          <w:szCs w:val="20"/>
        </w:rPr>
        <w:t xml:space="preserve">and the Marine Monitoring Program </w:t>
      </w:r>
      <w:r w:rsidR="009A5B95" w:rsidRPr="00643AAF">
        <w:rPr>
          <w:rFonts w:cs="Arial"/>
          <w:szCs w:val="20"/>
        </w:rPr>
        <w:t>can provide guidance to the design and approach.</w:t>
      </w:r>
      <w:r w:rsidR="009A5B95">
        <w:rPr>
          <w:rFonts w:cs="Arial"/>
          <w:szCs w:val="20"/>
        </w:rPr>
        <w:t xml:space="preserve"> </w:t>
      </w:r>
    </w:p>
    <w:p w14:paraId="5A05A091" w14:textId="3D6BC54B" w:rsidR="007D29D5" w:rsidRDefault="00774507" w:rsidP="00331A31">
      <w:pPr>
        <w:pStyle w:val="BodyTextNumbering"/>
        <w:numPr>
          <w:ilvl w:val="1"/>
          <w:numId w:val="50"/>
        </w:numPr>
        <w:spacing w:before="0" w:after="120"/>
        <w:rPr>
          <w:rFonts w:cs="Arial"/>
          <w:szCs w:val="20"/>
        </w:rPr>
      </w:pPr>
      <w:r>
        <w:rPr>
          <w:rFonts w:cs="Arial"/>
          <w:szCs w:val="20"/>
        </w:rPr>
        <w:t>E</w:t>
      </w:r>
      <w:r w:rsidR="00BD578F" w:rsidRPr="00DA7AA2">
        <w:rPr>
          <w:rFonts w:cs="Arial"/>
          <w:szCs w:val="20"/>
        </w:rPr>
        <w:t>xplanation of the possible impacts on seagrass</w:t>
      </w:r>
      <w:r w:rsidR="007D29D5">
        <w:rPr>
          <w:rFonts w:cs="Arial"/>
          <w:szCs w:val="20"/>
        </w:rPr>
        <w:t xml:space="preserve"> ecosystem</w:t>
      </w:r>
      <w:r w:rsidR="00C538C8">
        <w:rPr>
          <w:rFonts w:cs="Arial"/>
          <w:szCs w:val="20"/>
        </w:rPr>
        <w:t xml:space="preserve"> for the potential hazards</w:t>
      </w:r>
      <w:r w:rsidR="00BD578F" w:rsidRPr="00DA7AA2">
        <w:rPr>
          <w:rFonts w:cs="Arial"/>
          <w:szCs w:val="20"/>
        </w:rPr>
        <w:t xml:space="preserve">, </w:t>
      </w:r>
      <w:r w:rsidR="00C538C8">
        <w:rPr>
          <w:rFonts w:cs="Arial"/>
          <w:szCs w:val="20"/>
        </w:rPr>
        <w:t xml:space="preserve">the </w:t>
      </w:r>
      <w:r w:rsidR="007D29D5">
        <w:rPr>
          <w:rFonts w:cs="Arial"/>
          <w:szCs w:val="20"/>
        </w:rPr>
        <w:t>exposure</w:t>
      </w:r>
      <w:r w:rsidR="00BD578F" w:rsidRPr="00DA7AA2">
        <w:rPr>
          <w:rFonts w:cs="Arial"/>
          <w:szCs w:val="20"/>
        </w:rPr>
        <w:t xml:space="preserve"> </w:t>
      </w:r>
      <w:r w:rsidR="007D29D5">
        <w:rPr>
          <w:rFonts w:cs="Arial"/>
          <w:szCs w:val="20"/>
        </w:rPr>
        <w:t>and their sensitivity to the hazards</w:t>
      </w:r>
      <w:r w:rsidR="004009D1">
        <w:rPr>
          <w:rFonts w:cs="Arial"/>
          <w:szCs w:val="20"/>
        </w:rPr>
        <w:t xml:space="preserve"> (what is the cause and effect relationship between the activity and the impact)</w:t>
      </w:r>
      <w:r w:rsidR="00C404E8">
        <w:rPr>
          <w:rFonts w:cs="Arial"/>
          <w:szCs w:val="20"/>
        </w:rPr>
        <w:t>.</w:t>
      </w:r>
    </w:p>
    <w:p w14:paraId="63006A9E" w14:textId="40B645C0" w:rsidR="007D29D5" w:rsidRPr="004009D1" w:rsidRDefault="00774507" w:rsidP="00331A31">
      <w:pPr>
        <w:pStyle w:val="BodyTextNumbering"/>
        <w:numPr>
          <w:ilvl w:val="1"/>
          <w:numId w:val="50"/>
        </w:numPr>
        <w:spacing w:before="0" w:after="120"/>
        <w:rPr>
          <w:rFonts w:cs="Arial"/>
          <w:szCs w:val="20"/>
        </w:rPr>
      </w:pPr>
      <w:r>
        <w:rPr>
          <w:rFonts w:cs="Arial"/>
          <w:color w:val="auto"/>
          <w:szCs w:val="20"/>
        </w:rPr>
        <w:t>A</w:t>
      </w:r>
      <w:r w:rsidR="007D29D5">
        <w:rPr>
          <w:rFonts w:cs="Arial"/>
          <w:color w:val="auto"/>
          <w:szCs w:val="20"/>
        </w:rPr>
        <w:t>nalysis</w:t>
      </w:r>
      <w:r w:rsidR="007D29D5" w:rsidRPr="007D29D5">
        <w:rPr>
          <w:rFonts w:cs="Arial"/>
          <w:color w:val="auto"/>
          <w:szCs w:val="20"/>
        </w:rPr>
        <w:t xml:space="preserve"> of </w:t>
      </w:r>
      <w:r w:rsidR="007D29D5">
        <w:rPr>
          <w:rFonts w:cs="Arial"/>
          <w:color w:val="auto"/>
          <w:szCs w:val="20"/>
        </w:rPr>
        <w:t xml:space="preserve">the </w:t>
      </w:r>
      <w:r w:rsidR="007D29D5" w:rsidRPr="007D29D5">
        <w:rPr>
          <w:rFonts w:cs="Arial"/>
          <w:color w:val="auto"/>
          <w:szCs w:val="20"/>
        </w:rPr>
        <w:t>scale (spatial and temporal), and cause and effect (including direct, indirect</w:t>
      </w:r>
      <w:r w:rsidR="009A5B95">
        <w:rPr>
          <w:rFonts w:cs="Arial"/>
          <w:color w:val="auto"/>
          <w:szCs w:val="20"/>
        </w:rPr>
        <w:t>,</w:t>
      </w:r>
      <w:r w:rsidR="007D29D5" w:rsidRPr="007D29D5">
        <w:rPr>
          <w:rFonts w:cs="Arial"/>
          <w:color w:val="auto"/>
          <w:szCs w:val="20"/>
        </w:rPr>
        <w:t xml:space="preserve"> and </w:t>
      </w:r>
      <w:r w:rsidR="009A5B95">
        <w:rPr>
          <w:rFonts w:cs="Arial"/>
          <w:color w:val="auto"/>
          <w:szCs w:val="20"/>
        </w:rPr>
        <w:t xml:space="preserve">downstream and </w:t>
      </w:r>
      <w:r w:rsidR="007D29D5" w:rsidRPr="007D29D5">
        <w:rPr>
          <w:rFonts w:cs="Arial"/>
          <w:color w:val="auto"/>
          <w:szCs w:val="20"/>
        </w:rPr>
        <w:t xml:space="preserve">consequential impacts, </w:t>
      </w:r>
      <w:r w:rsidR="00C404E8">
        <w:rPr>
          <w:rFonts w:cs="Arial"/>
          <w:color w:val="auto"/>
          <w:szCs w:val="20"/>
        </w:rPr>
        <w:t>and</w:t>
      </w:r>
      <w:r w:rsidR="007D29D5" w:rsidRPr="007D29D5">
        <w:rPr>
          <w:rFonts w:cs="Arial"/>
          <w:color w:val="auto"/>
          <w:szCs w:val="20"/>
        </w:rPr>
        <w:t xml:space="preserve"> cumulative impacts) from the proposed activity</w:t>
      </w:r>
      <w:r>
        <w:rPr>
          <w:rFonts w:cs="Arial"/>
          <w:color w:val="auto"/>
          <w:szCs w:val="20"/>
        </w:rPr>
        <w:t xml:space="preserve"> –</w:t>
      </w:r>
      <w:r w:rsidR="007D29D5" w:rsidRPr="007D29D5">
        <w:rPr>
          <w:rFonts w:cs="Arial"/>
          <w:color w:val="auto"/>
          <w:szCs w:val="20"/>
        </w:rPr>
        <w:t xml:space="preserve"> using the best available information. </w:t>
      </w:r>
    </w:p>
    <w:p w14:paraId="1738D2DD" w14:textId="7B984635" w:rsidR="004260A3" w:rsidRPr="004260A3" w:rsidRDefault="00774507" w:rsidP="00331A31">
      <w:pPr>
        <w:pStyle w:val="BodyTextNumbering"/>
        <w:numPr>
          <w:ilvl w:val="1"/>
          <w:numId w:val="50"/>
        </w:numPr>
        <w:spacing w:before="0" w:after="120"/>
        <w:rPr>
          <w:rStyle w:val="Hyperlink"/>
          <w:rFonts w:cs="Arial"/>
          <w:color w:val="000000" w:themeColor="text1"/>
          <w:szCs w:val="20"/>
          <w:u w:val="none"/>
        </w:rPr>
      </w:pPr>
      <w:r>
        <w:rPr>
          <w:rFonts w:cs="Arial"/>
          <w:szCs w:val="20"/>
        </w:rPr>
        <w:t>W</w:t>
      </w:r>
      <w:r w:rsidR="004260A3">
        <w:rPr>
          <w:rFonts w:cs="Arial"/>
          <w:szCs w:val="20"/>
        </w:rPr>
        <w:t>here applicable, hydrodynamic modelling in accordance with GBRMPA</w:t>
      </w:r>
      <w:r>
        <w:rPr>
          <w:rFonts w:cs="Arial"/>
          <w:szCs w:val="20"/>
        </w:rPr>
        <w:t>’s</w:t>
      </w:r>
      <w:r w:rsidR="004260A3">
        <w:rPr>
          <w:rFonts w:cs="Arial"/>
          <w:szCs w:val="20"/>
        </w:rPr>
        <w:t xml:space="preserve"> </w:t>
      </w:r>
      <w:hyperlink r:id="rId85" w:history="1">
        <w:r w:rsidR="004260A3" w:rsidRPr="00774507">
          <w:rPr>
            <w:rStyle w:val="Hyperlink"/>
          </w:rPr>
          <w:t>Hydrodynamic Modelling Guidelines</w:t>
        </w:r>
      </w:hyperlink>
      <w:r w:rsidR="00F55335" w:rsidRPr="00F55335">
        <w:rPr>
          <w:rFonts w:cs="Arial"/>
          <w:szCs w:val="20"/>
        </w:rPr>
        <w:t xml:space="preserve"> </w:t>
      </w:r>
      <w:r w:rsidR="00F55335">
        <w:rPr>
          <w:rFonts w:cs="Arial"/>
          <w:szCs w:val="20"/>
        </w:rPr>
        <w:t xml:space="preserve">to assist in understanding the potential impacts from various hazards including changes in hydrodynamics, light, sediment and sedimentation and potential contamination of water and sediment. </w:t>
      </w:r>
    </w:p>
    <w:p w14:paraId="79FE3037" w14:textId="45A99F5A" w:rsidR="00DA7AA2" w:rsidRDefault="00774507" w:rsidP="00331A31">
      <w:pPr>
        <w:pStyle w:val="BodyTextNumbering"/>
        <w:numPr>
          <w:ilvl w:val="1"/>
          <w:numId w:val="50"/>
        </w:numPr>
        <w:spacing w:before="0" w:after="120"/>
        <w:rPr>
          <w:rFonts w:cs="Arial"/>
          <w:szCs w:val="20"/>
        </w:rPr>
      </w:pPr>
      <w:r>
        <w:rPr>
          <w:rFonts w:cs="Arial"/>
          <w:szCs w:val="20"/>
        </w:rPr>
        <w:t>P</w:t>
      </w:r>
      <w:r w:rsidR="004260A3">
        <w:rPr>
          <w:rFonts w:cs="Arial"/>
          <w:szCs w:val="20"/>
        </w:rPr>
        <w:t xml:space="preserve">roposed </w:t>
      </w:r>
      <w:r w:rsidR="004260A3" w:rsidRPr="00643AAF">
        <w:rPr>
          <w:rFonts w:cs="Arial"/>
          <w:szCs w:val="20"/>
        </w:rPr>
        <w:t>monitoring program with indicators, thresholds, trigger values and intervention actions.</w:t>
      </w:r>
      <w:r w:rsidR="004260A3">
        <w:rPr>
          <w:rFonts w:cs="Arial"/>
          <w:szCs w:val="20"/>
        </w:rPr>
        <w:t xml:space="preserve"> Include </w:t>
      </w:r>
      <w:r w:rsidR="004260A3" w:rsidRPr="00643AAF">
        <w:rPr>
          <w:rFonts w:cs="Arial"/>
          <w:szCs w:val="20"/>
        </w:rPr>
        <w:t xml:space="preserve">real-time monitoring (with trigger values) </w:t>
      </w:r>
      <w:r w:rsidR="004260A3">
        <w:rPr>
          <w:rFonts w:cs="Arial"/>
          <w:szCs w:val="20"/>
        </w:rPr>
        <w:t xml:space="preserve">for likely contaminants or nutrients and </w:t>
      </w:r>
      <w:r w:rsidR="004260A3">
        <w:rPr>
          <w:rFonts w:cs="Arial"/>
          <w:szCs w:val="20"/>
        </w:rPr>
        <w:lastRenderedPageBreak/>
        <w:t xml:space="preserve">environmental indicators (such </w:t>
      </w:r>
      <w:r w:rsidR="004260A3" w:rsidRPr="004936E9">
        <w:rPr>
          <w:rFonts w:cs="Arial"/>
          <w:szCs w:val="20"/>
        </w:rPr>
        <w:t xml:space="preserve">as light, </w:t>
      </w:r>
      <w:r w:rsidR="0004366D" w:rsidRPr="004936E9">
        <w:rPr>
          <w:rFonts w:cs="Arial"/>
          <w:szCs w:val="20"/>
        </w:rPr>
        <w:t xml:space="preserve">turbidity, </w:t>
      </w:r>
      <w:r w:rsidR="004260A3" w:rsidRPr="004936E9">
        <w:rPr>
          <w:rFonts w:cs="Arial"/>
          <w:szCs w:val="20"/>
        </w:rPr>
        <w:t>Total Suspended Solids)</w:t>
      </w:r>
      <w:r w:rsidR="00DA7AA2">
        <w:rPr>
          <w:rFonts w:cs="Arial"/>
          <w:szCs w:val="20"/>
        </w:rPr>
        <w:t xml:space="preserve"> with consideration for seagrass and other biodiversity values of the ecosystem within seagrass meadows and other habitats within </w:t>
      </w:r>
      <w:r w:rsidR="00D22E08" w:rsidRPr="007D29D5">
        <w:rPr>
          <w:rFonts w:cs="Arial"/>
          <w:szCs w:val="20"/>
        </w:rPr>
        <w:t>the proposed area</w:t>
      </w:r>
      <w:r w:rsidR="00D22E08">
        <w:rPr>
          <w:rFonts w:cs="Arial"/>
          <w:szCs w:val="20"/>
        </w:rPr>
        <w:t xml:space="preserve"> and in the adjacent areas both potentially impacted, and outside the impact zone</w:t>
      </w:r>
      <w:r w:rsidR="00D22E08" w:rsidDel="00D22E08">
        <w:rPr>
          <w:rFonts w:cs="Arial"/>
          <w:szCs w:val="20"/>
        </w:rPr>
        <w:t xml:space="preserve"> </w:t>
      </w:r>
      <w:r w:rsidR="00D22E08">
        <w:rPr>
          <w:rFonts w:cs="Arial"/>
          <w:szCs w:val="20"/>
        </w:rPr>
        <w:t>(the control site</w:t>
      </w:r>
      <w:r w:rsidR="00DA6263">
        <w:rPr>
          <w:rFonts w:cs="Arial"/>
          <w:szCs w:val="20"/>
        </w:rPr>
        <w:t>s</w:t>
      </w:r>
      <w:r w:rsidR="00D22E08">
        <w:rPr>
          <w:rFonts w:cs="Arial"/>
          <w:szCs w:val="20"/>
        </w:rPr>
        <w:t>)</w:t>
      </w:r>
      <w:r w:rsidR="00DA7AA2">
        <w:rPr>
          <w:rFonts w:cs="Arial"/>
          <w:szCs w:val="20"/>
        </w:rPr>
        <w:t xml:space="preserve">. </w:t>
      </w:r>
    </w:p>
    <w:p w14:paraId="278C9635" w14:textId="4819579A" w:rsidR="00DA7AA2" w:rsidRDefault="00774507" w:rsidP="00331A31">
      <w:pPr>
        <w:pStyle w:val="BodyTextNumbering"/>
        <w:numPr>
          <w:ilvl w:val="1"/>
          <w:numId w:val="50"/>
        </w:numPr>
        <w:spacing w:before="0" w:after="120"/>
        <w:rPr>
          <w:rFonts w:cs="Arial"/>
          <w:szCs w:val="20"/>
        </w:rPr>
      </w:pPr>
      <w:r>
        <w:t>Locally-</w:t>
      </w:r>
      <w:r w:rsidR="00BD578F" w:rsidRPr="00815B8D">
        <w:t xml:space="preserve">derived absolute thresholds should be obtained for management of specific activities likely to </w:t>
      </w:r>
      <w:r w:rsidR="00BD578F">
        <w:t xml:space="preserve">impact on the light environment and consider </w:t>
      </w:r>
      <w:r w:rsidR="00BD578F">
        <w:rPr>
          <w:rFonts w:cs="Arial"/>
          <w:szCs w:val="20"/>
        </w:rPr>
        <w:t>general l</w:t>
      </w:r>
      <w:r w:rsidR="00BD578F" w:rsidRPr="00815B8D">
        <w:rPr>
          <w:rFonts w:cs="Arial"/>
          <w:szCs w:val="20"/>
        </w:rPr>
        <w:t>ight re</w:t>
      </w:r>
      <w:r w:rsidR="00BD578F" w:rsidRPr="001C013D">
        <w:rPr>
          <w:rFonts w:cs="Arial"/>
          <w:szCs w:val="20"/>
        </w:rPr>
        <w:t>q</w:t>
      </w:r>
      <w:r w:rsidR="00BD578F" w:rsidRPr="00815B8D">
        <w:rPr>
          <w:rFonts w:cs="Arial"/>
          <w:szCs w:val="20"/>
        </w:rPr>
        <w:t>uirement</w:t>
      </w:r>
      <w:r w:rsidR="00BD578F">
        <w:rPr>
          <w:rFonts w:cs="Arial"/>
          <w:szCs w:val="20"/>
        </w:rPr>
        <w:t xml:space="preserve">s as covered in Collier </w:t>
      </w:r>
      <w:r w:rsidR="00BD578F" w:rsidRPr="00BD578F">
        <w:rPr>
          <w:rFonts w:cs="Arial"/>
          <w:i/>
          <w:szCs w:val="20"/>
        </w:rPr>
        <w:t xml:space="preserve">et al. </w:t>
      </w:r>
      <w:r w:rsidR="00BD578F">
        <w:rPr>
          <w:rFonts w:cs="Arial"/>
          <w:szCs w:val="20"/>
        </w:rPr>
        <w:t>2016.</w:t>
      </w:r>
      <w:r w:rsidR="00BD578F">
        <w:rPr>
          <w:rFonts w:cs="Arial"/>
          <w:szCs w:val="20"/>
        </w:rPr>
        <w:fldChar w:fldCharType="begin"/>
      </w:r>
      <w:r w:rsidR="00EE558C">
        <w:rPr>
          <w:rFonts w:cs="Arial"/>
          <w:szCs w:val="20"/>
        </w:rPr>
        <w:instrText>ADDIN RW.CITE{{24585 Collier,C. 2016}}</w:instrText>
      </w:r>
      <w:r w:rsidR="00BD578F">
        <w:rPr>
          <w:rFonts w:cs="Arial"/>
          <w:szCs w:val="20"/>
        </w:rPr>
        <w:fldChar w:fldCharType="separate"/>
      </w:r>
      <w:r w:rsidR="00EE558C" w:rsidRPr="00EE558C">
        <w:rPr>
          <w:rFonts w:cs="Arial"/>
          <w:szCs w:val="20"/>
          <w:vertAlign w:val="superscript"/>
        </w:rPr>
        <w:t>15</w:t>
      </w:r>
      <w:r w:rsidR="00BD578F">
        <w:rPr>
          <w:rFonts w:cs="Arial"/>
          <w:szCs w:val="20"/>
        </w:rPr>
        <w:fldChar w:fldCharType="end"/>
      </w:r>
      <w:r w:rsidR="00BD578F">
        <w:t xml:space="preserve"> L</w:t>
      </w:r>
      <w:r w:rsidR="00DA7AA2" w:rsidRPr="00643AAF">
        <w:rPr>
          <w:rFonts w:cs="Arial"/>
          <w:szCs w:val="20"/>
        </w:rPr>
        <w:t>ight v</w:t>
      </w:r>
      <w:r w:rsidR="00DA7AA2">
        <w:rPr>
          <w:rFonts w:cs="Arial"/>
          <w:szCs w:val="20"/>
        </w:rPr>
        <w:t xml:space="preserve">alues </w:t>
      </w:r>
      <w:r>
        <w:rPr>
          <w:rFonts w:cs="Arial"/>
          <w:szCs w:val="20"/>
        </w:rPr>
        <w:t xml:space="preserve">should be </w:t>
      </w:r>
      <w:r w:rsidR="00DA7AA2">
        <w:rPr>
          <w:rFonts w:cs="Arial"/>
          <w:szCs w:val="20"/>
        </w:rPr>
        <w:t xml:space="preserve">determined </w:t>
      </w:r>
      <w:r w:rsidR="00BD578F">
        <w:rPr>
          <w:rFonts w:cs="Arial"/>
          <w:szCs w:val="20"/>
        </w:rPr>
        <w:t>based on</w:t>
      </w:r>
      <w:r>
        <w:rPr>
          <w:rFonts w:cs="Arial"/>
          <w:szCs w:val="20"/>
        </w:rPr>
        <w:t xml:space="preserve"> the</w:t>
      </w:r>
      <w:r w:rsidR="00BD578F">
        <w:rPr>
          <w:rFonts w:cs="Arial"/>
          <w:szCs w:val="20"/>
        </w:rPr>
        <w:t xml:space="preserve"> most sensitive species present. Light thresholds </w:t>
      </w:r>
      <w:r w:rsidR="00C404E8">
        <w:rPr>
          <w:rFonts w:cs="Arial"/>
          <w:szCs w:val="20"/>
        </w:rPr>
        <w:t xml:space="preserve">should be </w:t>
      </w:r>
      <w:r w:rsidR="00BD578F">
        <w:rPr>
          <w:rFonts w:cs="Arial"/>
          <w:szCs w:val="20"/>
        </w:rPr>
        <w:t>analysed by</w:t>
      </w:r>
      <w:r w:rsidR="00DA7AA2">
        <w:rPr>
          <w:rFonts w:cs="Arial"/>
          <w:szCs w:val="20"/>
        </w:rPr>
        <w:t xml:space="preserve"> </w:t>
      </w:r>
      <w:r w:rsidR="00DA7AA2" w:rsidRPr="00643AAF">
        <w:rPr>
          <w:rFonts w:cs="Arial"/>
          <w:szCs w:val="20"/>
        </w:rPr>
        <w:t>expert</w:t>
      </w:r>
      <w:r w:rsidR="00BD578F">
        <w:rPr>
          <w:rFonts w:cs="Arial"/>
          <w:szCs w:val="20"/>
        </w:rPr>
        <w:t xml:space="preserve">s to determine </w:t>
      </w:r>
      <w:r w:rsidR="00DA7AA2">
        <w:rPr>
          <w:rFonts w:cs="Arial"/>
          <w:szCs w:val="20"/>
        </w:rPr>
        <w:t xml:space="preserve">timing, concentration, </w:t>
      </w:r>
      <w:r w:rsidR="00BD578F">
        <w:rPr>
          <w:rFonts w:cs="Arial"/>
          <w:szCs w:val="20"/>
        </w:rPr>
        <w:t>and light</w:t>
      </w:r>
      <w:r w:rsidR="00DA7AA2">
        <w:rPr>
          <w:rFonts w:cs="Arial"/>
          <w:szCs w:val="20"/>
        </w:rPr>
        <w:t xml:space="preserve"> attenuation</w:t>
      </w:r>
      <w:r w:rsidR="00A61F2B">
        <w:rPr>
          <w:rFonts w:cs="Arial"/>
          <w:szCs w:val="20"/>
        </w:rPr>
        <w:t xml:space="preserve"> periods</w:t>
      </w:r>
      <w:r w:rsidR="00C404E8">
        <w:rPr>
          <w:rFonts w:cs="Arial"/>
          <w:szCs w:val="20"/>
        </w:rPr>
        <w:t>.</w:t>
      </w:r>
      <w:r w:rsidR="00BD578F">
        <w:rPr>
          <w:rFonts w:cs="Arial"/>
          <w:szCs w:val="20"/>
        </w:rPr>
        <w:t xml:space="preserve"> </w:t>
      </w:r>
      <w:r w:rsidR="00DA7AA2">
        <w:rPr>
          <w:rFonts w:cs="Arial"/>
          <w:szCs w:val="20"/>
        </w:rPr>
        <w:t xml:space="preserve"> </w:t>
      </w:r>
    </w:p>
    <w:p w14:paraId="47F185A2" w14:textId="2C2E0282" w:rsidR="008F6949" w:rsidRPr="003A178F" w:rsidRDefault="00774507" w:rsidP="00331A31">
      <w:pPr>
        <w:pStyle w:val="BodyTextNumbering"/>
        <w:numPr>
          <w:ilvl w:val="1"/>
          <w:numId w:val="50"/>
        </w:numPr>
        <w:spacing w:before="0" w:after="120"/>
        <w:rPr>
          <w:rFonts w:cs="Arial"/>
          <w:szCs w:val="20"/>
        </w:rPr>
      </w:pPr>
      <w:r>
        <w:t>E</w:t>
      </w:r>
      <w:r w:rsidR="00BD578F">
        <w:t>xplanation of proposed incident response plan and equipment</w:t>
      </w:r>
      <w:r>
        <w:t>, and, if deployed, any possible impacts for the considerations listed above</w:t>
      </w:r>
      <w:r w:rsidR="00BD578F">
        <w:t>.</w:t>
      </w:r>
    </w:p>
    <w:p w14:paraId="063C750E" w14:textId="77777777" w:rsidR="002D0F79" w:rsidRPr="008A1E7B" w:rsidRDefault="002D0F79" w:rsidP="008A1E7B">
      <w:pPr>
        <w:pStyle w:val="Heading1"/>
        <w:widowControl/>
        <w:autoSpaceDE/>
        <w:autoSpaceDN/>
        <w:adjustRightInd/>
        <w:spacing w:before="200" w:after="100"/>
        <w:ind w:right="0"/>
        <w:jc w:val="left"/>
        <w:rPr>
          <w:rFonts w:ascii="Calibri" w:hAnsi="Calibri" w:cs="Times New Roman"/>
          <w:bCs w:val="0"/>
          <w:color w:val="005782"/>
          <w:sz w:val="30"/>
          <w:szCs w:val="30"/>
        </w:rPr>
      </w:pPr>
      <w:r w:rsidRPr="008A1E7B">
        <w:rPr>
          <w:rFonts w:ascii="Calibri" w:hAnsi="Calibri" w:cs="Times New Roman"/>
          <w:bCs w:val="0"/>
          <w:color w:val="005782"/>
          <w:sz w:val="30"/>
          <w:szCs w:val="30"/>
        </w:rPr>
        <w:t>Implementation</w:t>
      </w:r>
    </w:p>
    <w:p w14:paraId="58635547" w14:textId="79A7B14A" w:rsidR="009938E1" w:rsidRPr="009938E1" w:rsidRDefault="009938E1" w:rsidP="00331A31">
      <w:pPr>
        <w:pStyle w:val="BodyTextNumbering"/>
        <w:numPr>
          <w:ilvl w:val="0"/>
          <w:numId w:val="49"/>
        </w:numPr>
        <w:spacing w:before="120"/>
      </w:pPr>
      <w:r w:rsidRPr="009938E1">
        <w:rPr>
          <w:lang w:val="en-US"/>
        </w:rPr>
        <w:t xml:space="preserve">These guidelines will be reviewed and updated </w:t>
      </w:r>
      <w:r w:rsidR="00226556">
        <w:rPr>
          <w:lang w:val="en-US"/>
        </w:rPr>
        <w:t>as</w:t>
      </w:r>
      <w:r w:rsidR="00226556" w:rsidRPr="009938E1">
        <w:rPr>
          <w:lang w:val="en-US"/>
        </w:rPr>
        <w:t xml:space="preserve"> </w:t>
      </w:r>
      <w:r w:rsidRPr="009938E1">
        <w:rPr>
          <w:lang w:val="en-US"/>
        </w:rPr>
        <w:t>required at least every three (3) years.</w:t>
      </w:r>
    </w:p>
    <w:p w14:paraId="75CB71A9" w14:textId="2A72FD47" w:rsidR="009938E1" w:rsidRPr="00ED27E2" w:rsidRDefault="009938E1" w:rsidP="00331A31">
      <w:pPr>
        <w:pStyle w:val="BodyTextNumbering"/>
        <w:numPr>
          <w:ilvl w:val="0"/>
          <w:numId w:val="49"/>
        </w:numPr>
        <w:spacing w:before="120"/>
      </w:pPr>
      <w:r w:rsidRPr="009938E1">
        <w:rPr>
          <w:color w:val="auto"/>
          <w:lang w:val="en-US"/>
        </w:rPr>
        <w:t xml:space="preserve">The </w:t>
      </w:r>
      <w:hyperlink r:id="rId86" w:history="1">
        <w:r w:rsidRPr="00226556">
          <w:rPr>
            <w:rStyle w:val="Hyperlink"/>
            <w:lang w:val="en-US"/>
          </w:rPr>
          <w:t>Permission System Policy</w:t>
        </w:r>
      </w:hyperlink>
      <w:r w:rsidRPr="009938E1">
        <w:rPr>
          <w:color w:val="auto"/>
          <w:lang w:val="en-US"/>
        </w:rPr>
        <w:t xml:space="preserve"> and other guidelines are available which provide further detail on how </w:t>
      </w:r>
      <w:r w:rsidR="00C404E8">
        <w:rPr>
          <w:color w:val="auto"/>
          <w:lang w:val="en-US"/>
        </w:rPr>
        <w:t>GBRMPA</w:t>
      </w:r>
      <w:r w:rsidRPr="009938E1">
        <w:rPr>
          <w:color w:val="auto"/>
          <w:lang w:val="en-US"/>
        </w:rPr>
        <w:t xml:space="preserve"> assesses, decides and manages specific aspects of the permission system and the application process.</w:t>
      </w:r>
    </w:p>
    <w:p w14:paraId="18D45DAD" w14:textId="274C01E2" w:rsidR="009938E1" w:rsidRDefault="009938E1" w:rsidP="00331A31">
      <w:pPr>
        <w:pStyle w:val="BodyTextNumbering"/>
        <w:numPr>
          <w:ilvl w:val="0"/>
          <w:numId w:val="49"/>
        </w:numPr>
        <w:spacing w:before="120"/>
      </w:pPr>
      <w:r>
        <w:t xml:space="preserve">For actions that are wholly or partially outside the Marine Parks, </w:t>
      </w:r>
      <w:r w:rsidR="00C404E8">
        <w:t>GBRMPA</w:t>
      </w:r>
      <w:r>
        <w:t xml:space="preserve"> will continue to liaise with the </w:t>
      </w:r>
      <w:r w:rsidRPr="00C916FD">
        <w:t>Commonwealth Department responsible</w:t>
      </w:r>
      <w:r>
        <w:t xml:space="preserve"> for the EPBC Act</w:t>
      </w:r>
      <w:r>
        <w:rPr>
          <w:rFonts w:cs="Arial"/>
          <w:i/>
          <w:sz w:val="19"/>
          <w:szCs w:val="19"/>
        </w:rPr>
        <w:t>.</w:t>
      </w:r>
      <w:r>
        <w:t xml:space="preserve"> Where a bilateral agreement exists </w:t>
      </w:r>
      <w:r w:rsidRPr="00C916FD">
        <w:t xml:space="preserve">between the Australian Government and the Queensland Government, </w:t>
      </w:r>
      <w:r>
        <w:t>depending on the terms of the agreement</w:t>
      </w:r>
      <w:r w:rsidR="00226556">
        <w:t>,</w:t>
      </w:r>
      <w:r>
        <w:t xml:space="preserve"> </w:t>
      </w:r>
      <w:r w:rsidRPr="00C916FD">
        <w:t>the Commonwealth Department’s role</w:t>
      </w:r>
      <w:r>
        <w:t xml:space="preserve"> may be delivered by the Queensland Government. </w:t>
      </w:r>
      <w:r w:rsidR="00C404E8">
        <w:t>GBRMPA</w:t>
      </w:r>
      <w:r>
        <w:t xml:space="preserve"> will work with both levels of government according to agreed procedures, such as a Memorandum of Understanding, to provide advice on matters that may affect the Great Barrier Reef. </w:t>
      </w:r>
    </w:p>
    <w:p w14:paraId="261A844D" w14:textId="77777777" w:rsidR="00CE5061" w:rsidRPr="008A1E7B" w:rsidRDefault="00886B36" w:rsidP="008A1E7B">
      <w:pPr>
        <w:pStyle w:val="Heading1"/>
        <w:widowControl/>
        <w:autoSpaceDE/>
        <w:autoSpaceDN/>
        <w:adjustRightInd/>
        <w:spacing w:before="200" w:after="100"/>
        <w:ind w:right="0"/>
        <w:jc w:val="left"/>
        <w:rPr>
          <w:rFonts w:ascii="Calibri" w:hAnsi="Calibri" w:cs="Times New Roman"/>
          <w:bCs w:val="0"/>
          <w:color w:val="005782"/>
          <w:sz w:val="30"/>
          <w:szCs w:val="30"/>
        </w:rPr>
      </w:pPr>
      <w:r w:rsidRPr="008A1E7B">
        <w:rPr>
          <w:rFonts w:ascii="Calibri" w:hAnsi="Calibri" w:cs="Times New Roman"/>
          <w:bCs w:val="0"/>
          <w:color w:val="005782"/>
          <w:sz w:val="30"/>
          <w:szCs w:val="30"/>
        </w:rPr>
        <w:t>Definitions</w:t>
      </w:r>
    </w:p>
    <w:p w14:paraId="62523844" w14:textId="77777777" w:rsidR="008A1E7B" w:rsidRPr="00226556" w:rsidRDefault="008A1E7B" w:rsidP="00226556">
      <w:pPr>
        <w:pStyle w:val="DefinitionTerm"/>
        <w:spacing w:before="0" w:after="160"/>
        <w:ind w:left="0"/>
        <w:rPr>
          <w:rFonts w:cs="Times New Roman"/>
          <w:bCs w:val="0"/>
          <w:color w:val="auto"/>
          <w:sz w:val="20"/>
          <w:szCs w:val="20"/>
          <w:lang w:val="en-US"/>
        </w:rPr>
      </w:pPr>
      <w:r w:rsidRPr="00226556">
        <w:rPr>
          <w:rFonts w:cs="Times New Roman"/>
          <w:bCs w:val="0"/>
          <w:color w:val="auto"/>
          <w:sz w:val="20"/>
          <w:szCs w:val="20"/>
          <w:lang w:val="en-US"/>
        </w:rPr>
        <w:t xml:space="preserve">Refer to the </w:t>
      </w:r>
      <w:hyperlink r:id="rId87" w:history="1">
        <w:r w:rsidRPr="00226556">
          <w:rPr>
            <w:rStyle w:val="Hyperlink"/>
            <w:rFonts w:cs="Times New Roman"/>
            <w:bCs w:val="0"/>
            <w:sz w:val="20"/>
            <w:szCs w:val="20"/>
            <w:lang w:val="en-US"/>
          </w:rPr>
          <w:t>Permission System Policy</w:t>
        </w:r>
      </w:hyperlink>
      <w:r w:rsidRPr="00226556">
        <w:rPr>
          <w:rFonts w:cs="Times New Roman"/>
          <w:bCs w:val="0"/>
          <w:color w:val="auto"/>
          <w:sz w:val="20"/>
          <w:szCs w:val="20"/>
          <w:lang w:val="en-US"/>
        </w:rPr>
        <w:t xml:space="preserve"> for a list of general definitions relating to the permission system. </w:t>
      </w:r>
    </w:p>
    <w:p w14:paraId="0260812B" w14:textId="77777777" w:rsidR="00986996" w:rsidRPr="00226556" w:rsidRDefault="00986996" w:rsidP="00226556">
      <w:pPr>
        <w:pStyle w:val="Definitionterm0"/>
        <w:rPr>
          <w:sz w:val="20"/>
          <w:szCs w:val="20"/>
        </w:rPr>
      </w:pPr>
      <w:r w:rsidRPr="00226556">
        <w:rPr>
          <w:sz w:val="20"/>
          <w:szCs w:val="20"/>
        </w:rPr>
        <w:t>Bathymetric survey</w:t>
      </w:r>
    </w:p>
    <w:p w14:paraId="4B47F8F5" w14:textId="77777777" w:rsidR="00986996" w:rsidRPr="00226556" w:rsidRDefault="00986996" w:rsidP="00226556">
      <w:pPr>
        <w:pStyle w:val="Definitionofterm"/>
        <w:rPr>
          <w:sz w:val="20"/>
        </w:rPr>
      </w:pPr>
      <w:r w:rsidRPr="00226556">
        <w:rPr>
          <w:sz w:val="20"/>
        </w:rPr>
        <w:t>A study of the underwater depth of lake or ocean floors.</w:t>
      </w:r>
    </w:p>
    <w:p w14:paraId="23269A89" w14:textId="6E5EB731" w:rsidR="00170BA5" w:rsidRPr="00226556" w:rsidRDefault="00170BA5" w:rsidP="00226556">
      <w:pPr>
        <w:pStyle w:val="Definitionterm0"/>
        <w:rPr>
          <w:sz w:val="20"/>
          <w:szCs w:val="20"/>
        </w:rPr>
      </w:pPr>
      <w:r w:rsidRPr="00226556">
        <w:rPr>
          <w:sz w:val="20"/>
          <w:szCs w:val="20"/>
        </w:rPr>
        <w:t>Connectivity</w:t>
      </w:r>
    </w:p>
    <w:p w14:paraId="1B0347D9" w14:textId="04CE3BC5" w:rsidR="00170BA5" w:rsidRPr="00170BA5" w:rsidRDefault="00170BA5" w:rsidP="00226556">
      <w:pPr>
        <w:pStyle w:val="DefinitionHeadings"/>
        <w:spacing w:before="0" w:after="160"/>
        <w:ind w:left="284"/>
        <w:rPr>
          <w:rFonts w:eastAsia="Arial Unicode MS"/>
          <w:b w:val="0"/>
          <w:bCs w:val="0"/>
        </w:rPr>
      </w:pPr>
      <w:r w:rsidRPr="00226556">
        <w:rPr>
          <w:rFonts w:eastAsiaTheme="minorHAnsi"/>
          <w:b w:val="0"/>
          <w:bCs w:val="0"/>
          <w:color w:val="auto"/>
          <w:sz w:val="20"/>
          <w:szCs w:val="21"/>
          <w:lang w:eastAsia="en-US"/>
        </w:rPr>
        <w:t xml:space="preserve">Natural links </w:t>
      </w:r>
      <w:r w:rsidR="00474EEE" w:rsidRPr="00226556">
        <w:rPr>
          <w:rFonts w:eastAsiaTheme="minorHAnsi"/>
          <w:b w:val="0"/>
          <w:bCs w:val="0"/>
          <w:color w:val="auto"/>
          <w:sz w:val="20"/>
          <w:szCs w:val="21"/>
          <w:lang w:eastAsia="en-US"/>
        </w:rPr>
        <w:t>between dif</w:t>
      </w:r>
      <w:r w:rsidR="00003676" w:rsidRPr="00226556">
        <w:rPr>
          <w:rFonts w:eastAsiaTheme="minorHAnsi"/>
          <w:b w:val="0"/>
          <w:bCs w:val="0"/>
          <w:color w:val="auto"/>
          <w:sz w:val="20"/>
          <w:szCs w:val="21"/>
          <w:lang w:eastAsia="en-US"/>
        </w:rPr>
        <w:t>ferent habitats, such as reefs,</w:t>
      </w:r>
      <w:r w:rsidRPr="00226556">
        <w:rPr>
          <w:rFonts w:eastAsiaTheme="minorHAnsi"/>
          <w:b w:val="0"/>
          <w:bCs w:val="0"/>
          <w:color w:val="auto"/>
          <w:sz w:val="20"/>
          <w:szCs w:val="21"/>
          <w:lang w:eastAsia="en-US"/>
        </w:rPr>
        <w:t xml:space="preserve"> </w:t>
      </w:r>
      <w:r w:rsidR="009A6727" w:rsidRPr="00226556">
        <w:rPr>
          <w:rFonts w:eastAsiaTheme="minorHAnsi"/>
          <w:b w:val="0"/>
          <w:bCs w:val="0"/>
          <w:color w:val="auto"/>
          <w:sz w:val="20"/>
          <w:szCs w:val="21"/>
          <w:lang w:eastAsia="en-US"/>
        </w:rPr>
        <w:t>seagrass beds, mangroves</w:t>
      </w:r>
      <w:r w:rsidRPr="00226556">
        <w:rPr>
          <w:rFonts w:eastAsiaTheme="minorHAnsi"/>
          <w:b w:val="0"/>
          <w:bCs w:val="0"/>
          <w:color w:val="auto"/>
          <w:sz w:val="20"/>
          <w:szCs w:val="21"/>
          <w:lang w:eastAsia="en-US"/>
        </w:rPr>
        <w:t xml:space="preserve"> that provide dispersal and genetic replenishment. Also refers to links among coastal lands and adjacent catchments, which are sources of freshwater, sediments and pollutants. The mechanisms include ocean currents, terrestrial runoff and watercourses, larval dispersal, spawning patterns, and movements of adult fishes and other animals. Connectivity is an important process to ensure the productive function of th</w:t>
      </w:r>
      <w:r w:rsidR="009A6727" w:rsidRPr="00226556">
        <w:rPr>
          <w:rFonts w:eastAsiaTheme="minorHAnsi"/>
          <w:b w:val="0"/>
          <w:bCs w:val="0"/>
          <w:color w:val="auto"/>
          <w:sz w:val="20"/>
          <w:szCs w:val="21"/>
          <w:lang w:eastAsia="en-US"/>
        </w:rPr>
        <w:t xml:space="preserve">e plant and animal species </w:t>
      </w:r>
      <w:r w:rsidRPr="00226556">
        <w:rPr>
          <w:rFonts w:eastAsiaTheme="minorHAnsi"/>
          <w:b w:val="0"/>
          <w:bCs w:val="0"/>
          <w:color w:val="auto"/>
          <w:sz w:val="20"/>
          <w:szCs w:val="21"/>
          <w:lang w:eastAsia="en-US"/>
        </w:rPr>
        <w:t>contribute to the overall health of an ecosystem.</w:t>
      </w:r>
      <w:r w:rsidR="00D85C82">
        <w:rPr>
          <w:rFonts w:eastAsia="Arial Unicode MS"/>
          <w:b w:val="0"/>
          <w:bCs w:val="0"/>
        </w:rPr>
        <w:fldChar w:fldCharType="begin"/>
      </w:r>
      <w:r w:rsidR="00EE558C">
        <w:rPr>
          <w:rFonts w:eastAsia="Arial Unicode MS"/>
          <w:b w:val="0"/>
          <w:bCs w:val="0"/>
        </w:rPr>
        <w:instrText>ADDIN RW.CITE{{3880 Johnson,J.E. 2007}}</w:instrText>
      </w:r>
      <w:r w:rsidR="00D85C82">
        <w:rPr>
          <w:rFonts w:eastAsia="Arial Unicode MS"/>
          <w:b w:val="0"/>
          <w:bCs w:val="0"/>
        </w:rPr>
        <w:fldChar w:fldCharType="separate"/>
      </w:r>
      <w:r w:rsidR="00EE558C" w:rsidRPr="00EE558C">
        <w:rPr>
          <w:rFonts w:eastAsia="Arial Unicode MS"/>
          <w:b w:val="0"/>
          <w:bCs w:val="0"/>
          <w:vertAlign w:val="superscript"/>
        </w:rPr>
        <w:t>11</w:t>
      </w:r>
      <w:r w:rsidR="00D85C82">
        <w:rPr>
          <w:rFonts w:eastAsia="Arial Unicode MS"/>
          <w:b w:val="0"/>
          <w:bCs w:val="0"/>
        </w:rPr>
        <w:fldChar w:fldCharType="end"/>
      </w:r>
    </w:p>
    <w:p w14:paraId="67E80DA5" w14:textId="77777777" w:rsidR="002E34FC" w:rsidRPr="00226556" w:rsidRDefault="002E34FC" w:rsidP="00226556">
      <w:pPr>
        <w:pStyle w:val="Definitionterm0"/>
        <w:rPr>
          <w:sz w:val="20"/>
          <w:szCs w:val="20"/>
        </w:rPr>
      </w:pPr>
      <w:r w:rsidRPr="00226556">
        <w:rPr>
          <w:sz w:val="20"/>
          <w:szCs w:val="20"/>
        </w:rPr>
        <w:t>Ecosystem services</w:t>
      </w:r>
    </w:p>
    <w:p w14:paraId="4C606D86" w14:textId="48C437FE" w:rsidR="002E34FC" w:rsidRPr="00226556" w:rsidRDefault="002E34FC" w:rsidP="00226556">
      <w:pPr>
        <w:pStyle w:val="DefinitionHeadings"/>
        <w:spacing w:before="0" w:after="160"/>
        <w:ind w:left="284"/>
        <w:rPr>
          <w:sz w:val="20"/>
          <w:szCs w:val="20"/>
        </w:rPr>
      </w:pPr>
      <w:r w:rsidRPr="00226556">
        <w:rPr>
          <w:rFonts w:eastAsiaTheme="minorHAnsi"/>
          <w:b w:val="0"/>
          <w:bCs w:val="0"/>
          <w:color w:val="auto"/>
          <w:sz w:val="20"/>
          <w:szCs w:val="20"/>
          <w:lang w:eastAsia="en-US"/>
        </w:rPr>
        <w:t>Are t</w:t>
      </w:r>
      <w:r w:rsidRPr="00226556">
        <w:rPr>
          <w:rFonts w:eastAsia="Arial Unicode MS"/>
          <w:b w:val="0"/>
          <w:bCs w:val="0"/>
          <w:sz w:val="20"/>
          <w:szCs w:val="20"/>
        </w:rPr>
        <w:t>he benefits provided to humans through the transformation of resources (or environmental assets, including land, water, vegetation and atmosphere) into a flow of essential goods and services, e.g. clean air, water, and food.</w:t>
      </w:r>
      <w:r w:rsidR="00202936" w:rsidRPr="00226556">
        <w:rPr>
          <w:rFonts w:eastAsia="Arial Unicode MS"/>
          <w:b w:val="0"/>
          <w:bCs w:val="0"/>
          <w:sz w:val="20"/>
          <w:szCs w:val="20"/>
        </w:rPr>
        <w:fldChar w:fldCharType="begin"/>
      </w:r>
      <w:r w:rsidR="00EE558C" w:rsidRPr="00226556">
        <w:rPr>
          <w:rFonts w:eastAsia="Arial Unicode MS"/>
          <w:b w:val="0"/>
          <w:bCs w:val="0"/>
          <w:sz w:val="20"/>
          <w:szCs w:val="20"/>
        </w:rPr>
        <w:instrText>ADDIN RW.CITE{{5714 Costanza,R. 1997}}</w:instrText>
      </w:r>
      <w:r w:rsidR="00202936" w:rsidRPr="00226556">
        <w:rPr>
          <w:rFonts w:eastAsia="Arial Unicode MS"/>
          <w:b w:val="0"/>
          <w:bCs w:val="0"/>
          <w:sz w:val="20"/>
          <w:szCs w:val="20"/>
        </w:rPr>
        <w:fldChar w:fldCharType="separate"/>
      </w:r>
      <w:r w:rsidR="00EE558C" w:rsidRPr="00226556">
        <w:rPr>
          <w:rFonts w:eastAsia="Arial Unicode MS"/>
          <w:b w:val="0"/>
          <w:bCs w:val="0"/>
          <w:sz w:val="20"/>
          <w:szCs w:val="20"/>
          <w:vertAlign w:val="superscript"/>
        </w:rPr>
        <w:t>33</w:t>
      </w:r>
      <w:r w:rsidR="00202936" w:rsidRPr="00226556">
        <w:rPr>
          <w:rFonts w:eastAsia="Arial Unicode MS"/>
          <w:b w:val="0"/>
          <w:bCs w:val="0"/>
          <w:sz w:val="20"/>
          <w:szCs w:val="20"/>
        </w:rPr>
        <w:fldChar w:fldCharType="end"/>
      </w:r>
      <w:r w:rsidR="00202936" w:rsidRPr="00226556">
        <w:rPr>
          <w:rFonts w:eastAsia="Arial Unicode MS"/>
          <w:b w:val="0"/>
          <w:bCs w:val="0"/>
          <w:sz w:val="20"/>
          <w:szCs w:val="20"/>
        </w:rPr>
        <w:t xml:space="preserve"> </w:t>
      </w:r>
      <w:r w:rsidRPr="00226556">
        <w:rPr>
          <w:rFonts w:eastAsia="Arial Unicode MS"/>
          <w:b w:val="0"/>
          <w:bCs w:val="0"/>
          <w:sz w:val="20"/>
          <w:szCs w:val="20"/>
        </w:rPr>
        <w:t xml:space="preserve">(Ecosystem services definition cited in Department of the Environment, Water, Heritage and the Arts (2009) </w:t>
      </w:r>
      <w:r w:rsidRPr="00226556">
        <w:rPr>
          <w:rFonts w:eastAsia="Arial Unicode MS"/>
          <w:b w:val="0"/>
          <w:bCs w:val="0"/>
          <w:i/>
          <w:sz w:val="20"/>
          <w:szCs w:val="20"/>
        </w:rPr>
        <w:t>Ecosystem Services: Key Concepts and Applications</w:t>
      </w:r>
      <w:r w:rsidRPr="00226556">
        <w:rPr>
          <w:rFonts w:eastAsia="Arial Unicode MS"/>
          <w:b w:val="0"/>
          <w:bCs w:val="0"/>
          <w:sz w:val="20"/>
          <w:szCs w:val="20"/>
        </w:rPr>
        <w:t>, Occasional Paper No 1, Department of the Environment, Water, He</w:t>
      </w:r>
      <w:r w:rsidR="00C85228" w:rsidRPr="00226556">
        <w:rPr>
          <w:rFonts w:eastAsia="Arial Unicode MS"/>
          <w:b w:val="0"/>
          <w:bCs w:val="0"/>
          <w:sz w:val="20"/>
          <w:szCs w:val="20"/>
        </w:rPr>
        <w:t>ritage and the Arts, Canberra).</w:t>
      </w:r>
    </w:p>
    <w:p w14:paraId="634A6135" w14:textId="77777777" w:rsidR="00986996" w:rsidRPr="00226556" w:rsidRDefault="00986996" w:rsidP="00226556">
      <w:pPr>
        <w:pStyle w:val="Definitionterm0"/>
        <w:rPr>
          <w:sz w:val="20"/>
          <w:szCs w:val="20"/>
        </w:rPr>
      </w:pPr>
      <w:r w:rsidRPr="00226556">
        <w:rPr>
          <w:sz w:val="20"/>
          <w:szCs w:val="20"/>
        </w:rPr>
        <w:t>Topographic survey</w:t>
      </w:r>
    </w:p>
    <w:p w14:paraId="378013DC" w14:textId="77777777" w:rsidR="00986996" w:rsidRPr="00226556" w:rsidRDefault="00986996" w:rsidP="00226556">
      <w:pPr>
        <w:pStyle w:val="Definitionofterm"/>
        <w:rPr>
          <w:sz w:val="20"/>
        </w:rPr>
      </w:pPr>
      <w:r w:rsidRPr="00226556">
        <w:rPr>
          <w:sz w:val="20"/>
        </w:rPr>
        <w:t>A study used to identify and map the contours of the ground and existing features on the surface of the earth or slightly above or below the earth's surface</w:t>
      </w:r>
    </w:p>
    <w:p w14:paraId="47869E16" w14:textId="77777777" w:rsidR="004658C7" w:rsidRPr="00226556" w:rsidRDefault="004658C7" w:rsidP="00226556">
      <w:pPr>
        <w:pStyle w:val="Definitionterm0"/>
        <w:rPr>
          <w:sz w:val="20"/>
          <w:szCs w:val="20"/>
        </w:rPr>
      </w:pPr>
      <w:r w:rsidRPr="00226556">
        <w:rPr>
          <w:sz w:val="20"/>
          <w:szCs w:val="20"/>
        </w:rPr>
        <w:t>Turbidity</w:t>
      </w:r>
    </w:p>
    <w:p w14:paraId="126B908E" w14:textId="77777777" w:rsidR="002B4FC8" w:rsidRPr="00226556" w:rsidRDefault="00554F9D" w:rsidP="00226556">
      <w:pPr>
        <w:pStyle w:val="Definitionofterm"/>
        <w:rPr>
          <w:sz w:val="20"/>
        </w:rPr>
      </w:pPr>
      <w:r w:rsidRPr="00226556">
        <w:rPr>
          <w:sz w:val="20"/>
        </w:rPr>
        <w:t>A</w:t>
      </w:r>
      <w:r w:rsidR="002B4FC8" w:rsidRPr="00226556">
        <w:rPr>
          <w:sz w:val="20"/>
        </w:rPr>
        <w:t xml:space="preserve"> measure of the degree to which water loses its transparency due to the presence of suspended particulates. The more total suspended solids in the water, the murkier it seems and the higher the turbidity</w:t>
      </w:r>
    </w:p>
    <w:p w14:paraId="45E74C66" w14:textId="77777777" w:rsidR="00226556" w:rsidRDefault="00226556" w:rsidP="00226556">
      <w:pPr>
        <w:pStyle w:val="Bodytextbold0"/>
      </w:pPr>
      <w:r>
        <w:br w:type="page"/>
      </w:r>
    </w:p>
    <w:p w14:paraId="43DC1B89" w14:textId="424AAD4D" w:rsidR="00F91FE9" w:rsidRPr="008A1E7B" w:rsidRDefault="00F91FE9" w:rsidP="008A1E7B">
      <w:pPr>
        <w:pStyle w:val="Heading1"/>
        <w:widowControl/>
        <w:autoSpaceDE/>
        <w:autoSpaceDN/>
        <w:adjustRightInd/>
        <w:spacing w:before="200" w:after="100"/>
        <w:ind w:right="0"/>
        <w:jc w:val="left"/>
        <w:rPr>
          <w:rFonts w:ascii="Calibri" w:hAnsi="Calibri" w:cs="Times New Roman"/>
          <w:bCs w:val="0"/>
          <w:color w:val="005782"/>
          <w:sz w:val="30"/>
          <w:szCs w:val="30"/>
        </w:rPr>
      </w:pPr>
      <w:r w:rsidRPr="008A1E7B">
        <w:rPr>
          <w:rFonts w:ascii="Calibri" w:hAnsi="Calibri" w:cs="Times New Roman"/>
          <w:bCs w:val="0"/>
          <w:color w:val="005782"/>
          <w:sz w:val="30"/>
          <w:szCs w:val="30"/>
        </w:rPr>
        <w:lastRenderedPageBreak/>
        <w:t>Supporting information</w:t>
      </w:r>
    </w:p>
    <w:bookmarkStart w:id="6" w:name="_Ref460414777"/>
    <w:p w14:paraId="0142CF00" w14:textId="64C4B923" w:rsidR="00EE558C" w:rsidRPr="00331A31" w:rsidRDefault="001830AC" w:rsidP="00331A31">
      <w:pPr>
        <w:pStyle w:val="NormalWeb"/>
        <w:spacing w:before="120" w:after="0" w:line="240" w:lineRule="auto"/>
        <w:ind w:left="567" w:right="238" w:hanging="567"/>
        <w:rPr>
          <w:rFonts w:ascii="Arial" w:hAnsi="Arial" w:cs="Arial"/>
          <w:sz w:val="20"/>
          <w:szCs w:val="20"/>
        </w:rPr>
      </w:pPr>
      <w:r>
        <w:rPr>
          <w:rFonts w:cs="Arial"/>
          <w:szCs w:val="20"/>
          <w:highlight w:val="lightGray"/>
        </w:rPr>
        <w:fldChar w:fldCharType="begin"/>
      </w:r>
      <w:r w:rsidR="00EE558C">
        <w:rPr>
          <w:rFonts w:cs="Arial"/>
          <w:szCs w:val="20"/>
          <w:highlight w:val="lightGray"/>
        </w:rPr>
        <w:instrText>ADDIN RW.BIB</w:instrText>
      </w:r>
      <w:r>
        <w:rPr>
          <w:rFonts w:cs="Arial"/>
          <w:szCs w:val="20"/>
          <w:highlight w:val="lightGray"/>
        </w:rPr>
        <w:fldChar w:fldCharType="separate"/>
      </w:r>
      <w:r w:rsidR="00EE558C" w:rsidRPr="00331A31">
        <w:rPr>
          <w:rFonts w:ascii="Arial" w:hAnsi="Arial" w:cs="Arial"/>
          <w:sz w:val="20"/>
          <w:szCs w:val="20"/>
        </w:rPr>
        <w:t xml:space="preserve">1. Coles, R., McKenzie, L.J. and Campbell, S. 2003, The seagrasses of eastern Australia, in </w:t>
      </w:r>
      <w:r w:rsidR="00EE558C" w:rsidRPr="00331A31">
        <w:rPr>
          <w:rFonts w:ascii="Arial" w:hAnsi="Arial" w:cs="Arial"/>
          <w:i/>
          <w:iCs/>
          <w:sz w:val="20"/>
          <w:szCs w:val="20"/>
        </w:rPr>
        <w:t>World Atlas of Seagrasses</w:t>
      </w:r>
      <w:r w:rsidR="00EE558C" w:rsidRPr="00331A31">
        <w:rPr>
          <w:rFonts w:ascii="Arial" w:hAnsi="Arial" w:cs="Arial"/>
          <w:sz w:val="20"/>
          <w:szCs w:val="20"/>
        </w:rPr>
        <w:t>, eds E.P. Green and T.S. Frederick, United Nations Environment Programme World Conservation Monitoring Centre and University of California Press, Berkeley, California.</w:t>
      </w:r>
    </w:p>
    <w:p w14:paraId="7B0BE32D"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2. Collier, C. and Waycott, M. 2009, </w:t>
      </w:r>
      <w:r w:rsidRPr="00331A31">
        <w:rPr>
          <w:rFonts w:ascii="Arial" w:hAnsi="Arial" w:cs="Arial"/>
          <w:i/>
          <w:iCs/>
          <w:sz w:val="20"/>
          <w:szCs w:val="20"/>
        </w:rPr>
        <w:t>Drivers of change to seagrass distributions and communities on the Great Barrier Reef, literature review and gaps analysis. Report to the Marine and Tropical Sciences Research Facility</w:t>
      </w:r>
      <w:r w:rsidRPr="00331A31">
        <w:rPr>
          <w:rFonts w:ascii="Arial" w:hAnsi="Arial" w:cs="Arial"/>
          <w:sz w:val="20"/>
          <w:szCs w:val="20"/>
        </w:rPr>
        <w:t>, Reef and Rainforest Research Centre, Cairns.</w:t>
      </w:r>
    </w:p>
    <w:p w14:paraId="12172DB0"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3. Waycott, M., McMahon, K., Mellors, J., Calladine, A. and Kleine, D. 2004, </w:t>
      </w:r>
      <w:r w:rsidRPr="00331A31">
        <w:rPr>
          <w:rFonts w:ascii="Arial" w:hAnsi="Arial" w:cs="Arial"/>
          <w:i/>
          <w:iCs/>
          <w:sz w:val="20"/>
          <w:szCs w:val="20"/>
        </w:rPr>
        <w:t xml:space="preserve">A guide to tropical seagrasses of the Indo-West Pacific, </w:t>
      </w:r>
      <w:r w:rsidRPr="00331A31">
        <w:rPr>
          <w:rFonts w:ascii="Arial" w:hAnsi="Arial" w:cs="Arial"/>
          <w:sz w:val="20"/>
          <w:szCs w:val="20"/>
        </w:rPr>
        <w:t>James Cook University, Townsville.</w:t>
      </w:r>
    </w:p>
    <w:p w14:paraId="1E406D04"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4. Waycott, M., Collier, C., McMahon, K., Ralph, P., McKenzie, L.J., Udy, J. and Grech, A. 2007, Vulnerability of seagrasses in the Great Barrier Reef to climate change, in </w:t>
      </w:r>
      <w:r w:rsidRPr="00331A31">
        <w:rPr>
          <w:rFonts w:ascii="Arial" w:hAnsi="Arial" w:cs="Arial"/>
          <w:i/>
          <w:iCs/>
          <w:sz w:val="20"/>
          <w:szCs w:val="20"/>
        </w:rPr>
        <w:t>Climate Change and the Great Barrier Reef: a vulnerability assessment</w:t>
      </w:r>
      <w:r w:rsidRPr="00331A31">
        <w:rPr>
          <w:rFonts w:ascii="Arial" w:hAnsi="Arial" w:cs="Arial"/>
          <w:sz w:val="20"/>
          <w:szCs w:val="20"/>
        </w:rPr>
        <w:t>, eds J.E. Johnson and P.A. Marshall, Great Barrier Reef Marine Park Authority and Australian Greenhouse Office, Townsville, pp. 193-235.</w:t>
      </w:r>
    </w:p>
    <w:p w14:paraId="28A2EF26"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5. Great Barrier Reef Marine Park Authority 2012, </w:t>
      </w:r>
      <w:r w:rsidRPr="00331A31">
        <w:rPr>
          <w:rFonts w:ascii="Arial" w:hAnsi="Arial" w:cs="Arial"/>
          <w:i/>
          <w:iCs/>
          <w:sz w:val="20"/>
          <w:szCs w:val="20"/>
        </w:rPr>
        <w:t>A vulnerability assessment for the Great Barrier Reef: Seagrass</w:t>
      </w:r>
      <w:r w:rsidRPr="00331A31">
        <w:rPr>
          <w:rFonts w:ascii="Arial" w:hAnsi="Arial" w:cs="Arial"/>
          <w:sz w:val="20"/>
          <w:szCs w:val="20"/>
        </w:rPr>
        <w:t>, GBRMPA, Townsville.</w:t>
      </w:r>
    </w:p>
    <w:p w14:paraId="0DBD3D3B"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6. Coles, R., Lee Long, W., McKenzie, L.J., Roelofs, A. and De'ath, G. 2000, Stratification of seagrasses in the Great Barrier Reef World Heritage Area, northeastern Australia, and the implications for management, </w:t>
      </w:r>
      <w:r w:rsidRPr="00331A31">
        <w:rPr>
          <w:rFonts w:ascii="Arial" w:hAnsi="Arial" w:cs="Arial"/>
          <w:i/>
          <w:iCs/>
          <w:sz w:val="20"/>
          <w:szCs w:val="20"/>
        </w:rPr>
        <w:t xml:space="preserve">Biologia Marina Mediterranea </w:t>
      </w:r>
      <w:r w:rsidRPr="00331A31">
        <w:rPr>
          <w:rFonts w:ascii="Arial" w:hAnsi="Arial" w:cs="Arial"/>
          <w:sz w:val="20"/>
          <w:szCs w:val="20"/>
        </w:rPr>
        <w:t>7(2): 345-348.</w:t>
      </w:r>
    </w:p>
    <w:p w14:paraId="2FE2AB4B"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7. Coles, R.G., Lee Long, W.J., McKenzie, L.J., Short, M., Rasheed, M.A. and Vidler, K. 1995, </w:t>
      </w:r>
      <w:r w:rsidRPr="00331A31">
        <w:rPr>
          <w:rFonts w:ascii="Arial" w:hAnsi="Arial" w:cs="Arial"/>
          <w:i/>
          <w:iCs/>
          <w:sz w:val="20"/>
          <w:szCs w:val="20"/>
        </w:rPr>
        <w:t>Distribution of deep-water seagrass habitats between Cape Weymouth and Cape Tribulation, northeastern Queensland</w:t>
      </w:r>
      <w:r w:rsidRPr="00331A31">
        <w:rPr>
          <w:rFonts w:ascii="Arial" w:hAnsi="Arial" w:cs="Arial"/>
          <w:sz w:val="20"/>
          <w:szCs w:val="20"/>
        </w:rPr>
        <w:t>, Dept. of Primary Industries (Queensland), Cairns.</w:t>
      </w:r>
    </w:p>
    <w:p w14:paraId="25D23231"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8. Lee Long, W.I., Coles, R.G. and McKenzie, L.J. 1996, Deepwater seagrasses in northeastern Australia - how deep, how meaningful? in </w:t>
      </w:r>
      <w:r w:rsidRPr="00331A31">
        <w:rPr>
          <w:rFonts w:ascii="Arial" w:hAnsi="Arial" w:cs="Arial"/>
          <w:i/>
          <w:iCs/>
          <w:sz w:val="20"/>
          <w:szCs w:val="20"/>
        </w:rPr>
        <w:t xml:space="preserve">Proceedings of An International Workshop on Seagrass Biology, </w:t>
      </w:r>
      <w:r w:rsidRPr="00331A31">
        <w:rPr>
          <w:rFonts w:ascii="Arial" w:hAnsi="Arial" w:cs="Arial"/>
          <w:sz w:val="20"/>
          <w:szCs w:val="20"/>
        </w:rPr>
        <w:t>eds. J. Kuo, R. C. Phillips, D. I. Walker and H. Kirkman. , University of Western Australia, Perth, pp.41-50.</w:t>
      </w:r>
    </w:p>
    <w:p w14:paraId="0BDC4264"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9. McCormack, C., Chartrand, K., Thomas, R., Tol, S., Szabo, M. and Rasheed, M.A. 2013, </w:t>
      </w:r>
      <w:r w:rsidRPr="00331A31">
        <w:rPr>
          <w:rFonts w:ascii="Arial" w:hAnsi="Arial" w:cs="Arial"/>
          <w:i/>
          <w:iCs/>
          <w:sz w:val="20"/>
          <w:szCs w:val="20"/>
        </w:rPr>
        <w:t>Interim Report. Deepwater Seagrass Dynamics: Light requirements, seasonal change and mechanisms of recruitment for deepwater seagrasses</w:t>
      </w:r>
      <w:r w:rsidRPr="00331A31">
        <w:rPr>
          <w:rFonts w:ascii="Arial" w:hAnsi="Arial" w:cs="Arial"/>
          <w:sz w:val="20"/>
          <w:szCs w:val="20"/>
        </w:rPr>
        <w:t>, James Cook University, Cairns.</w:t>
      </w:r>
    </w:p>
    <w:p w14:paraId="1BEBBFD6"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10. Chartrand, K.M., Bryant, C.V., Sozou, A., Ralph, P.J. and Rasheed, M.A. 2017, </w:t>
      </w:r>
      <w:r w:rsidRPr="00331A31">
        <w:rPr>
          <w:rFonts w:ascii="Arial" w:hAnsi="Arial" w:cs="Arial"/>
          <w:i/>
          <w:iCs/>
          <w:sz w:val="20"/>
          <w:szCs w:val="20"/>
        </w:rPr>
        <w:t>Final Report: Deep-water seagrass dynamics - Light requirements, seasonal change and mechanisms of recruitment</w:t>
      </w:r>
      <w:r w:rsidRPr="00331A31">
        <w:rPr>
          <w:rFonts w:ascii="Arial" w:hAnsi="Arial" w:cs="Arial"/>
          <w:sz w:val="20"/>
          <w:szCs w:val="20"/>
        </w:rPr>
        <w:t>, Centre for Tropical Water &amp; Aquatic Ecosystem Research (TropWATER) Publication, James Cook University Report No 17/16. Cairns, 67 pp.</w:t>
      </w:r>
    </w:p>
    <w:p w14:paraId="3E2B2F7D"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11. Johnson, J.E. and Marshall, P.A. (eds) 2007, </w:t>
      </w:r>
      <w:r w:rsidRPr="00331A31">
        <w:rPr>
          <w:rFonts w:ascii="Arial" w:hAnsi="Arial" w:cs="Arial"/>
          <w:i/>
          <w:iCs/>
          <w:sz w:val="20"/>
          <w:szCs w:val="20"/>
        </w:rPr>
        <w:t>Climate change and the Great Barrier Reef: a vulnerability assessment,</w:t>
      </w:r>
      <w:r w:rsidRPr="00331A31">
        <w:rPr>
          <w:rFonts w:ascii="Arial" w:hAnsi="Arial" w:cs="Arial"/>
          <w:sz w:val="20"/>
          <w:szCs w:val="20"/>
        </w:rPr>
        <w:t xml:space="preserve"> Great Barrier Reef Marine Park Authority and Australian Greenhouse Office, Townsville.</w:t>
      </w:r>
    </w:p>
    <w:p w14:paraId="19C99179"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12. Carter, A.B., McKenna, S.A., Rasheed, M.A., McKenzie, L. and Coles, R. 2016, </w:t>
      </w:r>
      <w:r w:rsidRPr="00331A31">
        <w:rPr>
          <w:rFonts w:ascii="Arial" w:hAnsi="Arial" w:cs="Arial"/>
          <w:i/>
          <w:iCs/>
          <w:sz w:val="20"/>
          <w:szCs w:val="20"/>
        </w:rPr>
        <w:t>Seagrass mapping synthesis: a resource for coastal management in the Great Barrier Reef World Heritage Area: report to the National Science Programme</w:t>
      </w:r>
      <w:r w:rsidRPr="00331A31">
        <w:rPr>
          <w:rFonts w:ascii="Arial" w:hAnsi="Arial" w:cs="Arial"/>
          <w:sz w:val="20"/>
          <w:szCs w:val="20"/>
        </w:rPr>
        <w:t>, Reef and Rainforest Research Centre Limited, Cairns.</w:t>
      </w:r>
    </w:p>
    <w:p w14:paraId="64DE983C"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13. Kilminster, K., McMahon, K., Waycott, M., Kendrick, G.A., Scanes, P., McKenzie, L., O'Brien, K.R., Lyons, M., Ferguson, A., Maxwell, P., Glasby, T. and Udy, J. 2015, Unravelling complexity in seagrass systems for management: Australia as a microcosm, </w:t>
      </w:r>
      <w:r w:rsidRPr="00331A31">
        <w:rPr>
          <w:rFonts w:ascii="Arial" w:hAnsi="Arial" w:cs="Arial"/>
          <w:i/>
          <w:iCs/>
          <w:sz w:val="20"/>
          <w:szCs w:val="20"/>
        </w:rPr>
        <w:t xml:space="preserve">Science of the Total Environment </w:t>
      </w:r>
      <w:r w:rsidRPr="00331A31">
        <w:rPr>
          <w:rFonts w:ascii="Arial" w:hAnsi="Arial" w:cs="Arial"/>
          <w:sz w:val="20"/>
          <w:szCs w:val="20"/>
        </w:rPr>
        <w:t>534: 97-109.</w:t>
      </w:r>
    </w:p>
    <w:p w14:paraId="4A83285D"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14. McKenzie, L.J., Collier, C.J., Langlois, L.A., Yoshida, R.L., Smith, N. and Waycott, M. 2016, </w:t>
      </w:r>
      <w:r w:rsidRPr="00331A31">
        <w:rPr>
          <w:rFonts w:ascii="Arial" w:hAnsi="Arial" w:cs="Arial"/>
          <w:i/>
          <w:iCs/>
          <w:sz w:val="20"/>
          <w:szCs w:val="20"/>
        </w:rPr>
        <w:t>Marine Monitoring Program - Inshore Seagrass, Annual Report for the sampling period 1st June 2014 – 31st May 2015</w:t>
      </w:r>
      <w:r w:rsidRPr="00331A31">
        <w:rPr>
          <w:rFonts w:ascii="Arial" w:hAnsi="Arial" w:cs="Arial"/>
          <w:sz w:val="20"/>
          <w:szCs w:val="20"/>
        </w:rPr>
        <w:t>, TropWATER, James Cook University, Cairns.</w:t>
      </w:r>
    </w:p>
    <w:p w14:paraId="24B04736"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15. Collier, C., Chartrand, K., Honchin, C., Fletcher, A. and Rasheed, M. 2016, </w:t>
      </w:r>
      <w:r w:rsidRPr="00331A31">
        <w:rPr>
          <w:rFonts w:ascii="Arial" w:hAnsi="Arial" w:cs="Arial"/>
          <w:i/>
          <w:iCs/>
          <w:sz w:val="20"/>
          <w:szCs w:val="20"/>
        </w:rPr>
        <w:t>Light thresholds for seagrasses of the GBRWHA: a synthesis and guiding document: including knowledge gaps and future priorities. Report to the National Environmental Science Programme.</w:t>
      </w:r>
      <w:r w:rsidRPr="00331A31">
        <w:rPr>
          <w:rFonts w:ascii="Arial" w:hAnsi="Arial" w:cs="Arial"/>
          <w:sz w:val="20"/>
          <w:szCs w:val="20"/>
        </w:rPr>
        <w:t>, Reef and Rainforest Research Centre Limited, Cairns.</w:t>
      </w:r>
    </w:p>
    <w:p w14:paraId="19A8AAC7" w14:textId="5C1D83BA"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16. International Union for Conservation of Nature 2017,</w:t>
      </w:r>
      <w:r w:rsidRPr="00331A31">
        <w:rPr>
          <w:rFonts w:ascii="Arial" w:hAnsi="Arial" w:cs="Arial"/>
          <w:i/>
          <w:iCs/>
          <w:sz w:val="20"/>
          <w:szCs w:val="20"/>
        </w:rPr>
        <w:t xml:space="preserve"> Issues brief: Blue Carbon, </w:t>
      </w:r>
      <w:r w:rsidRPr="00331A31">
        <w:rPr>
          <w:rFonts w:ascii="Arial" w:hAnsi="Arial" w:cs="Arial"/>
          <w:sz w:val="20"/>
          <w:szCs w:val="20"/>
        </w:rPr>
        <w:t xml:space="preserve">IUCN, viewed 13 December 2017, &lt; </w:t>
      </w:r>
      <w:hyperlink r:id="rId88" w:tgtFrame="_blank" w:tooltip="Issues brief on blue carbon" w:history="1">
        <w:r w:rsidRPr="00331A31">
          <w:rPr>
            <w:rStyle w:val="Hyperlink"/>
            <w:rFonts w:ascii="Arial" w:hAnsi="Arial" w:cs="Arial"/>
            <w:sz w:val="20"/>
            <w:szCs w:val="20"/>
          </w:rPr>
          <w:t>https://www.iucn.org/resources/issues-briefs/blue-carbon</w:t>
        </w:r>
      </w:hyperlink>
      <w:r w:rsidRPr="00331A31">
        <w:rPr>
          <w:rFonts w:ascii="Arial" w:hAnsi="Arial" w:cs="Arial"/>
          <w:sz w:val="20"/>
          <w:szCs w:val="20"/>
        </w:rPr>
        <w:t>&gt;.</w:t>
      </w:r>
    </w:p>
    <w:p w14:paraId="76AC44B2"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lastRenderedPageBreak/>
        <w:t xml:space="preserve">17. Lavery, P.S., Mateo, M., Serrano, O. and Rozaimi, M. 2013, Variability in the Carbon Storage of Seagrass Habitats and Its Implications for Global Estimates of Blue Carbon Ecosystem Service. </w:t>
      </w:r>
      <w:r w:rsidRPr="00331A31">
        <w:rPr>
          <w:rFonts w:ascii="Arial" w:hAnsi="Arial" w:cs="Arial"/>
          <w:i/>
          <w:iCs/>
          <w:sz w:val="20"/>
          <w:szCs w:val="20"/>
        </w:rPr>
        <w:t xml:space="preserve">PLoS ONE </w:t>
      </w:r>
      <w:r w:rsidRPr="00331A31">
        <w:rPr>
          <w:rFonts w:ascii="Arial" w:hAnsi="Arial" w:cs="Arial"/>
          <w:sz w:val="20"/>
          <w:szCs w:val="20"/>
        </w:rPr>
        <w:t>8(9): e73748.</w:t>
      </w:r>
    </w:p>
    <w:p w14:paraId="49D4478A"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18. Lavery, P. 6 September, 2013,</w:t>
      </w:r>
      <w:r w:rsidRPr="00331A31">
        <w:rPr>
          <w:rFonts w:ascii="Arial" w:hAnsi="Arial" w:cs="Arial"/>
          <w:i/>
          <w:iCs/>
          <w:sz w:val="20"/>
          <w:szCs w:val="20"/>
        </w:rPr>
        <w:t xml:space="preserve"> Seagrass is a huge carbon store, but will government value it? </w:t>
      </w:r>
      <w:r w:rsidRPr="00331A31">
        <w:rPr>
          <w:rFonts w:ascii="Arial" w:hAnsi="Arial" w:cs="Arial"/>
          <w:sz w:val="20"/>
          <w:szCs w:val="20"/>
        </w:rPr>
        <w:t xml:space="preserve">The Conversation, viewed 12 December 2017, &lt; </w:t>
      </w:r>
      <w:hyperlink r:id="rId89" w:tgtFrame="_blank" w:history="1">
        <w:r w:rsidRPr="00331A31">
          <w:rPr>
            <w:rStyle w:val="Hyperlink"/>
            <w:rFonts w:ascii="Arial" w:hAnsi="Arial" w:cs="Arial"/>
            <w:sz w:val="20"/>
            <w:szCs w:val="20"/>
          </w:rPr>
          <w:t>http://theconversation.com/seagrass-is-a-huge-carbon-store-but-will-government-value-it-17878?utm_medium=email&amp;utm_campaign=Latest+from+The+Conversation+for+6+September+2013&amp;utm_content=Latest+from+The+Conversation+for+6+September+2013+CID_0b9a89f55969c9435c955efdb5e9d379&amp;utm_source=campaign_monitor&amp;utm_term=Seagrass%20is%20a%20huge%20carbon%20store%20but%20will%20government%20value%20it</w:t>
        </w:r>
      </w:hyperlink>
      <w:r w:rsidRPr="00331A31">
        <w:rPr>
          <w:rFonts w:ascii="Arial" w:hAnsi="Arial" w:cs="Arial"/>
          <w:sz w:val="20"/>
          <w:szCs w:val="20"/>
        </w:rPr>
        <w:t>&gt;.</w:t>
      </w:r>
    </w:p>
    <w:p w14:paraId="6FC9621B"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19. Collier, C., Langlois, L., Zemoi, R., Martin, K. and McKenzie, L. 2016, </w:t>
      </w:r>
      <w:r w:rsidRPr="00331A31">
        <w:rPr>
          <w:rFonts w:ascii="Arial" w:hAnsi="Arial" w:cs="Arial"/>
          <w:i/>
          <w:iCs/>
          <w:sz w:val="20"/>
          <w:szCs w:val="20"/>
        </w:rPr>
        <w:t>Developing and refining biological indicators for condition assessments in an integrated monitoring program. Report to the National Environmental Science Programme.</w:t>
      </w:r>
      <w:r w:rsidRPr="00331A31">
        <w:rPr>
          <w:rFonts w:ascii="Arial" w:hAnsi="Arial" w:cs="Arial"/>
          <w:sz w:val="20"/>
          <w:szCs w:val="20"/>
        </w:rPr>
        <w:t>, Reef and Rainforest Research Centre Limited, Cairns.</w:t>
      </w:r>
    </w:p>
    <w:p w14:paraId="1BC59202"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20. McCook, L., Schaffelke, B., Apte, S., Brinkman, R., Brodie, J., Erftemeijer, P., Eyre, B., Hoogerwerf, F., Irvine, I., Jones, R., King, B., Marsh, H., Masini, R., Morton, R., Pitcher, R., Rasheed, M., Sheaves, M., Symonds, A. and Warne, M.S. 2015, </w:t>
      </w:r>
      <w:r w:rsidRPr="00331A31">
        <w:rPr>
          <w:rFonts w:ascii="Arial" w:hAnsi="Arial" w:cs="Arial"/>
          <w:i/>
          <w:iCs/>
          <w:sz w:val="20"/>
          <w:szCs w:val="20"/>
        </w:rPr>
        <w:t>Synthesis of current knowledge of the biophysical impacts of dredging and disposal on the Great Barrier Reef: report of an independent panel of experts</w:t>
      </w:r>
      <w:r w:rsidRPr="00331A31">
        <w:rPr>
          <w:rFonts w:ascii="Arial" w:hAnsi="Arial" w:cs="Arial"/>
          <w:sz w:val="20"/>
          <w:szCs w:val="20"/>
        </w:rPr>
        <w:t>, Great Barrier Reef Marine Park Authority, Townsville.</w:t>
      </w:r>
    </w:p>
    <w:p w14:paraId="057F154C"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21. Rasheed, M.A., McKenna, S.A., Carter, A.B. and Coles, R.G. 2014, Contrasting recovery of shallow and deep water seagrass communities following climate associated losses in tropical north Queensland, Australia, </w:t>
      </w:r>
      <w:r w:rsidRPr="00331A31">
        <w:rPr>
          <w:rFonts w:ascii="Arial" w:hAnsi="Arial" w:cs="Arial"/>
          <w:i/>
          <w:iCs/>
          <w:sz w:val="20"/>
          <w:szCs w:val="20"/>
        </w:rPr>
        <w:t xml:space="preserve">Marine Pollution Bulletin </w:t>
      </w:r>
      <w:r w:rsidRPr="00331A31">
        <w:rPr>
          <w:rFonts w:ascii="Arial" w:hAnsi="Arial" w:cs="Arial"/>
          <w:sz w:val="20"/>
          <w:szCs w:val="20"/>
        </w:rPr>
        <w:t>83: 491-499.</w:t>
      </w:r>
    </w:p>
    <w:p w14:paraId="7760AB6B"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22. Chartrand, K.M., Bryant, C.V., Carter, A.B., Ralph, P.J. and Rasheed, M.A. 2016, Light Thresholds to Prevent Dredging Impacts on the Great Barrier Reef Seagrass,</w:t>
      </w:r>
      <w:r w:rsidRPr="00331A31">
        <w:rPr>
          <w:rFonts w:ascii="Arial" w:hAnsi="Arial" w:cs="Arial"/>
          <w:i/>
          <w:iCs/>
          <w:sz w:val="20"/>
          <w:szCs w:val="20"/>
        </w:rPr>
        <w:t xml:space="preserve"> Zostera muelleri</w:t>
      </w:r>
      <w:r w:rsidRPr="00331A31">
        <w:rPr>
          <w:rFonts w:ascii="Arial" w:hAnsi="Arial" w:cs="Arial"/>
          <w:sz w:val="20"/>
          <w:szCs w:val="20"/>
        </w:rPr>
        <w:t xml:space="preserve"> ssp. </w:t>
      </w:r>
      <w:r w:rsidRPr="00331A31">
        <w:rPr>
          <w:rFonts w:ascii="Arial" w:hAnsi="Arial" w:cs="Arial"/>
          <w:i/>
          <w:iCs/>
          <w:sz w:val="20"/>
          <w:szCs w:val="20"/>
        </w:rPr>
        <w:t>capricorni </w:t>
      </w:r>
      <w:r w:rsidRPr="00331A31">
        <w:rPr>
          <w:rFonts w:ascii="Arial" w:hAnsi="Arial" w:cs="Arial"/>
          <w:sz w:val="20"/>
          <w:szCs w:val="20"/>
        </w:rPr>
        <w:t xml:space="preserve">, </w:t>
      </w:r>
      <w:r w:rsidRPr="00331A31">
        <w:rPr>
          <w:rFonts w:ascii="Arial" w:hAnsi="Arial" w:cs="Arial"/>
          <w:i/>
          <w:iCs/>
          <w:sz w:val="20"/>
          <w:szCs w:val="20"/>
        </w:rPr>
        <w:t xml:space="preserve">Frontiers in Marine Science </w:t>
      </w:r>
      <w:r w:rsidRPr="00331A31">
        <w:rPr>
          <w:rFonts w:ascii="Arial" w:hAnsi="Arial" w:cs="Arial"/>
          <w:sz w:val="20"/>
          <w:szCs w:val="20"/>
        </w:rPr>
        <w:t>3: 106.</w:t>
      </w:r>
    </w:p>
    <w:p w14:paraId="529D2B85"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23. Chartrand, K.M., Ralph, P.J., Petrou, K. and Rasheed, M.A. 2012, </w:t>
      </w:r>
      <w:r w:rsidRPr="00331A31">
        <w:rPr>
          <w:rFonts w:ascii="Arial" w:hAnsi="Arial" w:cs="Arial"/>
          <w:i/>
          <w:iCs/>
          <w:sz w:val="20"/>
          <w:szCs w:val="20"/>
        </w:rPr>
        <w:t>Development of a light-based seagrass management approach for the Gladstone Western Basin dredging program</w:t>
      </w:r>
      <w:r w:rsidRPr="00331A31">
        <w:rPr>
          <w:rFonts w:ascii="Arial" w:hAnsi="Arial" w:cs="Arial"/>
          <w:sz w:val="20"/>
          <w:szCs w:val="20"/>
        </w:rPr>
        <w:t>, Department of Agriculture, Fisheries and Forestry (DAFF), Cairns.</w:t>
      </w:r>
    </w:p>
    <w:p w14:paraId="729B6CB3" w14:textId="7E0C1D40"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24. Department of Environment and Heritage Protection 8 September, 2016,</w:t>
      </w:r>
      <w:r w:rsidRPr="00331A31">
        <w:rPr>
          <w:rFonts w:ascii="Arial" w:hAnsi="Arial" w:cs="Arial"/>
          <w:i/>
          <w:iCs/>
          <w:sz w:val="20"/>
          <w:szCs w:val="20"/>
        </w:rPr>
        <w:t xml:space="preserve"> Seagrass, </w:t>
      </w:r>
      <w:r w:rsidRPr="00331A31">
        <w:rPr>
          <w:rFonts w:ascii="Arial" w:hAnsi="Arial" w:cs="Arial"/>
          <w:sz w:val="20"/>
          <w:szCs w:val="20"/>
        </w:rPr>
        <w:t xml:space="preserve">Queensland Government, viewed 25 January 2017, &lt; </w:t>
      </w:r>
      <w:hyperlink r:id="rId90" w:tgtFrame="_blank" w:tooltip="link to 'seagrass' publication" w:history="1">
        <w:r w:rsidRPr="00331A31">
          <w:rPr>
            <w:rStyle w:val="Hyperlink"/>
            <w:rFonts w:ascii="Arial" w:hAnsi="Arial" w:cs="Arial"/>
            <w:sz w:val="20"/>
            <w:szCs w:val="20"/>
          </w:rPr>
          <w:t>https://www.ehp.qld.gov.au/coastal/ecology/marine-habitats/seagrass.html</w:t>
        </w:r>
      </w:hyperlink>
      <w:r w:rsidRPr="00331A31">
        <w:rPr>
          <w:rFonts w:ascii="Arial" w:hAnsi="Arial" w:cs="Arial"/>
          <w:sz w:val="20"/>
          <w:szCs w:val="20"/>
        </w:rPr>
        <w:t>&gt;.</w:t>
      </w:r>
    </w:p>
    <w:p w14:paraId="4FA5F1A2"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25. Ralph, P.J., Tomasko, D., Moore, K., Seddon, S. and Macinnis-Ng, C.M. 2006, Human impacts on seagrasses: Eutrophication, sedimentation and contamination, in </w:t>
      </w:r>
      <w:r w:rsidRPr="00331A31">
        <w:rPr>
          <w:rFonts w:ascii="Arial" w:hAnsi="Arial" w:cs="Arial"/>
          <w:i/>
          <w:iCs/>
          <w:sz w:val="20"/>
          <w:szCs w:val="20"/>
        </w:rPr>
        <w:t>Seagrasses: Biology and Ecology and Conservation</w:t>
      </w:r>
      <w:r w:rsidRPr="00331A31">
        <w:rPr>
          <w:rFonts w:ascii="Arial" w:hAnsi="Arial" w:cs="Arial"/>
          <w:sz w:val="20"/>
          <w:szCs w:val="20"/>
        </w:rPr>
        <w:t>, eds A. Larkum, R.J. Orth and C. Duarte, Springer, Dordrecht, pp. 567-593.</w:t>
      </w:r>
    </w:p>
    <w:p w14:paraId="2C33AF31"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26. Burkholder, J.M., Tomasko, D.A. and Touchette, B.W. 2007, Seagrasses and eutrophication, </w:t>
      </w:r>
      <w:r w:rsidRPr="00331A31">
        <w:rPr>
          <w:rFonts w:ascii="Arial" w:hAnsi="Arial" w:cs="Arial"/>
          <w:i/>
          <w:iCs/>
          <w:sz w:val="20"/>
          <w:szCs w:val="20"/>
        </w:rPr>
        <w:t xml:space="preserve">Journal of experimental marine biology and ecology </w:t>
      </w:r>
      <w:r w:rsidRPr="00331A31">
        <w:rPr>
          <w:rFonts w:ascii="Arial" w:hAnsi="Arial" w:cs="Arial"/>
          <w:sz w:val="20"/>
          <w:szCs w:val="20"/>
        </w:rPr>
        <w:t>350(1–2): 46-72.</w:t>
      </w:r>
    </w:p>
    <w:p w14:paraId="55D4AE63"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27. Collier, C.J., Villacorta-Rath, C., van Dijk, K., Takahashi, M. and Waycott, M. 2014, Seagrass proliferation precedes mortality during hypo-salinity events: a stress-induced morphometric response, </w:t>
      </w:r>
      <w:r w:rsidRPr="00331A31">
        <w:rPr>
          <w:rFonts w:ascii="Arial" w:hAnsi="Arial" w:cs="Arial"/>
          <w:i/>
          <w:iCs/>
          <w:sz w:val="20"/>
          <w:szCs w:val="20"/>
        </w:rPr>
        <w:t xml:space="preserve">PLoS ONE </w:t>
      </w:r>
      <w:r w:rsidRPr="00331A31">
        <w:rPr>
          <w:rFonts w:ascii="Arial" w:hAnsi="Arial" w:cs="Arial"/>
          <w:sz w:val="20"/>
          <w:szCs w:val="20"/>
        </w:rPr>
        <w:t>9(4): 1-11.</w:t>
      </w:r>
    </w:p>
    <w:p w14:paraId="5B32DFA9"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28. Koch, M.S., Schopmeyer, S.A., Kyhn-Hansen, C., Madden, C.J. and Peters, J.S. 2007, Tropical seagrass species tolerance to hypersalinity stress, </w:t>
      </w:r>
      <w:r w:rsidRPr="00331A31">
        <w:rPr>
          <w:rFonts w:ascii="Arial" w:hAnsi="Arial" w:cs="Arial"/>
          <w:i/>
          <w:iCs/>
          <w:sz w:val="20"/>
          <w:szCs w:val="20"/>
        </w:rPr>
        <w:t xml:space="preserve">Aquatic Botany </w:t>
      </w:r>
      <w:r w:rsidRPr="00331A31">
        <w:rPr>
          <w:rFonts w:ascii="Arial" w:hAnsi="Arial" w:cs="Arial"/>
          <w:sz w:val="20"/>
          <w:szCs w:val="20"/>
        </w:rPr>
        <w:t>87(1): 14-24.</w:t>
      </w:r>
    </w:p>
    <w:p w14:paraId="49BB2C1D"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29. Vos, J.G., Bossart, G.D., Fournier, M. and O'Shea, T.J. 2003, </w:t>
      </w:r>
      <w:r w:rsidRPr="00331A31">
        <w:rPr>
          <w:rFonts w:ascii="Arial" w:hAnsi="Arial" w:cs="Arial"/>
          <w:i/>
          <w:iCs/>
          <w:sz w:val="20"/>
          <w:szCs w:val="20"/>
        </w:rPr>
        <w:t xml:space="preserve">New Perspectives: Toxicology and the Environment. Toxicology of Marine Mammals. Vol. 3 Systems, </w:t>
      </w:r>
      <w:r w:rsidRPr="00331A31">
        <w:rPr>
          <w:rFonts w:ascii="Arial" w:hAnsi="Arial" w:cs="Arial"/>
          <w:sz w:val="20"/>
          <w:szCs w:val="20"/>
        </w:rPr>
        <w:t>Taylor and Francis, New York.</w:t>
      </w:r>
    </w:p>
    <w:p w14:paraId="2C982695"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30. Haynes, D., Carter, S., Gaus, C., Muller, J. and Dennison, W. 2005, Organochlorine and heavy metal concentrations in blubber and liver tissue collected from Queensland (Australia) dugong (</w:t>
      </w:r>
      <w:r w:rsidRPr="00331A31">
        <w:rPr>
          <w:rFonts w:ascii="Arial" w:hAnsi="Arial" w:cs="Arial"/>
          <w:i/>
          <w:iCs/>
          <w:sz w:val="20"/>
          <w:szCs w:val="20"/>
        </w:rPr>
        <w:t>Dugong dugon</w:t>
      </w:r>
      <w:r w:rsidRPr="00331A31">
        <w:rPr>
          <w:rFonts w:ascii="Arial" w:hAnsi="Arial" w:cs="Arial"/>
          <w:sz w:val="20"/>
          <w:szCs w:val="20"/>
        </w:rPr>
        <w:t xml:space="preserve">), </w:t>
      </w:r>
      <w:r w:rsidRPr="00331A31">
        <w:rPr>
          <w:rFonts w:ascii="Arial" w:hAnsi="Arial" w:cs="Arial"/>
          <w:i/>
          <w:iCs/>
          <w:sz w:val="20"/>
          <w:szCs w:val="20"/>
        </w:rPr>
        <w:t xml:space="preserve">Marine Pollution Bulletin </w:t>
      </w:r>
      <w:r w:rsidRPr="00331A31">
        <w:rPr>
          <w:rFonts w:ascii="Arial" w:hAnsi="Arial" w:cs="Arial"/>
          <w:sz w:val="20"/>
          <w:szCs w:val="20"/>
        </w:rPr>
        <w:t>51(1-4): 361-369.</w:t>
      </w:r>
    </w:p>
    <w:p w14:paraId="640CF7FF"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31. Haynes, D. 2001, </w:t>
      </w:r>
      <w:r w:rsidRPr="00331A31">
        <w:rPr>
          <w:rFonts w:ascii="Arial" w:hAnsi="Arial" w:cs="Arial"/>
          <w:i/>
          <w:iCs/>
          <w:sz w:val="20"/>
          <w:szCs w:val="20"/>
        </w:rPr>
        <w:t xml:space="preserve">Pesticide and heavy metal concentrations in Great Barrier Reef sediment, seagrass and dugongs (Dugong dugon), </w:t>
      </w:r>
      <w:r w:rsidRPr="00331A31">
        <w:rPr>
          <w:rFonts w:ascii="Arial" w:hAnsi="Arial" w:cs="Arial"/>
          <w:sz w:val="20"/>
          <w:szCs w:val="20"/>
        </w:rPr>
        <w:t>PhD,University of Queensland, St. Lucia,Brisbane.</w:t>
      </w:r>
    </w:p>
    <w:p w14:paraId="6092D19E"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32. Hirst, A.J., McGain, S. and Jenkins, G.P. 2010, The impact of burial on the survival and recovery of the subtidal seagrass </w:t>
      </w:r>
      <w:r w:rsidRPr="00331A31">
        <w:rPr>
          <w:rFonts w:ascii="Arial" w:hAnsi="Arial" w:cs="Arial"/>
          <w:i/>
          <w:iCs/>
          <w:sz w:val="20"/>
          <w:szCs w:val="20"/>
        </w:rPr>
        <w:t>Zostera nigricaulis</w:t>
      </w:r>
      <w:r w:rsidRPr="00331A31">
        <w:rPr>
          <w:rFonts w:ascii="Arial" w:hAnsi="Arial" w:cs="Arial"/>
          <w:sz w:val="20"/>
          <w:szCs w:val="20"/>
        </w:rPr>
        <w:t xml:space="preserve">, </w:t>
      </w:r>
      <w:r w:rsidRPr="00331A31">
        <w:rPr>
          <w:rFonts w:ascii="Arial" w:hAnsi="Arial" w:cs="Arial"/>
          <w:i/>
          <w:iCs/>
          <w:sz w:val="20"/>
          <w:szCs w:val="20"/>
        </w:rPr>
        <w:t xml:space="preserve">Aquatic Botany </w:t>
      </w:r>
      <w:r w:rsidRPr="00331A31">
        <w:rPr>
          <w:rFonts w:ascii="Arial" w:hAnsi="Arial" w:cs="Arial"/>
          <w:sz w:val="20"/>
          <w:szCs w:val="20"/>
        </w:rPr>
        <w:t>142: 10-15.</w:t>
      </w:r>
    </w:p>
    <w:p w14:paraId="7B808E62" w14:textId="77777777" w:rsidR="00EE558C" w:rsidRPr="00331A31" w:rsidRDefault="00EE558C" w:rsidP="00331A31">
      <w:pPr>
        <w:pStyle w:val="NormalWeb"/>
        <w:spacing w:before="120" w:after="0" w:line="240" w:lineRule="auto"/>
        <w:ind w:left="567" w:right="238" w:hanging="567"/>
        <w:rPr>
          <w:rFonts w:ascii="Arial" w:hAnsi="Arial" w:cs="Arial"/>
          <w:sz w:val="20"/>
          <w:szCs w:val="20"/>
        </w:rPr>
      </w:pPr>
      <w:r w:rsidRPr="00331A31">
        <w:rPr>
          <w:rFonts w:ascii="Arial" w:hAnsi="Arial" w:cs="Arial"/>
          <w:sz w:val="20"/>
          <w:szCs w:val="20"/>
        </w:rPr>
        <w:t xml:space="preserve">33. Costanza, R., D'Arge, R., de Groot, R., Farber, S., Grasso, M., Hannon, B., Limburg, K., Naeem, S., O'Neil, R.V., Paruelo, J., Raskin, R.G., Sutton, P. and van den Belt, M. 1997, The value of the world's ecosystem services and natural capital, </w:t>
      </w:r>
      <w:r w:rsidRPr="00331A31">
        <w:rPr>
          <w:rFonts w:ascii="Arial" w:hAnsi="Arial" w:cs="Arial"/>
          <w:i/>
          <w:iCs/>
          <w:sz w:val="20"/>
          <w:szCs w:val="20"/>
        </w:rPr>
        <w:t xml:space="preserve">Nature </w:t>
      </w:r>
      <w:r w:rsidRPr="00331A31">
        <w:rPr>
          <w:rFonts w:ascii="Arial" w:hAnsi="Arial" w:cs="Arial"/>
          <w:sz w:val="20"/>
          <w:szCs w:val="20"/>
        </w:rPr>
        <w:t>387: 253-260.</w:t>
      </w:r>
    </w:p>
    <w:p w14:paraId="6B34C9AA" w14:textId="7B2FFDD5" w:rsidR="00A44480" w:rsidRDefault="001830AC" w:rsidP="00226556">
      <w:pPr>
        <w:pStyle w:val="Level1Heading"/>
      </w:pPr>
      <w:r>
        <w:rPr>
          <w:rFonts w:cs="Arial"/>
          <w:szCs w:val="20"/>
          <w:highlight w:val="lightGray"/>
        </w:rPr>
        <w:lastRenderedPageBreak/>
        <w:fldChar w:fldCharType="end"/>
      </w:r>
      <w:bookmarkEnd w:id="6"/>
      <w:r w:rsidR="00380B59" w:rsidRPr="008D6410">
        <w:t>Further i</w:t>
      </w:r>
      <w:r w:rsidR="008F5338">
        <w:t xml:space="preserve">nformation </w:t>
      </w:r>
    </w:p>
    <w:p w14:paraId="3F806161" w14:textId="39AD681A" w:rsidR="00226556" w:rsidRPr="00226556" w:rsidRDefault="00226556" w:rsidP="00226556">
      <w:pPr>
        <w:spacing w:after="160"/>
        <w:ind w:left="567" w:hanging="567"/>
        <w:rPr>
          <w:rFonts w:ascii="Arial" w:eastAsiaTheme="minorHAnsi" w:hAnsi="Arial" w:cs="Arial"/>
          <w:sz w:val="20"/>
          <w:szCs w:val="21"/>
          <w:lang w:eastAsia="en-US"/>
        </w:rPr>
      </w:pPr>
      <w:r w:rsidRPr="00226556">
        <w:rPr>
          <w:rFonts w:ascii="Arial" w:eastAsiaTheme="minorHAnsi" w:hAnsi="Arial" w:cs="Arial"/>
          <w:sz w:val="20"/>
          <w:szCs w:val="21"/>
          <w:lang w:eastAsia="en-US"/>
        </w:rPr>
        <w:t>Director – Environmental Assessment and Protection</w:t>
      </w:r>
    </w:p>
    <w:p w14:paraId="3B249883" w14:textId="77777777" w:rsidR="00226556" w:rsidRPr="00226556" w:rsidRDefault="00226556" w:rsidP="00226556">
      <w:pPr>
        <w:ind w:left="567" w:hanging="567"/>
        <w:rPr>
          <w:rFonts w:ascii="Arial" w:hAnsi="Arial" w:cs="Arial"/>
          <w:b/>
          <w:sz w:val="20"/>
          <w:szCs w:val="21"/>
        </w:rPr>
      </w:pPr>
      <w:r w:rsidRPr="00226556">
        <w:rPr>
          <w:rFonts w:ascii="Arial" w:hAnsi="Arial" w:cs="Arial"/>
          <w:b/>
          <w:sz w:val="20"/>
          <w:szCs w:val="21"/>
        </w:rPr>
        <w:t>Great Barrier Reef Marine Park Authority</w:t>
      </w:r>
    </w:p>
    <w:p w14:paraId="05FB9E01" w14:textId="77777777" w:rsidR="00226556" w:rsidRPr="00226556" w:rsidRDefault="00226556" w:rsidP="00226556">
      <w:pPr>
        <w:ind w:left="567" w:hanging="567"/>
        <w:rPr>
          <w:rFonts w:ascii="Arial" w:hAnsi="Arial" w:cs="Arial"/>
          <w:sz w:val="20"/>
          <w:szCs w:val="21"/>
        </w:rPr>
      </w:pPr>
      <w:r w:rsidRPr="00226556">
        <w:rPr>
          <w:rFonts w:ascii="Arial" w:hAnsi="Arial" w:cs="Arial"/>
          <w:sz w:val="20"/>
          <w:szCs w:val="21"/>
        </w:rPr>
        <w:t>2 – 68 Flinders Street</w:t>
      </w:r>
    </w:p>
    <w:p w14:paraId="20E9399F" w14:textId="77777777" w:rsidR="00226556" w:rsidRPr="00226556" w:rsidRDefault="00226556" w:rsidP="00226556">
      <w:pPr>
        <w:ind w:left="567" w:hanging="567"/>
        <w:rPr>
          <w:rFonts w:ascii="Arial" w:hAnsi="Arial" w:cs="Arial"/>
          <w:sz w:val="20"/>
          <w:szCs w:val="21"/>
        </w:rPr>
      </w:pPr>
      <w:r w:rsidRPr="00226556">
        <w:rPr>
          <w:rFonts w:ascii="Arial" w:hAnsi="Arial" w:cs="Arial"/>
          <w:sz w:val="20"/>
          <w:szCs w:val="21"/>
        </w:rPr>
        <w:t>PO Box 1379</w:t>
      </w:r>
    </w:p>
    <w:p w14:paraId="2E545783" w14:textId="77777777" w:rsidR="00226556" w:rsidRPr="00226556" w:rsidRDefault="00226556" w:rsidP="00226556">
      <w:pPr>
        <w:ind w:left="567" w:hanging="567"/>
        <w:rPr>
          <w:rFonts w:ascii="Arial" w:hAnsi="Arial" w:cs="Arial"/>
          <w:sz w:val="20"/>
          <w:szCs w:val="21"/>
        </w:rPr>
      </w:pPr>
      <w:r w:rsidRPr="00226556">
        <w:rPr>
          <w:rFonts w:ascii="Arial" w:hAnsi="Arial" w:cs="Arial"/>
          <w:sz w:val="20"/>
          <w:szCs w:val="21"/>
        </w:rPr>
        <w:t>Townsville Qld 4810</w:t>
      </w:r>
    </w:p>
    <w:p w14:paraId="74AE12C1" w14:textId="77777777" w:rsidR="00226556" w:rsidRPr="00226556" w:rsidRDefault="00226556" w:rsidP="00226556">
      <w:pPr>
        <w:ind w:left="567" w:hanging="567"/>
        <w:rPr>
          <w:rFonts w:ascii="Arial" w:hAnsi="Arial" w:cs="Arial"/>
          <w:sz w:val="20"/>
          <w:szCs w:val="21"/>
        </w:rPr>
      </w:pPr>
      <w:r w:rsidRPr="00226556">
        <w:rPr>
          <w:rFonts w:ascii="Arial" w:hAnsi="Arial" w:cs="Arial"/>
          <w:sz w:val="20"/>
          <w:szCs w:val="21"/>
        </w:rPr>
        <w:t>Australia</w:t>
      </w:r>
    </w:p>
    <w:p w14:paraId="551271F8" w14:textId="77777777" w:rsidR="00226556" w:rsidRPr="00226556" w:rsidRDefault="00226556" w:rsidP="00226556">
      <w:pPr>
        <w:ind w:left="567" w:hanging="567"/>
        <w:rPr>
          <w:rFonts w:ascii="Arial" w:hAnsi="Arial" w:cs="Arial"/>
          <w:sz w:val="20"/>
          <w:szCs w:val="21"/>
        </w:rPr>
      </w:pPr>
    </w:p>
    <w:p w14:paraId="3FAB1AAC" w14:textId="77777777" w:rsidR="00226556" w:rsidRPr="00226556" w:rsidRDefault="00226556" w:rsidP="00226556">
      <w:pPr>
        <w:tabs>
          <w:tab w:val="left" w:pos="851"/>
        </w:tabs>
        <w:ind w:left="567" w:hanging="567"/>
        <w:rPr>
          <w:rFonts w:ascii="Arial" w:hAnsi="Arial" w:cs="Arial"/>
          <w:sz w:val="20"/>
          <w:szCs w:val="21"/>
        </w:rPr>
      </w:pPr>
      <w:r w:rsidRPr="00226556">
        <w:rPr>
          <w:rFonts w:ascii="Arial" w:hAnsi="Arial" w:cs="Arial"/>
          <w:sz w:val="20"/>
          <w:szCs w:val="21"/>
        </w:rPr>
        <w:t xml:space="preserve">Phone: </w:t>
      </w:r>
      <w:r w:rsidRPr="00226556">
        <w:rPr>
          <w:rFonts w:ascii="Arial" w:hAnsi="Arial" w:cs="Arial"/>
          <w:sz w:val="20"/>
          <w:szCs w:val="21"/>
        </w:rPr>
        <w:tab/>
        <w:t>+ 61 7 4750 0700</w:t>
      </w:r>
    </w:p>
    <w:p w14:paraId="222B21B0" w14:textId="77777777" w:rsidR="00226556" w:rsidRPr="00226556" w:rsidRDefault="00226556" w:rsidP="00226556">
      <w:pPr>
        <w:tabs>
          <w:tab w:val="left" w:pos="851"/>
        </w:tabs>
        <w:ind w:left="567" w:hanging="567"/>
        <w:rPr>
          <w:rFonts w:ascii="Arial" w:hAnsi="Arial" w:cs="Arial"/>
          <w:sz w:val="20"/>
          <w:szCs w:val="21"/>
        </w:rPr>
      </w:pPr>
      <w:r w:rsidRPr="00226556">
        <w:rPr>
          <w:rFonts w:ascii="Arial" w:hAnsi="Arial" w:cs="Arial"/>
          <w:sz w:val="20"/>
          <w:szCs w:val="21"/>
        </w:rPr>
        <w:t xml:space="preserve">Fax: </w:t>
      </w:r>
      <w:r w:rsidRPr="00226556">
        <w:rPr>
          <w:rFonts w:ascii="Arial" w:hAnsi="Arial" w:cs="Arial"/>
          <w:sz w:val="20"/>
          <w:szCs w:val="21"/>
        </w:rPr>
        <w:tab/>
      </w:r>
      <w:r w:rsidRPr="00226556">
        <w:rPr>
          <w:rFonts w:ascii="Arial" w:hAnsi="Arial" w:cs="Arial"/>
          <w:sz w:val="20"/>
          <w:szCs w:val="21"/>
        </w:rPr>
        <w:tab/>
        <w:t>+ 61 7 4722 6093</w:t>
      </w:r>
    </w:p>
    <w:p w14:paraId="6BB8114F" w14:textId="77777777" w:rsidR="00226556" w:rsidRPr="00226556" w:rsidRDefault="00226556" w:rsidP="00226556">
      <w:pPr>
        <w:tabs>
          <w:tab w:val="left" w:pos="851"/>
        </w:tabs>
        <w:ind w:left="567" w:hanging="567"/>
        <w:rPr>
          <w:rFonts w:ascii="Arial" w:hAnsi="Arial" w:cs="Arial"/>
          <w:sz w:val="20"/>
          <w:szCs w:val="21"/>
        </w:rPr>
      </w:pPr>
      <w:r w:rsidRPr="00226556">
        <w:rPr>
          <w:rFonts w:ascii="Arial" w:hAnsi="Arial" w:cs="Arial"/>
          <w:sz w:val="20"/>
          <w:szCs w:val="21"/>
        </w:rPr>
        <w:t xml:space="preserve">Email: </w:t>
      </w:r>
      <w:r w:rsidRPr="00226556">
        <w:rPr>
          <w:rFonts w:ascii="Arial" w:hAnsi="Arial" w:cs="Arial"/>
          <w:sz w:val="20"/>
          <w:szCs w:val="21"/>
        </w:rPr>
        <w:tab/>
      </w:r>
      <w:hyperlink r:id="rId91" w:history="1">
        <w:r w:rsidRPr="00226556">
          <w:rPr>
            <w:rStyle w:val="Hyperlink"/>
            <w:rFonts w:ascii="Arial" w:hAnsi="Arial" w:cs="Arial"/>
            <w:sz w:val="20"/>
            <w:szCs w:val="21"/>
          </w:rPr>
          <w:t>info@gbrmpa.gov.au</w:t>
        </w:r>
      </w:hyperlink>
      <w:r w:rsidRPr="00226556">
        <w:rPr>
          <w:rFonts w:ascii="Arial" w:hAnsi="Arial" w:cs="Arial"/>
          <w:sz w:val="20"/>
          <w:szCs w:val="21"/>
        </w:rPr>
        <w:t xml:space="preserve"> </w:t>
      </w:r>
    </w:p>
    <w:p w14:paraId="0F7D02A2" w14:textId="77777777" w:rsidR="00226556" w:rsidRPr="00226556" w:rsidRDefault="00226556" w:rsidP="00226556">
      <w:pPr>
        <w:ind w:left="567" w:hanging="567"/>
        <w:rPr>
          <w:rFonts w:ascii="Arial" w:hAnsi="Arial" w:cs="Arial"/>
          <w:sz w:val="20"/>
          <w:szCs w:val="21"/>
        </w:rPr>
      </w:pPr>
    </w:p>
    <w:p w14:paraId="49DAA8F0" w14:textId="77777777" w:rsidR="00226556" w:rsidRPr="00226556" w:rsidRDefault="008D2A85" w:rsidP="00226556">
      <w:pPr>
        <w:ind w:left="567" w:hanging="567"/>
        <w:rPr>
          <w:rFonts w:ascii="Arial" w:hAnsi="Arial" w:cs="Arial"/>
          <w:sz w:val="20"/>
          <w:szCs w:val="21"/>
        </w:rPr>
      </w:pPr>
      <w:hyperlink r:id="rId92" w:tooltip="web site for the Great Barrier Reef Marine Park Authority" w:history="1">
        <w:r w:rsidR="00226556" w:rsidRPr="00226556">
          <w:rPr>
            <w:rStyle w:val="Hyperlink"/>
            <w:rFonts w:ascii="Arial" w:hAnsi="Arial" w:cs="Arial"/>
            <w:sz w:val="20"/>
            <w:szCs w:val="21"/>
          </w:rPr>
          <w:t>www.gbrmpa.gov.au</w:t>
        </w:r>
      </w:hyperlink>
      <w:r w:rsidR="00226556" w:rsidRPr="00226556">
        <w:rPr>
          <w:rFonts w:ascii="Arial" w:hAnsi="Arial" w:cs="Arial"/>
          <w:sz w:val="20"/>
          <w:szCs w:val="21"/>
        </w:rPr>
        <w:t xml:space="preserve"> </w:t>
      </w:r>
    </w:p>
    <w:p w14:paraId="6C61D1E7" w14:textId="77777777" w:rsidR="004E6B4D" w:rsidRDefault="004E6B4D">
      <w:pPr>
        <w:rPr>
          <w:rFonts w:ascii="Arial" w:hAnsi="Arial"/>
          <w:color w:val="000000" w:themeColor="text1"/>
          <w:sz w:val="20"/>
          <w:szCs w:val="32"/>
          <w:highlight w:val="yellow"/>
        </w:rPr>
      </w:pPr>
    </w:p>
    <w:tbl>
      <w:tblPr>
        <w:tblW w:w="9752"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ook w:val="0680" w:firstRow="0" w:lastRow="0" w:firstColumn="1" w:lastColumn="0" w:noHBand="1" w:noVBand="1"/>
        <w:tblDescription w:val="A table which provides the control information for this document. Specifically, it includes who approved it and when, when it was last reviewed, when its next due for review, when it was created, the &quot;document custodian&quot;, and the document this one replaces (if any)."/>
      </w:tblPr>
      <w:tblGrid>
        <w:gridCol w:w="1956"/>
        <w:gridCol w:w="5103"/>
        <w:gridCol w:w="1418"/>
        <w:gridCol w:w="1275"/>
      </w:tblGrid>
      <w:tr w:rsidR="00226556" w:rsidRPr="00226556" w14:paraId="6BE1465F" w14:textId="77777777" w:rsidTr="00A64026">
        <w:trPr>
          <w:trHeight w:val="283"/>
          <w:tblHeader/>
        </w:trPr>
        <w:tc>
          <w:tcPr>
            <w:tcW w:w="9752" w:type="dxa"/>
            <w:gridSpan w:val="4"/>
            <w:tcBorders>
              <w:top w:val="single" w:sz="4" w:space="0" w:color="548DD4" w:themeColor="text2" w:themeTint="99"/>
              <w:bottom w:val="single" w:sz="4" w:space="0" w:color="548DD4" w:themeColor="text2" w:themeTint="99"/>
            </w:tcBorders>
            <w:shd w:val="clear" w:color="auto" w:fill="C6D9F1" w:themeFill="text2" w:themeFillTint="33"/>
            <w:vAlign w:val="center"/>
            <w:hideMark/>
          </w:tcPr>
          <w:p w14:paraId="33A213E0" w14:textId="77777777" w:rsidR="00226556" w:rsidRPr="00226556" w:rsidRDefault="00226556" w:rsidP="00A64026">
            <w:pPr>
              <w:pStyle w:val="Header"/>
              <w:numPr>
                <w:ilvl w:val="12"/>
                <w:numId w:val="0"/>
              </w:numPr>
              <w:spacing w:beforeLines="20" w:before="48" w:afterLines="20" w:after="48"/>
              <w:rPr>
                <w:rFonts w:ascii="Arial" w:hAnsi="Arial" w:cs="Arial"/>
                <w:b/>
                <w:i/>
                <w:color w:val="808080" w:themeColor="background1" w:themeShade="80"/>
                <w:sz w:val="18"/>
                <w:szCs w:val="18"/>
              </w:rPr>
            </w:pPr>
            <w:r w:rsidRPr="00226556">
              <w:rPr>
                <w:rFonts w:ascii="Arial" w:hAnsi="Arial" w:cs="Arial"/>
                <w:b/>
                <w:i/>
                <w:color w:val="808080" w:themeColor="background1" w:themeShade="80"/>
                <w:sz w:val="18"/>
                <w:szCs w:val="18"/>
              </w:rPr>
              <w:t>Document Control Information</w:t>
            </w:r>
          </w:p>
        </w:tc>
      </w:tr>
      <w:tr w:rsidR="00226556" w:rsidRPr="00226556" w14:paraId="5E9A2AB4" w14:textId="77777777" w:rsidTr="00A64026">
        <w:trPr>
          <w:trHeight w:val="255"/>
        </w:trPr>
        <w:tc>
          <w:tcPr>
            <w:tcW w:w="1956" w:type="dxa"/>
            <w:tcBorders>
              <w:top w:val="single" w:sz="4" w:space="0" w:color="548DD4" w:themeColor="text2" w:themeTint="99"/>
            </w:tcBorders>
            <w:shd w:val="clear" w:color="auto" w:fill="F2F2F2" w:themeFill="background1" w:themeFillShade="F2"/>
            <w:hideMark/>
          </w:tcPr>
          <w:p w14:paraId="3C55AE16" w14:textId="77777777" w:rsidR="00226556" w:rsidRPr="00226556" w:rsidRDefault="00226556" w:rsidP="00A64026">
            <w:pPr>
              <w:pStyle w:val="Header"/>
              <w:numPr>
                <w:ilvl w:val="12"/>
                <w:numId w:val="0"/>
              </w:numPr>
              <w:ind w:right="-124"/>
              <w:rPr>
                <w:rFonts w:ascii="Arial" w:hAnsi="Arial" w:cs="Arial"/>
                <w:i/>
                <w:color w:val="808080" w:themeColor="background1" w:themeShade="80"/>
                <w:sz w:val="18"/>
                <w:szCs w:val="18"/>
              </w:rPr>
            </w:pPr>
            <w:r w:rsidRPr="00226556">
              <w:rPr>
                <w:rFonts w:ascii="Arial" w:hAnsi="Arial" w:cs="Arial"/>
                <w:i/>
                <w:color w:val="808080" w:themeColor="background1" w:themeShade="80"/>
                <w:sz w:val="18"/>
                <w:szCs w:val="18"/>
              </w:rPr>
              <w:t>Approved by:</w:t>
            </w:r>
          </w:p>
        </w:tc>
        <w:tc>
          <w:tcPr>
            <w:tcW w:w="5103" w:type="dxa"/>
            <w:tcBorders>
              <w:top w:val="single" w:sz="4" w:space="0" w:color="548DD4" w:themeColor="text2" w:themeTint="99"/>
            </w:tcBorders>
            <w:shd w:val="clear" w:color="auto" w:fill="F2F2F2" w:themeFill="background1" w:themeFillShade="F2"/>
            <w:hideMark/>
          </w:tcPr>
          <w:p w14:paraId="3E045A55" w14:textId="17D4AC6D" w:rsidR="00226556" w:rsidRPr="00226556" w:rsidRDefault="00226556" w:rsidP="00226556">
            <w:pPr>
              <w:pStyle w:val="Header"/>
              <w:numPr>
                <w:ilvl w:val="12"/>
                <w:numId w:val="0"/>
              </w:numPr>
              <w:rPr>
                <w:rFonts w:ascii="Arial" w:hAnsi="Arial" w:cs="Arial"/>
                <w:i/>
                <w:color w:val="808080" w:themeColor="background1" w:themeShade="80"/>
                <w:sz w:val="18"/>
                <w:szCs w:val="18"/>
              </w:rPr>
            </w:pPr>
            <w:r>
              <w:rPr>
                <w:rFonts w:ascii="Arial" w:hAnsi="Arial" w:cs="Arial"/>
                <w:i/>
                <w:color w:val="808080" w:themeColor="background1" w:themeShade="80"/>
                <w:sz w:val="18"/>
                <w:szCs w:val="18"/>
              </w:rPr>
              <w:t>General Manager, Reef Protection</w:t>
            </w:r>
          </w:p>
        </w:tc>
        <w:tc>
          <w:tcPr>
            <w:tcW w:w="1418" w:type="dxa"/>
            <w:tcBorders>
              <w:top w:val="single" w:sz="4" w:space="0" w:color="548DD4" w:themeColor="text2" w:themeTint="99"/>
            </w:tcBorders>
            <w:shd w:val="clear" w:color="auto" w:fill="F2F2F2" w:themeFill="background1" w:themeFillShade="F2"/>
            <w:hideMark/>
          </w:tcPr>
          <w:p w14:paraId="480A4EA3" w14:textId="77777777" w:rsidR="00226556" w:rsidRPr="00226556" w:rsidRDefault="00226556" w:rsidP="00A64026">
            <w:pPr>
              <w:pStyle w:val="Header"/>
              <w:numPr>
                <w:ilvl w:val="12"/>
                <w:numId w:val="0"/>
              </w:numPr>
              <w:ind w:left="-108" w:right="-108"/>
              <w:rPr>
                <w:rFonts w:ascii="Arial" w:hAnsi="Arial" w:cs="Arial"/>
                <w:i/>
                <w:color w:val="808080" w:themeColor="background1" w:themeShade="80"/>
                <w:sz w:val="18"/>
                <w:szCs w:val="18"/>
              </w:rPr>
            </w:pPr>
            <w:r w:rsidRPr="00226556">
              <w:rPr>
                <w:rFonts w:ascii="Arial" w:hAnsi="Arial" w:cs="Arial"/>
                <w:i/>
                <w:color w:val="808080" w:themeColor="background1" w:themeShade="80"/>
                <w:sz w:val="18"/>
                <w:szCs w:val="18"/>
              </w:rPr>
              <w:t>Approved date:</w:t>
            </w:r>
          </w:p>
        </w:tc>
        <w:sdt>
          <w:sdtPr>
            <w:rPr>
              <w:rFonts w:ascii="Arial" w:hAnsi="Arial" w:cs="Arial"/>
              <w:i/>
              <w:color w:val="808080" w:themeColor="background1" w:themeShade="80"/>
              <w:sz w:val="18"/>
              <w:szCs w:val="18"/>
            </w:rPr>
            <w:id w:val="1780066648"/>
            <w:placeholder>
              <w:docPart w:val="19723C61BCAE4C8DA5A0398A6D75976F"/>
            </w:placeholder>
            <w:date w:fullDate="2018-03-21T00:00:00Z">
              <w:dateFormat w:val="d-MMM-yy"/>
              <w:lid w:val="en-AU"/>
              <w:storeMappedDataAs w:val="dateTime"/>
              <w:calendar w:val="gregorian"/>
            </w:date>
          </w:sdtPr>
          <w:sdtEndPr/>
          <w:sdtContent>
            <w:tc>
              <w:tcPr>
                <w:tcW w:w="1275" w:type="dxa"/>
                <w:tcBorders>
                  <w:top w:val="single" w:sz="4" w:space="0" w:color="548DD4" w:themeColor="text2" w:themeTint="99"/>
                </w:tcBorders>
                <w:shd w:val="clear" w:color="auto" w:fill="F2F2F2" w:themeFill="background1" w:themeFillShade="F2"/>
              </w:tcPr>
              <w:p w14:paraId="4E77A24C" w14:textId="79587347" w:rsidR="00226556" w:rsidRPr="00226556" w:rsidRDefault="007752D8" w:rsidP="00A64026">
                <w:pPr>
                  <w:pStyle w:val="Header"/>
                  <w:numPr>
                    <w:ilvl w:val="12"/>
                    <w:numId w:val="0"/>
                  </w:numPr>
                  <w:rPr>
                    <w:rFonts w:ascii="Arial" w:hAnsi="Arial" w:cs="Arial"/>
                    <w:i/>
                    <w:color w:val="808080" w:themeColor="background1" w:themeShade="80"/>
                    <w:sz w:val="18"/>
                    <w:szCs w:val="18"/>
                  </w:rPr>
                </w:pPr>
                <w:r>
                  <w:rPr>
                    <w:rFonts w:ascii="Arial" w:hAnsi="Arial" w:cs="Arial"/>
                    <w:i/>
                    <w:color w:val="808080" w:themeColor="background1" w:themeShade="80"/>
                    <w:sz w:val="18"/>
                    <w:szCs w:val="18"/>
                  </w:rPr>
                  <w:t>21-Mar-18</w:t>
                </w:r>
              </w:p>
            </w:tc>
          </w:sdtContent>
        </w:sdt>
      </w:tr>
      <w:tr w:rsidR="00226556" w:rsidRPr="00226556" w14:paraId="18E70CF6" w14:textId="77777777" w:rsidTr="00A64026">
        <w:trPr>
          <w:trHeight w:val="255"/>
        </w:trPr>
        <w:tc>
          <w:tcPr>
            <w:tcW w:w="1956" w:type="dxa"/>
            <w:shd w:val="clear" w:color="auto" w:fill="F2F2F2" w:themeFill="background1" w:themeFillShade="F2"/>
            <w:hideMark/>
          </w:tcPr>
          <w:p w14:paraId="5B652736" w14:textId="77777777" w:rsidR="00226556" w:rsidRPr="00226556" w:rsidRDefault="00226556" w:rsidP="00A64026">
            <w:pPr>
              <w:pStyle w:val="Header"/>
              <w:numPr>
                <w:ilvl w:val="12"/>
                <w:numId w:val="0"/>
              </w:numPr>
              <w:ind w:right="-124"/>
              <w:rPr>
                <w:rFonts w:ascii="Arial" w:hAnsi="Arial" w:cs="Arial"/>
                <w:i/>
                <w:color w:val="808080" w:themeColor="background1" w:themeShade="80"/>
                <w:sz w:val="18"/>
                <w:szCs w:val="18"/>
              </w:rPr>
            </w:pPr>
            <w:r w:rsidRPr="00226556">
              <w:rPr>
                <w:rFonts w:ascii="Arial" w:hAnsi="Arial" w:cs="Arial"/>
                <w:i/>
                <w:color w:val="808080" w:themeColor="background1" w:themeShade="80"/>
                <w:sz w:val="18"/>
                <w:szCs w:val="18"/>
              </w:rPr>
              <w:t>Last reviewed:</w:t>
            </w:r>
          </w:p>
        </w:tc>
        <w:tc>
          <w:tcPr>
            <w:tcW w:w="7796" w:type="dxa"/>
            <w:gridSpan w:val="3"/>
            <w:shd w:val="clear" w:color="auto" w:fill="F2F2F2" w:themeFill="background1" w:themeFillShade="F2"/>
            <w:hideMark/>
          </w:tcPr>
          <w:p w14:paraId="529E2B11" w14:textId="6CDD7729" w:rsidR="00226556" w:rsidRPr="00226556" w:rsidRDefault="008D2A85" w:rsidP="00A64026">
            <w:pPr>
              <w:pStyle w:val="Header"/>
              <w:numPr>
                <w:ilvl w:val="12"/>
                <w:numId w:val="0"/>
              </w:numPr>
              <w:rPr>
                <w:rFonts w:ascii="Arial" w:hAnsi="Arial" w:cs="Arial"/>
                <w:i/>
                <w:color w:val="808080" w:themeColor="background1" w:themeShade="80"/>
                <w:sz w:val="18"/>
                <w:szCs w:val="18"/>
              </w:rPr>
            </w:pPr>
            <w:sdt>
              <w:sdtPr>
                <w:rPr>
                  <w:rFonts w:ascii="Arial" w:hAnsi="Arial" w:cs="Arial"/>
                  <w:i/>
                  <w:color w:val="808080" w:themeColor="background1" w:themeShade="80"/>
                  <w:sz w:val="18"/>
                  <w:szCs w:val="18"/>
                </w:rPr>
                <w:id w:val="-409925289"/>
                <w:placeholder>
                  <w:docPart w:val="9BCECF8042F24CC1B4684089EE377ADF"/>
                </w:placeholder>
                <w:date w:fullDate="2018-03-21T00:00:00Z">
                  <w:dateFormat w:val="d-MMM-yy"/>
                  <w:lid w:val="en-AU"/>
                  <w:storeMappedDataAs w:val="dateTime"/>
                  <w:calendar w:val="gregorian"/>
                </w:date>
              </w:sdtPr>
              <w:sdtEndPr/>
              <w:sdtContent>
                <w:r w:rsidR="007752D8">
                  <w:rPr>
                    <w:rFonts w:ascii="Arial" w:hAnsi="Arial" w:cs="Arial"/>
                    <w:i/>
                    <w:color w:val="808080" w:themeColor="background1" w:themeShade="80"/>
                    <w:sz w:val="18"/>
                    <w:szCs w:val="18"/>
                  </w:rPr>
                  <w:t>21-Mar-18</w:t>
                </w:r>
              </w:sdtContent>
            </w:sdt>
            <w:r w:rsidR="00226556" w:rsidRPr="00226556">
              <w:rPr>
                <w:rFonts w:ascii="Arial" w:hAnsi="Arial" w:cs="Arial"/>
                <w:i/>
                <w:color w:val="808080" w:themeColor="background1" w:themeShade="80"/>
                <w:sz w:val="18"/>
                <w:szCs w:val="18"/>
              </w:rPr>
              <w:t xml:space="preserve">  </w:t>
            </w:r>
          </w:p>
        </w:tc>
      </w:tr>
      <w:tr w:rsidR="00226556" w:rsidRPr="00226556" w14:paraId="7E80AA3E" w14:textId="77777777" w:rsidTr="00A64026">
        <w:trPr>
          <w:trHeight w:val="255"/>
        </w:trPr>
        <w:tc>
          <w:tcPr>
            <w:tcW w:w="1956" w:type="dxa"/>
            <w:shd w:val="clear" w:color="auto" w:fill="F2F2F2" w:themeFill="background1" w:themeFillShade="F2"/>
            <w:hideMark/>
          </w:tcPr>
          <w:p w14:paraId="72E8EE6A" w14:textId="77777777" w:rsidR="00226556" w:rsidRPr="00226556" w:rsidRDefault="00226556" w:rsidP="00A64026">
            <w:pPr>
              <w:pStyle w:val="Header"/>
              <w:numPr>
                <w:ilvl w:val="12"/>
                <w:numId w:val="0"/>
              </w:numPr>
              <w:ind w:right="-124"/>
              <w:rPr>
                <w:rFonts w:ascii="Arial" w:hAnsi="Arial" w:cs="Arial"/>
                <w:i/>
                <w:color w:val="808080" w:themeColor="background1" w:themeShade="80"/>
                <w:sz w:val="18"/>
                <w:szCs w:val="18"/>
              </w:rPr>
            </w:pPr>
            <w:r w:rsidRPr="00226556">
              <w:rPr>
                <w:rFonts w:ascii="Arial" w:hAnsi="Arial" w:cs="Arial"/>
                <w:i/>
                <w:color w:val="808080" w:themeColor="background1" w:themeShade="80"/>
                <w:sz w:val="18"/>
                <w:szCs w:val="18"/>
              </w:rPr>
              <w:t>Next review:</w:t>
            </w:r>
          </w:p>
        </w:tc>
        <w:tc>
          <w:tcPr>
            <w:tcW w:w="7796" w:type="dxa"/>
            <w:gridSpan w:val="3"/>
            <w:shd w:val="clear" w:color="auto" w:fill="F2F2F2" w:themeFill="background1" w:themeFillShade="F2"/>
            <w:hideMark/>
          </w:tcPr>
          <w:p w14:paraId="6D0F496C" w14:textId="2FF543E1" w:rsidR="00226556" w:rsidRPr="00226556" w:rsidRDefault="008D2A85" w:rsidP="007752D8">
            <w:pPr>
              <w:pStyle w:val="Header"/>
              <w:numPr>
                <w:ilvl w:val="12"/>
                <w:numId w:val="0"/>
              </w:numPr>
              <w:rPr>
                <w:rFonts w:ascii="Arial" w:hAnsi="Arial" w:cs="Arial"/>
                <w:i/>
                <w:color w:val="808080" w:themeColor="background1" w:themeShade="80"/>
                <w:sz w:val="18"/>
                <w:szCs w:val="18"/>
              </w:rPr>
            </w:pPr>
            <w:sdt>
              <w:sdtPr>
                <w:rPr>
                  <w:rFonts w:ascii="Arial" w:hAnsi="Arial" w:cs="Arial"/>
                  <w:i/>
                  <w:color w:val="808080" w:themeColor="background1" w:themeShade="80"/>
                  <w:sz w:val="18"/>
                  <w:szCs w:val="18"/>
                </w:rPr>
                <w:id w:val="-2042806808"/>
                <w:placeholder>
                  <w:docPart w:val="702D9806656C4273A7CC778A9CAA9575"/>
                </w:placeholder>
                <w:date w:fullDate="2021-03-21T00:00:00Z">
                  <w:dateFormat w:val="d-MMM-yy"/>
                  <w:lid w:val="en-AU"/>
                  <w:storeMappedDataAs w:val="dateTime"/>
                  <w:calendar w:val="gregorian"/>
                </w:date>
              </w:sdtPr>
              <w:sdtEndPr/>
              <w:sdtContent>
                <w:r w:rsidR="007752D8">
                  <w:rPr>
                    <w:rFonts w:ascii="Arial" w:hAnsi="Arial" w:cs="Arial"/>
                    <w:i/>
                    <w:color w:val="808080" w:themeColor="background1" w:themeShade="80"/>
                    <w:sz w:val="18"/>
                    <w:szCs w:val="18"/>
                  </w:rPr>
                  <w:t>21-Mar-21</w:t>
                </w:r>
              </w:sdtContent>
            </w:sdt>
            <w:r w:rsidR="00226556" w:rsidRPr="00226556">
              <w:rPr>
                <w:rFonts w:ascii="Arial" w:hAnsi="Arial" w:cs="Arial"/>
                <w:i/>
                <w:color w:val="808080" w:themeColor="background1" w:themeShade="80"/>
                <w:sz w:val="18"/>
                <w:szCs w:val="18"/>
              </w:rPr>
              <w:t xml:space="preserve"> </w:t>
            </w:r>
          </w:p>
        </w:tc>
      </w:tr>
      <w:tr w:rsidR="00226556" w:rsidRPr="00226556" w14:paraId="01B6EFFA" w14:textId="77777777" w:rsidTr="00A64026">
        <w:trPr>
          <w:trHeight w:val="255"/>
        </w:trPr>
        <w:tc>
          <w:tcPr>
            <w:tcW w:w="1956" w:type="dxa"/>
            <w:shd w:val="clear" w:color="auto" w:fill="F2F2F2" w:themeFill="background1" w:themeFillShade="F2"/>
            <w:hideMark/>
          </w:tcPr>
          <w:p w14:paraId="29101006" w14:textId="77777777" w:rsidR="00226556" w:rsidRPr="00226556" w:rsidRDefault="00226556" w:rsidP="00A64026">
            <w:pPr>
              <w:pStyle w:val="Header"/>
              <w:numPr>
                <w:ilvl w:val="12"/>
                <w:numId w:val="0"/>
              </w:numPr>
              <w:ind w:right="-124"/>
              <w:rPr>
                <w:rFonts w:ascii="Arial" w:hAnsi="Arial" w:cs="Arial"/>
                <w:i/>
                <w:color w:val="808080" w:themeColor="background1" w:themeShade="80"/>
                <w:sz w:val="18"/>
                <w:szCs w:val="18"/>
              </w:rPr>
            </w:pPr>
            <w:r w:rsidRPr="00226556">
              <w:rPr>
                <w:rFonts w:ascii="Arial" w:hAnsi="Arial" w:cs="Arial"/>
                <w:i/>
                <w:color w:val="808080" w:themeColor="background1" w:themeShade="80"/>
                <w:sz w:val="18"/>
                <w:szCs w:val="18"/>
              </w:rPr>
              <w:t>Created:</w:t>
            </w:r>
          </w:p>
        </w:tc>
        <w:tc>
          <w:tcPr>
            <w:tcW w:w="7796" w:type="dxa"/>
            <w:gridSpan w:val="3"/>
            <w:shd w:val="clear" w:color="auto" w:fill="F2F2F2" w:themeFill="background1" w:themeFillShade="F2"/>
            <w:hideMark/>
          </w:tcPr>
          <w:p w14:paraId="684387A0" w14:textId="3D9F4547" w:rsidR="00226556" w:rsidRPr="00226556" w:rsidRDefault="008D2A85" w:rsidP="00A64026">
            <w:pPr>
              <w:pStyle w:val="Header"/>
              <w:numPr>
                <w:ilvl w:val="12"/>
                <w:numId w:val="0"/>
              </w:numPr>
              <w:rPr>
                <w:rFonts w:ascii="Arial" w:hAnsi="Arial" w:cs="Arial"/>
                <w:i/>
                <w:color w:val="808080" w:themeColor="background1" w:themeShade="80"/>
                <w:sz w:val="18"/>
                <w:szCs w:val="18"/>
              </w:rPr>
            </w:pPr>
            <w:sdt>
              <w:sdtPr>
                <w:rPr>
                  <w:rFonts w:ascii="Arial" w:hAnsi="Arial" w:cs="Arial"/>
                  <w:i/>
                  <w:color w:val="808080" w:themeColor="background1" w:themeShade="80"/>
                  <w:sz w:val="18"/>
                  <w:szCs w:val="18"/>
                </w:rPr>
                <w:id w:val="1380052621"/>
                <w:placeholder>
                  <w:docPart w:val="EDBD839DB52B4458A61A570A73340796"/>
                </w:placeholder>
                <w:date w:fullDate="2018-03-21T00:00:00Z">
                  <w:dateFormat w:val="d-MMM-yy"/>
                  <w:lid w:val="en-AU"/>
                  <w:storeMappedDataAs w:val="dateTime"/>
                  <w:calendar w:val="gregorian"/>
                </w:date>
              </w:sdtPr>
              <w:sdtEndPr/>
              <w:sdtContent>
                <w:r w:rsidR="007752D8">
                  <w:rPr>
                    <w:rFonts w:ascii="Arial" w:hAnsi="Arial" w:cs="Arial"/>
                    <w:i/>
                    <w:color w:val="808080" w:themeColor="background1" w:themeShade="80"/>
                    <w:sz w:val="18"/>
                    <w:szCs w:val="18"/>
                  </w:rPr>
                  <w:t>21-Mar-18</w:t>
                </w:r>
              </w:sdtContent>
            </w:sdt>
            <w:r w:rsidR="00226556" w:rsidRPr="00226556">
              <w:rPr>
                <w:rFonts w:ascii="Arial" w:hAnsi="Arial" w:cs="Arial"/>
                <w:i/>
                <w:color w:val="808080" w:themeColor="background1" w:themeShade="80"/>
                <w:sz w:val="18"/>
                <w:szCs w:val="18"/>
              </w:rPr>
              <w:t xml:space="preserve">  </w:t>
            </w:r>
          </w:p>
        </w:tc>
      </w:tr>
      <w:tr w:rsidR="00226556" w:rsidRPr="00226556" w14:paraId="0330C376" w14:textId="77777777" w:rsidTr="00A64026">
        <w:trPr>
          <w:trHeight w:val="255"/>
        </w:trPr>
        <w:tc>
          <w:tcPr>
            <w:tcW w:w="1956" w:type="dxa"/>
            <w:shd w:val="clear" w:color="auto" w:fill="F2F2F2" w:themeFill="background1" w:themeFillShade="F2"/>
            <w:hideMark/>
          </w:tcPr>
          <w:p w14:paraId="6220FE0B" w14:textId="77777777" w:rsidR="00226556" w:rsidRPr="00226556" w:rsidRDefault="00226556" w:rsidP="00A64026">
            <w:pPr>
              <w:pStyle w:val="Header"/>
              <w:numPr>
                <w:ilvl w:val="12"/>
                <w:numId w:val="0"/>
              </w:numPr>
              <w:ind w:right="-124"/>
              <w:rPr>
                <w:rFonts w:ascii="Arial" w:hAnsi="Arial" w:cs="Arial"/>
                <w:i/>
                <w:color w:val="808080" w:themeColor="background1" w:themeShade="80"/>
                <w:sz w:val="18"/>
                <w:szCs w:val="18"/>
              </w:rPr>
            </w:pPr>
            <w:r w:rsidRPr="00226556">
              <w:rPr>
                <w:rFonts w:ascii="Arial" w:hAnsi="Arial" w:cs="Arial"/>
                <w:i/>
                <w:color w:val="808080" w:themeColor="background1" w:themeShade="80"/>
                <w:sz w:val="18"/>
                <w:szCs w:val="18"/>
              </w:rPr>
              <w:t>Document custodian:</w:t>
            </w:r>
          </w:p>
        </w:tc>
        <w:tc>
          <w:tcPr>
            <w:tcW w:w="7796" w:type="dxa"/>
            <w:gridSpan w:val="3"/>
            <w:shd w:val="clear" w:color="auto" w:fill="F2F2F2" w:themeFill="background1" w:themeFillShade="F2"/>
            <w:hideMark/>
          </w:tcPr>
          <w:p w14:paraId="26BEDCFE" w14:textId="0A565E68" w:rsidR="00226556" w:rsidRPr="00226556" w:rsidRDefault="00226556" w:rsidP="00226556">
            <w:pPr>
              <w:pStyle w:val="Header"/>
              <w:numPr>
                <w:ilvl w:val="12"/>
                <w:numId w:val="0"/>
              </w:numPr>
              <w:rPr>
                <w:rFonts w:ascii="Arial" w:hAnsi="Arial" w:cs="Arial"/>
                <w:i/>
                <w:color w:val="808080" w:themeColor="background1" w:themeShade="80"/>
                <w:sz w:val="18"/>
                <w:szCs w:val="18"/>
                <w:highlight w:val="yellow"/>
              </w:rPr>
            </w:pPr>
            <w:r>
              <w:rPr>
                <w:rFonts w:ascii="Arial" w:hAnsi="Arial" w:cs="Arial"/>
                <w:i/>
                <w:color w:val="808080" w:themeColor="background1" w:themeShade="80"/>
                <w:sz w:val="18"/>
                <w:szCs w:val="18"/>
              </w:rPr>
              <w:t>Director, Policy and Planning</w:t>
            </w:r>
          </w:p>
        </w:tc>
      </w:tr>
      <w:tr w:rsidR="00226556" w:rsidRPr="00226556" w14:paraId="2E1526AD" w14:textId="77777777" w:rsidTr="00A64026">
        <w:trPr>
          <w:trHeight w:val="255"/>
        </w:trPr>
        <w:tc>
          <w:tcPr>
            <w:tcW w:w="1956" w:type="dxa"/>
            <w:shd w:val="clear" w:color="auto" w:fill="F2F2F2" w:themeFill="background1" w:themeFillShade="F2"/>
            <w:hideMark/>
          </w:tcPr>
          <w:p w14:paraId="00C7286A" w14:textId="77777777" w:rsidR="00226556" w:rsidRPr="00226556" w:rsidRDefault="00226556" w:rsidP="00A64026">
            <w:pPr>
              <w:pStyle w:val="Header"/>
              <w:numPr>
                <w:ilvl w:val="12"/>
                <w:numId w:val="0"/>
              </w:numPr>
              <w:ind w:right="-124"/>
              <w:rPr>
                <w:rFonts w:ascii="Arial" w:hAnsi="Arial" w:cs="Arial"/>
                <w:i/>
                <w:color w:val="808080" w:themeColor="background1" w:themeShade="80"/>
                <w:sz w:val="18"/>
                <w:szCs w:val="18"/>
              </w:rPr>
            </w:pPr>
            <w:r w:rsidRPr="00226556">
              <w:rPr>
                <w:rFonts w:ascii="Arial" w:hAnsi="Arial" w:cs="Arial"/>
                <w:i/>
                <w:color w:val="808080" w:themeColor="background1" w:themeShade="80"/>
                <w:sz w:val="18"/>
                <w:szCs w:val="18"/>
              </w:rPr>
              <w:t>Replaces:</w:t>
            </w:r>
          </w:p>
        </w:tc>
        <w:tc>
          <w:tcPr>
            <w:tcW w:w="7796" w:type="dxa"/>
            <w:gridSpan w:val="3"/>
            <w:shd w:val="clear" w:color="auto" w:fill="F2F2F2" w:themeFill="background1" w:themeFillShade="F2"/>
            <w:hideMark/>
          </w:tcPr>
          <w:p w14:paraId="736613DE" w14:textId="73D30E0A" w:rsidR="00226556" w:rsidRPr="00226556" w:rsidRDefault="008D2A85" w:rsidP="00226556">
            <w:pPr>
              <w:pStyle w:val="Header"/>
              <w:numPr>
                <w:ilvl w:val="12"/>
                <w:numId w:val="0"/>
              </w:numPr>
              <w:rPr>
                <w:rFonts w:ascii="Arial" w:hAnsi="Arial" w:cs="Arial"/>
                <w:i/>
                <w:color w:val="808080" w:themeColor="background1" w:themeShade="80"/>
                <w:sz w:val="18"/>
                <w:szCs w:val="18"/>
                <w:highlight w:val="yellow"/>
              </w:rPr>
            </w:pPr>
            <w:sdt>
              <w:sdtPr>
                <w:rPr>
                  <w:rFonts w:ascii="Arial" w:hAnsi="Arial" w:cs="Arial"/>
                  <w:i/>
                  <w:color w:val="808080" w:themeColor="background1" w:themeShade="80"/>
                  <w:sz w:val="18"/>
                  <w:szCs w:val="18"/>
                </w:rPr>
                <w:id w:val="1994069912"/>
                <w:placeholder>
                  <w:docPart w:val="E117F0C7A22244A0B5A71A13C250C428"/>
                </w:placeholder>
                <w:text/>
              </w:sdtPr>
              <w:sdtEndPr/>
              <w:sdtContent>
                <w:r w:rsidR="00226556">
                  <w:rPr>
                    <w:rFonts w:ascii="Arial" w:hAnsi="Arial" w:cs="Arial"/>
                    <w:i/>
                    <w:color w:val="808080" w:themeColor="background1" w:themeShade="80"/>
                    <w:sz w:val="18"/>
                    <w:szCs w:val="18"/>
                  </w:rPr>
                  <w:t>New</w:t>
                </w:r>
              </w:sdtContent>
            </w:sdt>
          </w:p>
        </w:tc>
      </w:tr>
    </w:tbl>
    <w:p w14:paraId="34D52DD0" w14:textId="1606643E" w:rsidR="00226556" w:rsidRDefault="00226556">
      <w:pPr>
        <w:rPr>
          <w:rFonts w:ascii="Arial" w:hAnsi="Arial"/>
          <w:color w:val="000000" w:themeColor="text1"/>
          <w:sz w:val="20"/>
          <w:szCs w:val="32"/>
          <w:highlight w:val="yellow"/>
        </w:rPr>
      </w:pPr>
    </w:p>
    <w:sectPr w:rsidR="00226556" w:rsidSect="00510F59">
      <w:headerReference w:type="even" r:id="rId93"/>
      <w:headerReference w:type="first" r:id="rId94"/>
      <w:pgSz w:w="11906" w:h="16838"/>
      <w:pgMar w:top="1252" w:right="1080" w:bottom="1440" w:left="1080" w:header="568" w:footer="81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1BA3D" w14:textId="77777777" w:rsidR="008D2A85" w:rsidRDefault="008D2A85" w:rsidP="0072104F">
      <w:r>
        <w:separator/>
      </w:r>
    </w:p>
    <w:p w14:paraId="5DC26836" w14:textId="77777777" w:rsidR="008D2A85" w:rsidRDefault="008D2A85"/>
    <w:p w14:paraId="0624C659" w14:textId="77777777" w:rsidR="008D2A85" w:rsidRDefault="008D2A85"/>
    <w:p w14:paraId="4BD9F8EE" w14:textId="77777777" w:rsidR="008D2A85" w:rsidRDefault="008D2A85" w:rsidP="00A34BFD"/>
    <w:p w14:paraId="042FAFEF" w14:textId="77777777" w:rsidR="008D2A85" w:rsidRDefault="008D2A85" w:rsidP="00A34BFD"/>
  </w:endnote>
  <w:endnote w:type="continuationSeparator" w:id="0">
    <w:p w14:paraId="401E7DAF" w14:textId="77777777" w:rsidR="008D2A85" w:rsidRDefault="008D2A85" w:rsidP="0072104F">
      <w:r>
        <w:continuationSeparator/>
      </w:r>
    </w:p>
    <w:p w14:paraId="6CC8863A" w14:textId="77777777" w:rsidR="008D2A85" w:rsidRDefault="008D2A85"/>
    <w:p w14:paraId="63D24F3C" w14:textId="77777777" w:rsidR="008D2A85" w:rsidRDefault="008D2A85"/>
    <w:p w14:paraId="1636ADDB" w14:textId="77777777" w:rsidR="008D2A85" w:rsidRDefault="008D2A85" w:rsidP="00A34BFD"/>
    <w:p w14:paraId="4AB8641A" w14:textId="77777777" w:rsidR="008D2A85" w:rsidRDefault="008D2A85" w:rsidP="00A34BFD"/>
  </w:endnote>
  <w:endnote w:type="continuationNotice" w:id="1">
    <w:p w14:paraId="58018815" w14:textId="77777777" w:rsidR="008D2A85" w:rsidRDefault="008D2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A74E" w14:textId="77777777" w:rsidR="00A64026" w:rsidRPr="006B1EE2" w:rsidRDefault="00A64026" w:rsidP="006B1EE2">
    <w:pPr>
      <w:pStyle w:val="Footer"/>
      <w:pBdr>
        <w:top w:val="single" w:sz="4" w:space="1" w:color="DBE5F1" w:themeColor="accent1" w:themeTint="33"/>
      </w:pBdr>
      <w:tabs>
        <w:tab w:val="clear" w:pos="8306"/>
        <w:tab w:val="right" w:pos="9639"/>
      </w:tabs>
      <w:ind w:right="107"/>
      <w:jc w:val="center"/>
      <w:rPr>
        <w:rFonts w:ascii="Arial" w:hAnsi="Arial" w:cs="Arial"/>
        <w:color w:val="BFBFBF" w:themeColor="background1" w:themeShade="BF"/>
        <w:sz w:val="16"/>
        <w:szCs w:val="16"/>
      </w:rPr>
    </w:pPr>
    <w:r w:rsidRPr="006B1EE2">
      <w:rPr>
        <w:rFonts w:ascii="Arial" w:hAnsi="Arial" w:cs="Arial"/>
        <w:b/>
        <w:color w:val="BFBFBF" w:themeColor="background1" w:themeShade="BF"/>
        <w:sz w:val="16"/>
        <w:szCs w:val="16"/>
      </w:rPr>
      <w:t>CAUTION</w:t>
    </w:r>
    <w:r w:rsidRPr="006B1EE2">
      <w:rPr>
        <w:rFonts w:ascii="Arial" w:hAnsi="Arial" w:cs="Arial"/>
        <w:color w:val="BFBFBF" w:themeColor="background1" w:themeShade="BF"/>
        <w:sz w:val="16"/>
        <w:szCs w:val="16"/>
      </w:rPr>
      <w:t>: Only the electronic copy of a document sourced from either GBRMPA’s internal ‘</w:t>
    </w:r>
    <w:hyperlink r:id="rId1" w:history="1">
      <w:r w:rsidRPr="006B1EE2">
        <w:rPr>
          <w:rStyle w:val="Hyperlink"/>
          <w:rFonts w:ascii="Arial" w:hAnsi="Arial" w:cs="Arial"/>
          <w:sz w:val="16"/>
          <w:szCs w:val="16"/>
        </w:rPr>
        <w:t>Master Document List</w:t>
      </w:r>
    </w:hyperlink>
    <w:r w:rsidRPr="006B1EE2">
      <w:rPr>
        <w:rFonts w:ascii="Arial" w:hAnsi="Arial" w:cs="Arial"/>
        <w:color w:val="BFBFBF" w:themeColor="background1" w:themeShade="BF"/>
        <w:sz w:val="16"/>
        <w:szCs w:val="16"/>
      </w:rPr>
      <w:t>’ or external ‘</w:t>
    </w:r>
    <w:hyperlink r:id="rId2" w:history="1">
      <w:r w:rsidRPr="006B1EE2">
        <w:rPr>
          <w:rStyle w:val="Hyperlink"/>
          <w:rFonts w:ascii="Arial" w:hAnsi="Arial" w:cs="Arial"/>
          <w:sz w:val="16"/>
          <w:szCs w:val="16"/>
        </w:rPr>
        <w:t>eLibrary</w:t>
      </w:r>
    </w:hyperlink>
    <w:r w:rsidRPr="006B1EE2">
      <w:rPr>
        <w:rFonts w:ascii="Arial" w:hAnsi="Arial" w:cs="Arial"/>
        <w:color w:val="BFBFBF" w:themeColor="background1" w:themeShade="BF"/>
        <w:sz w:val="16"/>
        <w:szCs w:val="16"/>
      </w:rPr>
      <w:t>’ is controlled. Check the revision number of printed copies against these lists to verify currency.</w:t>
    </w:r>
  </w:p>
  <w:p w14:paraId="78953A91" w14:textId="49E6604E" w:rsidR="00A64026" w:rsidRPr="006B1EE2" w:rsidRDefault="00A64026" w:rsidP="006B1EE2">
    <w:pPr>
      <w:pStyle w:val="Footer"/>
      <w:tabs>
        <w:tab w:val="clear" w:pos="8306"/>
        <w:tab w:val="right" w:pos="9639"/>
        <w:tab w:val="right" w:pos="9746"/>
        <w:tab w:val="right" w:pos="9781"/>
      </w:tabs>
      <w:rPr>
        <w:rFonts w:ascii="Arial" w:hAnsi="Arial" w:cs="Arial"/>
        <w:iCs/>
        <w:color w:val="BFBFBF" w:themeColor="background1" w:themeShade="BF"/>
        <w:spacing w:val="4"/>
        <w:sz w:val="16"/>
        <w:szCs w:val="16"/>
      </w:rPr>
    </w:pPr>
    <w:r w:rsidRPr="006B1EE2">
      <w:rPr>
        <w:rFonts w:ascii="Arial" w:hAnsi="Arial" w:cs="Arial"/>
        <w:b/>
        <w:color w:val="7F7F7F" w:themeColor="text1" w:themeTint="80"/>
        <w:sz w:val="16"/>
        <w:szCs w:val="16"/>
      </w:rPr>
      <w:t>Guideline</w:t>
    </w:r>
    <w:r w:rsidRPr="006B1EE2">
      <w:rPr>
        <w:rFonts w:ascii="Arial" w:hAnsi="Arial" w:cs="Arial"/>
        <w:b/>
        <w:color w:val="BFBFBF" w:themeColor="background1" w:themeShade="BF"/>
        <w:sz w:val="16"/>
        <w:szCs w:val="16"/>
      </w:rPr>
      <w:tab/>
    </w:r>
    <w:r w:rsidRPr="006B1EE2">
      <w:rPr>
        <w:rFonts w:ascii="Arial" w:hAnsi="Arial" w:cs="Arial"/>
        <w:b/>
        <w:color w:val="BFBFBF" w:themeColor="background1" w:themeShade="BF"/>
        <w:sz w:val="16"/>
        <w:szCs w:val="16"/>
      </w:rPr>
      <w:tab/>
    </w:r>
    <w:r w:rsidRPr="006B1EE2">
      <w:rPr>
        <w:rFonts w:ascii="Arial" w:hAnsi="Arial" w:cs="Arial"/>
        <w:color w:val="BFBFBF" w:themeColor="background1" w:themeShade="BF"/>
        <w:sz w:val="16"/>
        <w:szCs w:val="16"/>
      </w:rPr>
      <w:t>GBRMPA d</w:t>
    </w:r>
    <w:r w:rsidRPr="006B1EE2">
      <w:rPr>
        <w:rFonts w:ascii="Arial" w:hAnsi="Arial" w:cs="Arial"/>
        <w:iCs/>
        <w:color w:val="BFBFBF" w:themeColor="background1" w:themeShade="BF"/>
        <w:spacing w:val="4"/>
        <w:sz w:val="16"/>
        <w:szCs w:val="16"/>
      </w:rPr>
      <w:t xml:space="preserve">ocument No: </w:t>
    </w:r>
    <w:r w:rsidR="007752D8">
      <w:rPr>
        <w:rFonts w:ascii="Arial" w:hAnsi="Arial" w:cs="Arial"/>
        <w:iCs/>
        <w:color w:val="BFBFBF" w:themeColor="background1" w:themeShade="BF"/>
        <w:spacing w:val="4"/>
        <w:sz w:val="16"/>
        <w:szCs w:val="16"/>
      </w:rPr>
      <w:t>100446</w:t>
    </w:r>
    <w:r w:rsidRPr="006B1EE2">
      <w:rPr>
        <w:rFonts w:ascii="Arial" w:hAnsi="Arial" w:cs="Arial"/>
        <w:iCs/>
        <w:color w:val="BFBFBF" w:themeColor="background1" w:themeShade="BF"/>
        <w:spacing w:val="4"/>
        <w:sz w:val="16"/>
        <w:szCs w:val="16"/>
      </w:rPr>
      <w:t xml:space="preserve"> Revision: </w:t>
    </w:r>
    <w:r>
      <w:rPr>
        <w:rFonts w:ascii="Arial" w:hAnsi="Arial" w:cs="Arial"/>
        <w:iCs/>
        <w:color w:val="BFBFBF" w:themeColor="background1" w:themeShade="BF"/>
        <w:spacing w:val="4"/>
        <w:sz w:val="16"/>
        <w:szCs w:val="16"/>
      </w:rPr>
      <w:t>0</w:t>
    </w:r>
  </w:p>
  <w:p w14:paraId="2A03B3FD" w14:textId="03CAD371" w:rsidR="00A64026" w:rsidRPr="006B1EE2" w:rsidRDefault="00A64026" w:rsidP="006B1EE2">
    <w:pPr>
      <w:pStyle w:val="Footer"/>
      <w:tabs>
        <w:tab w:val="clear" w:pos="8306"/>
        <w:tab w:val="right" w:pos="9639"/>
        <w:tab w:val="right" w:pos="9781"/>
      </w:tabs>
      <w:rPr>
        <w:rFonts w:ascii="Arial" w:hAnsi="Arial" w:cs="Arial"/>
        <w:iCs/>
        <w:color w:val="BFBFBF" w:themeColor="background1" w:themeShade="BF"/>
        <w:spacing w:val="4"/>
        <w:sz w:val="16"/>
        <w:szCs w:val="16"/>
      </w:rPr>
    </w:pPr>
    <w:r w:rsidRPr="006B1EE2">
      <w:rPr>
        <w:rFonts w:ascii="Arial" w:hAnsi="Arial" w:cs="Arial"/>
        <w:spacing w:val="4"/>
        <w:sz w:val="20"/>
        <w:szCs w:val="16"/>
      </w:rPr>
      <w:t xml:space="preserve">Page </w:t>
    </w:r>
    <w:r w:rsidRPr="006B1EE2">
      <w:rPr>
        <w:rFonts w:ascii="Arial" w:hAnsi="Arial" w:cs="Arial"/>
        <w:b/>
        <w:spacing w:val="4"/>
        <w:sz w:val="20"/>
        <w:szCs w:val="16"/>
      </w:rPr>
      <w:fldChar w:fldCharType="begin"/>
    </w:r>
    <w:r w:rsidRPr="006B1EE2">
      <w:rPr>
        <w:rFonts w:ascii="Arial" w:hAnsi="Arial" w:cs="Arial"/>
        <w:b/>
        <w:spacing w:val="4"/>
        <w:sz w:val="20"/>
        <w:szCs w:val="16"/>
      </w:rPr>
      <w:instrText xml:space="preserve"> PAGE </w:instrText>
    </w:r>
    <w:r w:rsidRPr="006B1EE2">
      <w:rPr>
        <w:rFonts w:ascii="Arial" w:hAnsi="Arial" w:cs="Arial"/>
        <w:b/>
        <w:spacing w:val="4"/>
        <w:sz w:val="20"/>
        <w:szCs w:val="16"/>
      </w:rPr>
      <w:fldChar w:fldCharType="separate"/>
    </w:r>
    <w:r w:rsidR="000D1664">
      <w:rPr>
        <w:rFonts w:ascii="Arial" w:hAnsi="Arial" w:cs="Arial"/>
        <w:b/>
        <w:noProof/>
        <w:spacing w:val="4"/>
        <w:sz w:val="20"/>
        <w:szCs w:val="16"/>
      </w:rPr>
      <w:t>2</w:t>
    </w:r>
    <w:r w:rsidRPr="006B1EE2">
      <w:rPr>
        <w:rFonts w:ascii="Arial" w:hAnsi="Arial" w:cs="Arial"/>
        <w:b/>
        <w:spacing w:val="4"/>
        <w:sz w:val="20"/>
        <w:szCs w:val="16"/>
      </w:rPr>
      <w:fldChar w:fldCharType="end"/>
    </w:r>
    <w:r w:rsidRPr="006B1EE2">
      <w:rPr>
        <w:rFonts w:ascii="Arial" w:hAnsi="Arial" w:cs="Arial"/>
        <w:spacing w:val="4"/>
        <w:sz w:val="20"/>
        <w:szCs w:val="16"/>
      </w:rPr>
      <w:t xml:space="preserve"> of </w:t>
    </w:r>
    <w:r w:rsidRPr="006B1EE2">
      <w:rPr>
        <w:rFonts w:ascii="Arial" w:hAnsi="Arial" w:cs="Arial"/>
        <w:b/>
        <w:spacing w:val="4"/>
        <w:sz w:val="20"/>
        <w:szCs w:val="16"/>
      </w:rPr>
      <w:fldChar w:fldCharType="begin"/>
    </w:r>
    <w:r w:rsidRPr="006B1EE2">
      <w:rPr>
        <w:rFonts w:ascii="Arial" w:hAnsi="Arial" w:cs="Arial"/>
        <w:b/>
        <w:spacing w:val="4"/>
        <w:sz w:val="20"/>
        <w:szCs w:val="16"/>
      </w:rPr>
      <w:instrText xml:space="preserve"> NUMPAGES </w:instrText>
    </w:r>
    <w:r w:rsidRPr="006B1EE2">
      <w:rPr>
        <w:rFonts w:ascii="Arial" w:hAnsi="Arial" w:cs="Arial"/>
        <w:b/>
        <w:spacing w:val="4"/>
        <w:sz w:val="20"/>
        <w:szCs w:val="16"/>
      </w:rPr>
      <w:fldChar w:fldCharType="separate"/>
    </w:r>
    <w:r w:rsidR="000D1664">
      <w:rPr>
        <w:rFonts w:ascii="Arial" w:hAnsi="Arial" w:cs="Arial"/>
        <w:b/>
        <w:noProof/>
        <w:spacing w:val="4"/>
        <w:sz w:val="20"/>
        <w:szCs w:val="16"/>
      </w:rPr>
      <w:t>15</w:t>
    </w:r>
    <w:r w:rsidRPr="006B1EE2">
      <w:rPr>
        <w:rFonts w:ascii="Arial" w:hAnsi="Arial" w:cs="Arial"/>
        <w:b/>
        <w:spacing w:val="4"/>
        <w:sz w:val="20"/>
        <w:szCs w:val="16"/>
      </w:rPr>
      <w:fldChar w:fldCharType="end"/>
    </w:r>
    <w:r w:rsidRPr="006B1EE2">
      <w:rPr>
        <w:rFonts w:ascii="Arial" w:hAnsi="Arial" w:cs="Arial"/>
        <w:color w:val="BFBFBF" w:themeColor="background1" w:themeShade="BF"/>
        <w:spacing w:val="4"/>
        <w:sz w:val="16"/>
        <w:szCs w:val="16"/>
      </w:rPr>
      <w:tab/>
    </w:r>
    <w:r w:rsidRPr="006B1EE2">
      <w:rPr>
        <w:rFonts w:ascii="Arial" w:hAnsi="Arial" w:cs="Arial"/>
        <w:color w:val="BFBFBF" w:themeColor="background1" w:themeShade="BF"/>
        <w:spacing w:val="4"/>
        <w:sz w:val="16"/>
        <w:szCs w:val="16"/>
      </w:rPr>
      <w:tab/>
    </w:r>
    <w:r w:rsidRPr="006B1EE2">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4"/>
          <w:sz w:val="16"/>
          <w:szCs w:val="16"/>
        </w:rPr>
        <w:id w:val="-224607093"/>
        <w:placeholder>
          <w:docPart w:val="6EEAC24CDFBD46EA8F944411D9DD5FD4"/>
        </w:placeholder>
        <w:date w:fullDate="2018-03-21T00:00:00Z">
          <w:dateFormat w:val="dd-MMM-yyyy"/>
          <w:lid w:val="en-AU"/>
          <w:storeMappedDataAs w:val="dateTime"/>
          <w:calendar w:val="gregorian"/>
        </w:date>
      </w:sdtPr>
      <w:sdtEndPr/>
      <w:sdtContent>
        <w:r w:rsidR="007752D8">
          <w:rPr>
            <w:rFonts w:ascii="Arial" w:hAnsi="Arial" w:cs="Arial"/>
            <w:iCs/>
            <w:color w:val="BFBFBF" w:themeColor="background1" w:themeShade="BF"/>
            <w:spacing w:val="4"/>
            <w:sz w:val="16"/>
            <w:szCs w:val="16"/>
          </w:rPr>
          <w:t>21-Mar-2018</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DC909" w14:textId="77777777" w:rsidR="00A64026" w:rsidRPr="006B1EE2" w:rsidRDefault="00A64026" w:rsidP="006B1EE2">
    <w:pPr>
      <w:pStyle w:val="Footer"/>
      <w:pBdr>
        <w:top w:val="single" w:sz="4" w:space="1" w:color="DBE5F1" w:themeColor="accent1" w:themeTint="33"/>
      </w:pBdr>
      <w:tabs>
        <w:tab w:val="clear" w:pos="8306"/>
        <w:tab w:val="right" w:pos="9639"/>
      </w:tabs>
      <w:ind w:right="107"/>
      <w:jc w:val="center"/>
      <w:rPr>
        <w:rFonts w:ascii="Arial" w:hAnsi="Arial" w:cs="Arial"/>
        <w:color w:val="BFBFBF" w:themeColor="background1" w:themeShade="BF"/>
        <w:sz w:val="16"/>
        <w:szCs w:val="16"/>
      </w:rPr>
    </w:pPr>
    <w:r w:rsidRPr="006B1EE2">
      <w:rPr>
        <w:rFonts w:ascii="Arial" w:hAnsi="Arial" w:cs="Arial"/>
        <w:b/>
        <w:color w:val="BFBFBF" w:themeColor="background1" w:themeShade="BF"/>
        <w:sz w:val="16"/>
        <w:szCs w:val="16"/>
      </w:rPr>
      <w:t>CAUTION</w:t>
    </w:r>
    <w:r w:rsidRPr="006B1EE2">
      <w:rPr>
        <w:rFonts w:ascii="Arial" w:hAnsi="Arial" w:cs="Arial"/>
        <w:color w:val="BFBFBF" w:themeColor="background1" w:themeShade="BF"/>
        <w:sz w:val="16"/>
        <w:szCs w:val="16"/>
      </w:rPr>
      <w:t>: Only the electronic copy of a document sourced from either GBRMPA’s internal ‘</w:t>
    </w:r>
    <w:hyperlink r:id="rId1" w:history="1">
      <w:r w:rsidRPr="006B1EE2">
        <w:rPr>
          <w:rStyle w:val="Hyperlink"/>
          <w:rFonts w:ascii="Arial" w:hAnsi="Arial" w:cs="Arial"/>
          <w:sz w:val="16"/>
          <w:szCs w:val="16"/>
        </w:rPr>
        <w:t>Master Document List</w:t>
      </w:r>
    </w:hyperlink>
    <w:r w:rsidRPr="006B1EE2">
      <w:rPr>
        <w:rFonts w:ascii="Arial" w:hAnsi="Arial" w:cs="Arial"/>
        <w:color w:val="BFBFBF" w:themeColor="background1" w:themeShade="BF"/>
        <w:sz w:val="16"/>
        <w:szCs w:val="16"/>
      </w:rPr>
      <w:t>’ or external ‘</w:t>
    </w:r>
    <w:hyperlink r:id="rId2" w:history="1">
      <w:r w:rsidRPr="006B1EE2">
        <w:rPr>
          <w:rStyle w:val="Hyperlink"/>
          <w:rFonts w:ascii="Arial" w:hAnsi="Arial" w:cs="Arial"/>
          <w:sz w:val="16"/>
          <w:szCs w:val="16"/>
        </w:rPr>
        <w:t>eLibrary</w:t>
      </w:r>
    </w:hyperlink>
    <w:r w:rsidRPr="006B1EE2">
      <w:rPr>
        <w:rFonts w:ascii="Arial" w:hAnsi="Arial" w:cs="Arial"/>
        <w:color w:val="BFBFBF" w:themeColor="background1" w:themeShade="BF"/>
        <w:sz w:val="16"/>
        <w:szCs w:val="16"/>
      </w:rPr>
      <w:t>’ is controlled. Check the revision number of printed copies against these lists to verify currency.</w:t>
    </w:r>
  </w:p>
  <w:p w14:paraId="54761C29" w14:textId="75AAD9A4" w:rsidR="00A64026" w:rsidRPr="006B1EE2" w:rsidRDefault="00A64026" w:rsidP="006B1EE2">
    <w:pPr>
      <w:pStyle w:val="Footer"/>
      <w:tabs>
        <w:tab w:val="clear" w:pos="8306"/>
        <w:tab w:val="right" w:pos="9639"/>
        <w:tab w:val="right" w:pos="9746"/>
        <w:tab w:val="right" w:pos="9781"/>
      </w:tabs>
      <w:rPr>
        <w:rFonts w:ascii="Arial" w:hAnsi="Arial" w:cs="Arial"/>
        <w:iCs/>
        <w:color w:val="BFBFBF" w:themeColor="background1" w:themeShade="BF"/>
        <w:spacing w:val="4"/>
        <w:sz w:val="16"/>
        <w:szCs w:val="16"/>
      </w:rPr>
    </w:pPr>
    <w:r w:rsidRPr="006B1EE2">
      <w:rPr>
        <w:rFonts w:ascii="Arial" w:hAnsi="Arial" w:cs="Arial"/>
        <w:b/>
        <w:color w:val="7F7F7F" w:themeColor="text1" w:themeTint="80"/>
        <w:sz w:val="16"/>
        <w:szCs w:val="16"/>
      </w:rPr>
      <w:t>Guideline</w:t>
    </w:r>
    <w:r w:rsidRPr="006B1EE2">
      <w:rPr>
        <w:rFonts w:ascii="Arial" w:hAnsi="Arial" w:cs="Arial"/>
        <w:b/>
        <w:color w:val="BFBFBF" w:themeColor="background1" w:themeShade="BF"/>
        <w:sz w:val="16"/>
        <w:szCs w:val="16"/>
      </w:rPr>
      <w:tab/>
    </w:r>
    <w:r w:rsidRPr="006B1EE2">
      <w:rPr>
        <w:rFonts w:ascii="Arial" w:hAnsi="Arial" w:cs="Arial"/>
        <w:b/>
        <w:color w:val="BFBFBF" w:themeColor="background1" w:themeShade="BF"/>
        <w:sz w:val="16"/>
        <w:szCs w:val="16"/>
      </w:rPr>
      <w:tab/>
    </w:r>
    <w:r w:rsidRPr="006B1EE2">
      <w:rPr>
        <w:rFonts w:ascii="Arial" w:hAnsi="Arial" w:cs="Arial"/>
        <w:color w:val="BFBFBF" w:themeColor="background1" w:themeShade="BF"/>
        <w:sz w:val="16"/>
        <w:szCs w:val="16"/>
      </w:rPr>
      <w:t>GBRMPA d</w:t>
    </w:r>
    <w:r w:rsidRPr="006B1EE2">
      <w:rPr>
        <w:rFonts w:ascii="Arial" w:hAnsi="Arial" w:cs="Arial"/>
        <w:iCs/>
        <w:color w:val="BFBFBF" w:themeColor="background1" w:themeShade="BF"/>
        <w:spacing w:val="4"/>
        <w:sz w:val="16"/>
        <w:szCs w:val="16"/>
      </w:rPr>
      <w:t xml:space="preserve">ocument No: </w:t>
    </w:r>
    <w:r w:rsidR="007752D8">
      <w:rPr>
        <w:rFonts w:ascii="Arial" w:hAnsi="Arial" w:cs="Arial"/>
        <w:iCs/>
        <w:color w:val="BFBFBF" w:themeColor="background1" w:themeShade="BF"/>
        <w:spacing w:val="4"/>
        <w:sz w:val="16"/>
        <w:szCs w:val="16"/>
      </w:rPr>
      <w:t>100446</w:t>
    </w:r>
    <w:r w:rsidRPr="006B1EE2">
      <w:rPr>
        <w:rFonts w:ascii="Arial" w:hAnsi="Arial" w:cs="Arial"/>
        <w:iCs/>
        <w:color w:val="BFBFBF" w:themeColor="background1" w:themeShade="BF"/>
        <w:spacing w:val="4"/>
        <w:sz w:val="16"/>
        <w:szCs w:val="16"/>
      </w:rPr>
      <w:t xml:space="preserve"> Revision: </w:t>
    </w:r>
    <w:r>
      <w:rPr>
        <w:rFonts w:ascii="Arial" w:hAnsi="Arial" w:cs="Arial"/>
        <w:iCs/>
        <w:color w:val="BFBFBF" w:themeColor="background1" w:themeShade="BF"/>
        <w:spacing w:val="4"/>
        <w:sz w:val="16"/>
        <w:szCs w:val="16"/>
      </w:rPr>
      <w:t>0</w:t>
    </w:r>
  </w:p>
  <w:p w14:paraId="03FFBF1D" w14:textId="7FECF5AA" w:rsidR="00A64026" w:rsidRPr="006B1EE2" w:rsidRDefault="00A64026" w:rsidP="006B1EE2">
    <w:pPr>
      <w:pStyle w:val="Footer"/>
      <w:tabs>
        <w:tab w:val="clear" w:pos="8306"/>
        <w:tab w:val="right" w:pos="9639"/>
        <w:tab w:val="right" w:pos="9781"/>
      </w:tabs>
      <w:rPr>
        <w:rFonts w:ascii="Arial" w:hAnsi="Arial" w:cs="Arial"/>
        <w:iCs/>
        <w:color w:val="BFBFBF" w:themeColor="background1" w:themeShade="BF"/>
        <w:spacing w:val="4"/>
        <w:sz w:val="16"/>
        <w:szCs w:val="16"/>
      </w:rPr>
    </w:pPr>
    <w:r w:rsidRPr="006B1EE2">
      <w:rPr>
        <w:rFonts w:ascii="Arial" w:hAnsi="Arial" w:cs="Arial"/>
        <w:spacing w:val="4"/>
        <w:sz w:val="20"/>
        <w:szCs w:val="16"/>
      </w:rPr>
      <w:t xml:space="preserve">Page </w:t>
    </w:r>
    <w:r w:rsidRPr="006B1EE2">
      <w:rPr>
        <w:rFonts w:ascii="Arial" w:hAnsi="Arial" w:cs="Arial"/>
        <w:b/>
        <w:spacing w:val="4"/>
        <w:sz w:val="20"/>
        <w:szCs w:val="16"/>
      </w:rPr>
      <w:fldChar w:fldCharType="begin"/>
    </w:r>
    <w:r w:rsidRPr="006B1EE2">
      <w:rPr>
        <w:rFonts w:ascii="Arial" w:hAnsi="Arial" w:cs="Arial"/>
        <w:b/>
        <w:spacing w:val="4"/>
        <w:sz w:val="20"/>
        <w:szCs w:val="16"/>
      </w:rPr>
      <w:instrText xml:space="preserve"> PAGE </w:instrText>
    </w:r>
    <w:r w:rsidRPr="006B1EE2">
      <w:rPr>
        <w:rFonts w:ascii="Arial" w:hAnsi="Arial" w:cs="Arial"/>
        <w:b/>
        <w:spacing w:val="4"/>
        <w:sz w:val="20"/>
        <w:szCs w:val="16"/>
      </w:rPr>
      <w:fldChar w:fldCharType="separate"/>
    </w:r>
    <w:r w:rsidR="000D1664">
      <w:rPr>
        <w:rFonts w:ascii="Arial" w:hAnsi="Arial" w:cs="Arial"/>
        <w:b/>
        <w:noProof/>
        <w:spacing w:val="4"/>
        <w:sz w:val="20"/>
        <w:szCs w:val="16"/>
      </w:rPr>
      <w:t>1</w:t>
    </w:r>
    <w:r w:rsidRPr="006B1EE2">
      <w:rPr>
        <w:rFonts w:ascii="Arial" w:hAnsi="Arial" w:cs="Arial"/>
        <w:b/>
        <w:spacing w:val="4"/>
        <w:sz w:val="20"/>
        <w:szCs w:val="16"/>
      </w:rPr>
      <w:fldChar w:fldCharType="end"/>
    </w:r>
    <w:r w:rsidRPr="006B1EE2">
      <w:rPr>
        <w:rFonts w:ascii="Arial" w:hAnsi="Arial" w:cs="Arial"/>
        <w:spacing w:val="4"/>
        <w:sz w:val="20"/>
        <w:szCs w:val="16"/>
      </w:rPr>
      <w:t xml:space="preserve"> of </w:t>
    </w:r>
    <w:r w:rsidRPr="006B1EE2">
      <w:rPr>
        <w:rFonts w:ascii="Arial" w:hAnsi="Arial" w:cs="Arial"/>
        <w:b/>
        <w:spacing w:val="4"/>
        <w:sz w:val="20"/>
        <w:szCs w:val="16"/>
      </w:rPr>
      <w:fldChar w:fldCharType="begin"/>
    </w:r>
    <w:r w:rsidRPr="006B1EE2">
      <w:rPr>
        <w:rFonts w:ascii="Arial" w:hAnsi="Arial" w:cs="Arial"/>
        <w:b/>
        <w:spacing w:val="4"/>
        <w:sz w:val="20"/>
        <w:szCs w:val="16"/>
      </w:rPr>
      <w:instrText xml:space="preserve"> NUMPAGES </w:instrText>
    </w:r>
    <w:r w:rsidRPr="006B1EE2">
      <w:rPr>
        <w:rFonts w:ascii="Arial" w:hAnsi="Arial" w:cs="Arial"/>
        <w:b/>
        <w:spacing w:val="4"/>
        <w:sz w:val="20"/>
        <w:szCs w:val="16"/>
      </w:rPr>
      <w:fldChar w:fldCharType="separate"/>
    </w:r>
    <w:r w:rsidR="000D1664">
      <w:rPr>
        <w:rFonts w:ascii="Arial" w:hAnsi="Arial" w:cs="Arial"/>
        <w:b/>
        <w:noProof/>
        <w:spacing w:val="4"/>
        <w:sz w:val="20"/>
        <w:szCs w:val="16"/>
      </w:rPr>
      <w:t>15</w:t>
    </w:r>
    <w:r w:rsidRPr="006B1EE2">
      <w:rPr>
        <w:rFonts w:ascii="Arial" w:hAnsi="Arial" w:cs="Arial"/>
        <w:b/>
        <w:spacing w:val="4"/>
        <w:sz w:val="20"/>
        <w:szCs w:val="16"/>
      </w:rPr>
      <w:fldChar w:fldCharType="end"/>
    </w:r>
    <w:r w:rsidRPr="006B1EE2">
      <w:rPr>
        <w:rFonts w:ascii="Arial" w:hAnsi="Arial" w:cs="Arial"/>
        <w:color w:val="BFBFBF" w:themeColor="background1" w:themeShade="BF"/>
        <w:spacing w:val="4"/>
        <w:sz w:val="16"/>
        <w:szCs w:val="16"/>
      </w:rPr>
      <w:tab/>
    </w:r>
    <w:r w:rsidRPr="006B1EE2">
      <w:rPr>
        <w:rFonts w:ascii="Arial" w:hAnsi="Arial" w:cs="Arial"/>
        <w:color w:val="BFBFBF" w:themeColor="background1" w:themeShade="BF"/>
        <w:spacing w:val="4"/>
        <w:sz w:val="16"/>
        <w:szCs w:val="16"/>
      </w:rPr>
      <w:tab/>
    </w:r>
    <w:r w:rsidRPr="006B1EE2">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4"/>
          <w:sz w:val="16"/>
          <w:szCs w:val="16"/>
        </w:rPr>
        <w:id w:val="1416438857"/>
        <w:placeholder>
          <w:docPart w:val="7CAB9215C10440079273A30979D07489"/>
        </w:placeholder>
        <w:date w:fullDate="2018-03-21T00:00:00Z">
          <w:dateFormat w:val="dd-MMM-yyyy"/>
          <w:lid w:val="en-AU"/>
          <w:storeMappedDataAs w:val="dateTime"/>
          <w:calendar w:val="gregorian"/>
        </w:date>
      </w:sdtPr>
      <w:sdtEndPr/>
      <w:sdtContent>
        <w:r w:rsidR="007752D8">
          <w:rPr>
            <w:rFonts w:ascii="Arial" w:hAnsi="Arial" w:cs="Arial"/>
            <w:iCs/>
            <w:color w:val="BFBFBF" w:themeColor="background1" w:themeShade="BF"/>
            <w:spacing w:val="4"/>
            <w:sz w:val="16"/>
            <w:szCs w:val="16"/>
          </w:rPr>
          <w:t>21-Mar-2018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F6445" w14:textId="77777777" w:rsidR="008D2A85" w:rsidRDefault="008D2A85" w:rsidP="0072104F">
      <w:r>
        <w:separator/>
      </w:r>
    </w:p>
    <w:p w14:paraId="50969FA7" w14:textId="77777777" w:rsidR="008D2A85" w:rsidRDefault="008D2A85"/>
    <w:p w14:paraId="3D77BBC9" w14:textId="77777777" w:rsidR="008D2A85" w:rsidRDefault="008D2A85"/>
    <w:p w14:paraId="356BD9FF" w14:textId="77777777" w:rsidR="008D2A85" w:rsidRDefault="008D2A85" w:rsidP="00A34BFD"/>
    <w:p w14:paraId="0596EC86" w14:textId="77777777" w:rsidR="008D2A85" w:rsidRDefault="008D2A85" w:rsidP="00A34BFD"/>
  </w:footnote>
  <w:footnote w:type="continuationSeparator" w:id="0">
    <w:p w14:paraId="369AAD63" w14:textId="77777777" w:rsidR="008D2A85" w:rsidRDefault="008D2A85" w:rsidP="0072104F">
      <w:r>
        <w:continuationSeparator/>
      </w:r>
    </w:p>
    <w:p w14:paraId="66FA7A0A" w14:textId="77777777" w:rsidR="008D2A85" w:rsidRDefault="008D2A85"/>
    <w:p w14:paraId="3228D1FC" w14:textId="77777777" w:rsidR="008D2A85" w:rsidRDefault="008D2A85"/>
    <w:p w14:paraId="630C9027" w14:textId="77777777" w:rsidR="008D2A85" w:rsidRDefault="008D2A85" w:rsidP="00A34BFD"/>
    <w:p w14:paraId="74031FAD" w14:textId="77777777" w:rsidR="008D2A85" w:rsidRDefault="008D2A85" w:rsidP="00A34BFD"/>
  </w:footnote>
  <w:footnote w:type="continuationNotice" w:id="1">
    <w:p w14:paraId="4316674C" w14:textId="77777777" w:rsidR="008D2A85" w:rsidRDefault="008D2A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F928" w14:textId="524A8D88" w:rsidR="00A64026" w:rsidRPr="006B1EE2" w:rsidRDefault="00A64026" w:rsidP="00226556">
    <w:pPr>
      <w:pStyle w:val="Header"/>
      <w:pBdr>
        <w:bottom w:val="single" w:sz="4" w:space="1" w:color="DBE5F1" w:themeColor="accent1" w:themeTint="33"/>
      </w:pBdr>
      <w:tabs>
        <w:tab w:val="clear" w:pos="4153"/>
        <w:tab w:val="clear" w:pos="8306"/>
        <w:tab w:val="right" w:pos="9746"/>
      </w:tabs>
      <w:spacing w:after="160"/>
      <w:rPr>
        <w:rFonts w:ascii="Arial" w:hAnsi="Arial" w:cs="Arial"/>
        <w:b/>
        <w:color w:val="365F91" w:themeColor="accent1" w:themeShade="BF"/>
        <w:sz w:val="17"/>
        <w:szCs w:val="17"/>
      </w:rPr>
    </w:pPr>
    <w:r w:rsidRPr="006B1EE2">
      <w:rPr>
        <w:rFonts w:ascii="Arial" w:hAnsi="Arial" w:cs="Arial"/>
        <w:b/>
        <w:color w:val="365F91" w:themeColor="accent1" w:themeShade="BF"/>
        <w:sz w:val="14"/>
        <w:szCs w:val="14"/>
      </w:rPr>
      <w:tab/>
    </w:r>
    <w:r w:rsidRPr="006B1EE2">
      <w:rPr>
        <w:rFonts w:ascii="Arial" w:hAnsi="Arial" w:cs="Arial"/>
        <w:b/>
        <w:color w:val="365F91" w:themeColor="accent1" w:themeShade="BF"/>
        <w:sz w:val="17"/>
        <w:szCs w:val="17"/>
      </w:rPr>
      <w:t>Guidelines</w:t>
    </w:r>
    <w:r w:rsidRPr="006B1EE2">
      <w:rPr>
        <w:rFonts w:ascii="Arial" w:hAnsi="Arial" w:cs="Arial"/>
        <w:color w:val="365F91" w:themeColor="accent1" w:themeShade="BF"/>
        <w:sz w:val="17"/>
        <w:szCs w:val="17"/>
      </w:rPr>
      <w:t xml:space="preserve"> – </w:t>
    </w:r>
    <w:r>
      <w:rPr>
        <w:rFonts w:ascii="Arial" w:hAnsi="Arial" w:cs="Arial"/>
        <w:color w:val="365F91" w:themeColor="accent1" w:themeShade="BF"/>
        <w:sz w:val="17"/>
        <w:szCs w:val="17"/>
      </w:rPr>
      <w:t>Seagrass value assessment</w:t>
    </w:r>
    <w:r w:rsidRPr="006B1EE2">
      <w:rPr>
        <w:rFonts w:ascii="Arial" w:hAnsi="Arial" w:cs="Arial"/>
        <w:color w:val="365F91" w:themeColor="accent1" w:themeShade="BF"/>
        <w:sz w:val="17"/>
        <w:szCs w:val="17"/>
      </w:rPr>
      <w:t xml:space="preserve"> (v.</w:t>
    </w:r>
    <w:r>
      <w:rPr>
        <w:rFonts w:ascii="Arial" w:hAnsi="Arial" w:cs="Arial"/>
        <w:color w:val="365F91" w:themeColor="accent1" w:themeShade="BF"/>
        <w:sz w:val="17"/>
        <w:szCs w:val="17"/>
      </w:rPr>
      <w:t>0</w:t>
    </w:r>
    <w:r w:rsidRPr="006B1EE2">
      <w:rPr>
        <w:rFonts w:ascii="Arial" w:hAnsi="Arial" w:cs="Arial"/>
        <w:color w:val="365F91" w:themeColor="accent1" w:themeShade="BF"/>
        <w:sz w:val="17"/>
        <w:szCs w:val="17"/>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0BF50" w14:textId="3C83AC23" w:rsidR="00A64026" w:rsidRDefault="00A64026">
    <w:pPr>
      <w:pStyle w:val="Header"/>
    </w:pPr>
    <w:r>
      <w:rPr>
        <w:noProof/>
      </w:rPr>
      <mc:AlternateContent>
        <mc:Choice Requires="wps">
          <w:drawing>
            <wp:anchor distT="0" distB="0" distL="114300" distR="114300" simplePos="0" relativeHeight="251675648" behindDoc="0" locked="0" layoutInCell="1" allowOverlap="1" wp14:anchorId="616D517B" wp14:editId="72A9895B">
              <wp:simplePos x="0" y="0"/>
              <wp:positionH relativeFrom="margin">
                <wp:posOffset>-80046</wp:posOffset>
              </wp:positionH>
              <wp:positionV relativeFrom="paragraph">
                <wp:posOffset>770015</wp:posOffset>
              </wp:positionV>
              <wp:extent cx="6395133" cy="581025"/>
              <wp:effectExtent l="0" t="0" r="0" b="0"/>
              <wp:wrapNone/>
              <wp:docPr id="307" name="Text Box 2" descr="Document Title Box - Guidelines - Seagrass Impact Assessment in the Permission System" title="Document Title Box - Guidelines - Seagrass Impact Assessment in the Permission Syste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133" cy="581025"/>
                      </a:xfrm>
                      <a:prstGeom prst="rect">
                        <a:avLst/>
                      </a:prstGeom>
                      <a:noFill/>
                      <a:ln w="9525">
                        <a:noFill/>
                        <a:miter lim="800000"/>
                        <a:headEnd/>
                        <a:tailEnd/>
                      </a:ln>
                    </wps:spPr>
                    <wps:txbx>
                      <w:txbxContent>
                        <w:p w14:paraId="3F1FCCB6" w14:textId="6E53AD5D" w:rsidR="00A64026" w:rsidRPr="002A3683" w:rsidRDefault="00A64026" w:rsidP="00DB61A8">
                          <w:pPr>
                            <w:jc w:val="center"/>
                            <w:rPr>
                              <w:color w:val="1F497D" w:themeColor="text2"/>
                              <w:sz w:val="34"/>
                              <w:szCs w:val="34"/>
                            </w:rPr>
                          </w:pPr>
                          <w:r w:rsidRPr="002A3683">
                            <w:rPr>
                              <w:color w:val="1F497D" w:themeColor="text2"/>
                              <w:sz w:val="34"/>
                              <w:szCs w:val="34"/>
                            </w:rPr>
                            <w:t>Seagrass Value Assessment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6D517B" id="_x0000_t202" coordsize="21600,21600" o:spt="202" path="m,l,21600r21600,l21600,xe">
              <v:stroke joinstyle="miter"/>
              <v:path gradientshapeok="t" o:connecttype="rect"/>
            </v:shapetype>
            <v:shape id="Text Box 2" o:spid="_x0000_s1026" type="#_x0000_t202" alt="Title: Document Title Box - Guidelines - Seagrass Impact Assessment in the Permission System - Description: Document Title Box - Guidelines - Seagrass Impact Assessment in the Permission System" style="position:absolute;margin-left:-6.3pt;margin-top:60.65pt;width:503.55pt;height:4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" filled="f" stroked="f">
              <v:textbox>
                <w:txbxContent>
                  <w:p w14:paraId="3F1FCCB6" w14:textId="6E53AD5D" w:rsidR="00A64026" w:rsidRPr="002A3683" w:rsidRDefault="00A64026" w:rsidP="00DB61A8">
                    <w:pPr>
                      <w:jc w:val="center"/>
                      <w:rPr>
                        <w:color w:val="1F497D" w:themeColor="text2"/>
                        <w:sz w:val="34"/>
                        <w:szCs w:val="34"/>
                      </w:rPr>
                    </w:pPr>
                    <w:r w:rsidRPr="002A3683">
                      <w:rPr>
                        <w:color w:val="1F497D" w:themeColor="text2"/>
                        <w:sz w:val="34"/>
                        <w:szCs w:val="34"/>
                      </w:rPr>
                      <w:t>Seagrass Value Assessment</w:t>
                    </w:r>
                  </w:p>
                </w:txbxContent>
              </v:textbox>
              <w10:wrap anchorx="margin"/>
            </v:shape>
          </w:pict>
        </mc:Fallback>
      </mc:AlternateContent>
    </w:r>
    <w:r>
      <w:rPr>
        <w:noProof/>
      </w:rPr>
      <w:drawing>
        <wp:anchor distT="0" distB="0" distL="114300" distR="114300" simplePos="0" relativeHeight="251656192" behindDoc="0" locked="0" layoutInCell="1" allowOverlap="1" wp14:anchorId="29944CFF" wp14:editId="226F9275">
          <wp:simplePos x="0" y="0"/>
          <wp:positionH relativeFrom="page">
            <wp:posOffset>0</wp:posOffset>
          </wp:positionH>
          <wp:positionV relativeFrom="page">
            <wp:posOffset>0</wp:posOffset>
          </wp:positionV>
          <wp:extent cx="7614000" cy="1713600"/>
          <wp:effectExtent l="0" t="0" r="6350" b="1270"/>
          <wp:wrapSquare wrapText="bothSides"/>
          <wp:docPr id="5" name="Picture 5" descr="Guidelines_Header.jpg which includes the GBRMPA logo and the word Guidelines " title="guidelin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lines_Header.jpg"/>
                  <pic:cNvPicPr/>
                </pic:nvPicPr>
                <pic:blipFill>
                  <a:blip r:embed="rId1"/>
                  <a:stretch>
                    <a:fillRect/>
                  </a:stretch>
                </pic:blipFill>
                <pic:spPr>
                  <a:xfrm>
                    <a:off x="0" y="0"/>
                    <a:ext cx="7614000" cy="171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A0490" w14:textId="77777777" w:rsidR="00A64026" w:rsidRDefault="00A640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26064" w14:textId="77777777" w:rsidR="00A64026" w:rsidRDefault="00A64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528D"/>
    <w:multiLevelType w:val="hybridMultilevel"/>
    <w:tmpl w:val="815ADB76"/>
    <w:lvl w:ilvl="0" w:tplc="82A22394">
      <w:start w:val="1"/>
      <w:numFmt w:val="decimal"/>
      <w:lvlText w:val="%1."/>
      <w:lvlJc w:val="left"/>
      <w:pPr>
        <w:ind w:left="-906" w:hanging="360"/>
      </w:pPr>
    </w:lvl>
    <w:lvl w:ilvl="1" w:tplc="0C090019">
      <w:start w:val="1"/>
      <w:numFmt w:val="lowerLetter"/>
      <w:lvlText w:val="%2."/>
      <w:lvlJc w:val="left"/>
      <w:pPr>
        <w:ind w:left="174" w:hanging="360"/>
      </w:pPr>
    </w:lvl>
    <w:lvl w:ilvl="2" w:tplc="0C09001B" w:tentative="1">
      <w:start w:val="1"/>
      <w:numFmt w:val="lowerRoman"/>
      <w:lvlText w:val="%3."/>
      <w:lvlJc w:val="right"/>
      <w:pPr>
        <w:ind w:left="894" w:hanging="180"/>
      </w:pPr>
    </w:lvl>
    <w:lvl w:ilvl="3" w:tplc="0C09000F" w:tentative="1">
      <w:start w:val="1"/>
      <w:numFmt w:val="decimal"/>
      <w:lvlText w:val="%4."/>
      <w:lvlJc w:val="left"/>
      <w:pPr>
        <w:ind w:left="1614" w:hanging="360"/>
      </w:pPr>
    </w:lvl>
    <w:lvl w:ilvl="4" w:tplc="0C090019" w:tentative="1">
      <w:start w:val="1"/>
      <w:numFmt w:val="lowerLetter"/>
      <w:lvlText w:val="%5."/>
      <w:lvlJc w:val="left"/>
      <w:pPr>
        <w:ind w:left="2334" w:hanging="360"/>
      </w:pPr>
    </w:lvl>
    <w:lvl w:ilvl="5" w:tplc="0C09001B" w:tentative="1">
      <w:start w:val="1"/>
      <w:numFmt w:val="lowerRoman"/>
      <w:lvlText w:val="%6."/>
      <w:lvlJc w:val="right"/>
      <w:pPr>
        <w:ind w:left="3054" w:hanging="180"/>
      </w:pPr>
    </w:lvl>
    <w:lvl w:ilvl="6" w:tplc="0C09000F" w:tentative="1">
      <w:start w:val="1"/>
      <w:numFmt w:val="decimal"/>
      <w:lvlText w:val="%7."/>
      <w:lvlJc w:val="left"/>
      <w:pPr>
        <w:ind w:left="3774" w:hanging="360"/>
      </w:pPr>
    </w:lvl>
    <w:lvl w:ilvl="7" w:tplc="0C090019" w:tentative="1">
      <w:start w:val="1"/>
      <w:numFmt w:val="lowerLetter"/>
      <w:lvlText w:val="%8."/>
      <w:lvlJc w:val="left"/>
      <w:pPr>
        <w:ind w:left="4494" w:hanging="360"/>
      </w:pPr>
    </w:lvl>
    <w:lvl w:ilvl="8" w:tplc="0C09001B" w:tentative="1">
      <w:start w:val="1"/>
      <w:numFmt w:val="lowerRoman"/>
      <w:lvlText w:val="%9."/>
      <w:lvlJc w:val="right"/>
      <w:pPr>
        <w:ind w:left="5214" w:hanging="180"/>
      </w:pPr>
    </w:lvl>
  </w:abstractNum>
  <w:abstractNum w:abstractNumId="1" w15:restartNumberingAfterBreak="0">
    <w:nsid w:val="057171DB"/>
    <w:multiLevelType w:val="hybridMultilevel"/>
    <w:tmpl w:val="FE409768"/>
    <w:lvl w:ilvl="0" w:tplc="C60C3A04">
      <w:start w:val="3"/>
      <w:numFmt w:val="lowerLetter"/>
      <w:lvlText w:val="%1."/>
      <w:lvlJc w:val="left"/>
      <w:pPr>
        <w:ind w:left="1134" w:hanging="567"/>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6576D4"/>
    <w:multiLevelType w:val="multilevel"/>
    <w:tmpl w:val="5BC88A1E"/>
    <w:lvl w:ilvl="0">
      <w:start w:val="2"/>
      <w:numFmt w:val="decimal"/>
      <w:lvlText w:val="%1."/>
      <w:lvlJc w:val="left"/>
      <w:pPr>
        <w:ind w:left="567" w:hanging="567"/>
      </w:pPr>
      <w:rPr>
        <w:rFonts w:ascii="Arial" w:hAnsi="Arial" w:cs="Arial" w:hint="default"/>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8C64A3C"/>
    <w:multiLevelType w:val="hybridMultilevel"/>
    <w:tmpl w:val="A6DE4656"/>
    <w:lvl w:ilvl="0" w:tplc="BC8AA218">
      <w:start w:val="1"/>
      <w:numFmt w:val="decimal"/>
      <w:lvlText w:val="%1."/>
      <w:lvlJc w:val="left"/>
      <w:pPr>
        <w:ind w:left="360" w:hanging="360"/>
      </w:pPr>
      <w:rPr>
        <w:rFonts w:ascii="Arial" w:hAnsi="Arial" w:cs="Arial" w:hint="default"/>
        <w:b w:val="0"/>
        <w:sz w:val="20"/>
        <w:szCs w:val="20"/>
      </w:rPr>
    </w:lvl>
    <w:lvl w:ilvl="1" w:tplc="A2262C2A">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ABA3A66"/>
    <w:multiLevelType w:val="hybridMultilevel"/>
    <w:tmpl w:val="20081F84"/>
    <w:lvl w:ilvl="0" w:tplc="80246B3A">
      <w:start w:val="1"/>
      <w:numFmt w:val="lowerLetter"/>
      <w:lvlText w:val="%1."/>
      <w:lvlJc w:val="left"/>
      <w:pPr>
        <w:ind w:left="113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351091"/>
    <w:multiLevelType w:val="hybridMultilevel"/>
    <w:tmpl w:val="59708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660DA5"/>
    <w:multiLevelType w:val="multilevel"/>
    <w:tmpl w:val="32DC7A1A"/>
    <w:lvl w:ilvl="0">
      <w:start w:val="2"/>
      <w:numFmt w:val="decimal"/>
      <w:lvlText w:val="%1."/>
      <w:lvlJc w:val="left"/>
      <w:pPr>
        <w:ind w:left="567" w:hanging="567"/>
      </w:pPr>
      <w:rPr>
        <w:rFonts w:ascii="Arial" w:hAnsi="Arial" w:cs="Arial" w:hint="default"/>
        <w:i w:val="0"/>
        <w:color w:val="auto"/>
        <w:sz w:val="20"/>
        <w:szCs w:val="20"/>
      </w:rPr>
    </w:lvl>
    <w:lvl w:ilvl="1">
      <w:start w:val="1"/>
      <w:numFmt w:val="bullet"/>
      <w:lvlText w:val=""/>
      <w:lvlJc w:val="left"/>
      <w:pPr>
        <w:ind w:left="1134" w:hanging="567"/>
      </w:pPr>
      <w:rPr>
        <w:rFonts w:ascii="Symbol" w:hAnsi="Symbol"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175837D3"/>
    <w:multiLevelType w:val="multilevel"/>
    <w:tmpl w:val="54C80428"/>
    <w:lvl w:ilvl="0">
      <w:start w:val="2"/>
      <w:numFmt w:val="decimal"/>
      <w:lvlText w:val="%1."/>
      <w:lvlJc w:val="left"/>
      <w:pPr>
        <w:ind w:left="567" w:hanging="567"/>
      </w:pPr>
      <w:rPr>
        <w:rFonts w:ascii="Arial" w:hAnsi="Arial" w:cs="Arial" w:hint="default"/>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15:restartNumberingAfterBreak="0">
    <w:nsid w:val="196A26E2"/>
    <w:multiLevelType w:val="hybridMultilevel"/>
    <w:tmpl w:val="C4601364"/>
    <w:lvl w:ilvl="0" w:tplc="8AE876CE">
      <w:start w:val="3"/>
      <w:numFmt w:val="lowerLetter"/>
      <w:lvlText w:val="%1."/>
      <w:lvlJc w:val="left"/>
      <w:pPr>
        <w:ind w:left="656" w:hanging="360"/>
      </w:pPr>
      <w:rPr>
        <w:rFonts w:hint="default"/>
      </w:rPr>
    </w:lvl>
    <w:lvl w:ilvl="1" w:tplc="0C090003" w:tentative="1">
      <w:start w:val="1"/>
      <w:numFmt w:val="bullet"/>
      <w:lvlText w:val="o"/>
      <w:lvlJc w:val="left"/>
      <w:pPr>
        <w:ind w:left="1376" w:hanging="360"/>
      </w:pPr>
      <w:rPr>
        <w:rFonts w:ascii="Courier New" w:hAnsi="Courier New" w:cs="Courier New" w:hint="default"/>
      </w:rPr>
    </w:lvl>
    <w:lvl w:ilvl="2" w:tplc="0C090005" w:tentative="1">
      <w:start w:val="1"/>
      <w:numFmt w:val="bullet"/>
      <w:lvlText w:val=""/>
      <w:lvlJc w:val="left"/>
      <w:pPr>
        <w:ind w:left="2096" w:hanging="360"/>
      </w:pPr>
      <w:rPr>
        <w:rFonts w:ascii="Wingdings" w:hAnsi="Wingdings" w:hint="default"/>
      </w:rPr>
    </w:lvl>
    <w:lvl w:ilvl="3" w:tplc="0C090001" w:tentative="1">
      <w:start w:val="1"/>
      <w:numFmt w:val="bullet"/>
      <w:lvlText w:val=""/>
      <w:lvlJc w:val="left"/>
      <w:pPr>
        <w:ind w:left="2816" w:hanging="360"/>
      </w:pPr>
      <w:rPr>
        <w:rFonts w:ascii="Symbol" w:hAnsi="Symbol" w:hint="default"/>
      </w:rPr>
    </w:lvl>
    <w:lvl w:ilvl="4" w:tplc="0C090003" w:tentative="1">
      <w:start w:val="1"/>
      <w:numFmt w:val="bullet"/>
      <w:lvlText w:val="o"/>
      <w:lvlJc w:val="left"/>
      <w:pPr>
        <w:ind w:left="3536" w:hanging="360"/>
      </w:pPr>
      <w:rPr>
        <w:rFonts w:ascii="Courier New" w:hAnsi="Courier New" w:cs="Courier New" w:hint="default"/>
      </w:rPr>
    </w:lvl>
    <w:lvl w:ilvl="5" w:tplc="0C090005" w:tentative="1">
      <w:start w:val="1"/>
      <w:numFmt w:val="bullet"/>
      <w:lvlText w:val=""/>
      <w:lvlJc w:val="left"/>
      <w:pPr>
        <w:ind w:left="4256" w:hanging="360"/>
      </w:pPr>
      <w:rPr>
        <w:rFonts w:ascii="Wingdings" w:hAnsi="Wingdings" w:hint="default"/>
      </w:rPr>
    </w:lvl>
    <w:lvl w:ilvl="6" w:tplc="0C090001" w:tentative="1">
      <w:start w:val="1"/>
      <w:numFmt w:val="bullet"/>
      <w:lvlText w:val=""/>
      <w:lvlJc w:val="left"/>
      <w:pPr>
        <w:ind w:left="4976" w:hanging="360"/>
      </w:pPr>
      <w:rPr>
        <w:rFonts w:ascii="Symbol" w:hAnsi="Symbol" w:hint="default"/>
      </w:rPr>
    </w:lvl>
    <w:lvl w:ilvl="7" w:tplc="0C090003" w:tentative="1">
      <w:start w:val="1"/>
      <w:numFmt w:val="bullet"/>
      <w:lvlText w:val="o"/>
      <w:lvlJc w:val="left"/>
      <w:pPr>
        <w:ind w:left="5696" w:hanging="360"/>
      </w:pPr>
      <w:rPr>
        <w:rFonts w:ascii="Courier New" w:hAnsi="Courier New" w:cs="Courier New" w:hint="default"/>
      </w:rPr>
    </w:lvl>
    <w:lvl w:ilvl="8" w:tplc="0C090005" w:tentative="1">
      <w:start w:val="1"/>
      <w:numFmt w:val="bullet"/>
      <w:lvlText w:val=""/>
      <w:lvlJc w:val="left"/>
      <w:pPr>
        <w:ind w:left="6416" w:hanging="360"/>
      </w:pPr>
      <w:rPr>
        <w:rFonts w:ascii="Wingdings" w:hAnsi="Wingdings" w:hint="default"/>
      </w:rPr>
    </w:lvl>
  </w:abstractNum>
  <w:abstractNum w:abstractNumId="9" w15:restartNumberingAfterBreak="0">
    <w:nsid w:val="1C7F7D98"/>
    <w:multiLevelType w:val="hybridMultilevel"/>
    <w:tmpl w:val="D7A67D9A"/>
    <w:lvl w:ilvl="0" w:tplc="24D2EC54">
      <w:start w:val="1"/>
      <w:numFmt w:val="bullet"/>
      <w:lvlText w:val=""/>
      <w:lvlJc w:val="left"/>
      <w:pPr>
        <w:ind w:left="360" w:hanging="360"/>
      </w:pPr>
      <w:rPr>
        <w:rFonts w:ascii="Symbol" w:hAnsi="Symbol" w:hint="default"/>
        <w:sz w:val="18"/>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E7F3407"/>
    <w:multiLevelType w:val="multilevel"/>
    <w:tmpl w:val="09D2024C"/>
    <w:lvl w:ilvl="0">
      <w:start w:val="1"/>
      <w:numFmt w:val="decimal"/>
      <w:lvlText w:val="%1."/>
      <w:lvlJc w:val="left"/>
      <w:pPr>
        <w:ind w:left="567" w:hanging="567"/>
      </w:pPr>
      <w:rPr>
        <w:rFonts w:ascii="Arial" w:hAnsi="Arial" w:cs="Arial" w:hint="default"/>
        <w:i w:val="0"/>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15:restartNumberingAfterBreak="0">
    <w:nsid w:val="1ECB18B3"/>
    <w:multiLevelType w:val="hybridMultilevel"/>
    <w:tmpl w:val="290C13BC"/>
    <w:lvl w:ilvl="0" w:tplc="D464BE0A">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3804F0"/>
    <w:multiLevelType w:val="hybridMultilevel"/>
    <w:tmpl w:val="B358B444"/>
    <w:lvl w:ilvl="0" w:tplc="0C090001">
      <w:start w:val="1"/>
      <w:numFmt w:val="bullet"/>
      <w:lvlText w:val=""/>
      <w:lvlJc w:val="left"/>
      <w:pPr>
        <w:ind w:left="1134" w:hanging="567"/>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3243B2"/>
    <w:multiLevelType w:val="hybridMultilevel"/>
    <w:tmpl w:val="6F4A0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3F4B59"/>
    <w:multiLevelType w:val="multilevel"/>
    <w:tmpl w:val="5BC88A1E"/>
    <w:lvl w:ilvl="0">
      <w:start w:val="2"/>
      <w:numFmt w:val="decimal"/>
      <w:lvlText w:val="%1."/>
      <w:lvlJc w:val="left"/>
      <w:pPr>
        <w:ind w:left="567" w:hanging="567"/>
      </w:pPr>
      <w:rPr>
        <w:rFonts w:ascii="Arial" w:hAnsi="Arial" w:cs="Arial" w:hint="default"/>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2B9C2C47"/>
    <w:multiLevelType w:val="hybridMultilevel"/>
    <w:tmpl w:val="F8568D36"/>
    <w:lvl w:ilvl="0" w:tplc="627A7FCA">
      <w:start w:val="3"/>
      <w:numFmt w:val="lowerLetter"/>
      <w:lvlText w:val="%1."/>
      <w:lvlJc w:val="left"/>
      <w:pPr>
        <w:ind w:left="1134" w:hanging="567"/>
      </w:pPr>
      <w:rPr>
        <w:rFonts w:hint="default"/>
      </w:rPr>
    </w:lvl>
    <w:lvl w:ilvl="1" w:tplc="0C090003" w:tentative="1">
      <w:start w:val="1"/>
      <w:numFmt w:val="bullet"/>
      <w:lvlText w:val="o"/>
      <w:lvlJc w:val="left"/>
      <w:pPr>
        <w:ind w:left="1376" w:hanging="360"/>
      </w:pPr>
      <w:rPr>
        <w:rFonts w:ascii="Courier New" w:hAnsi="Courier New" w:cs="Courier New" w:hint="default"/>
      </w:rPr>
    </w:lvl>
    <w:lvl w:ilvl="2" w:tplc="0C090005" w:tentative="1">
      <w:start w:val="1"/>
      <w:numFmt w:val="bullet"/>
      <w:lvlText w:val=""/>
      <w:lvlJc w:val="left"/>
      <w:pPr>
        <w:ind w:left="2096" w:hanging="360"/>
      </w:pPr>
      <w:rPr>
        <w:rFonts w:ascii="Wingdings" w:hAnsi="Wingdings" w:hint="default"/>
      </w:rPr>
    </w:lvl>
    <w:lvl w:ilvl="3" w:tplc="0C090001" w:tentative="1">
      <w:start w:val="1"/>
      <w:numFmt w:val="bullet"/>
      <w:lvlText w:val=""/>
      <w:lvlJc w:val="left"/>
      <w:pPr>
        <w:ind w:left="2816" w:hanging="360"/>
      </w:pPr>
      <w:rPr>
        <w:rFonts w:ascii="Symbol" w:hAnsi="Symbol" w:hint="default"/>
      </w:rPr>
    </w:lvl>
    <w:lvl w:ilvl="4" w:tplc="0C090003" w:tentative="1">
      <w:start w:val="1"/>
      <w:numFmt w:val="bullet"/>
      <w:lvlText w:val="o"/>
      <w:lvlJc w:val="left"/>
      <w:pPr>
        <w:ind w:left="3536" w:hanging="360"/>
      </w:pPr>
      <w:rPr>
        <w:rFonts w:ascii="Courier New" w:hAnsi="Courier New" w:cs="Courier New" w:hint="default"/>
      </w:rPr>
    </w:lvl>
    <w:lvl w:ilvl="5" w:tplc="0C090005" w:tentative="1">
      <w:start w:val="1"/>
      <w:numFmt w:val="bullet"/>
      <w:lvlText w:val=""/>
      <w:lvlJc w:val="left"/>
      <w:pPr>
        <w:ind w:left="4256" w:hanging="360"/>
      </w:pPr>
      <w:rPr>
        <w:rFonts w:ascii="Wingdings" w:hAnsi="Wingdings" w:hint="default"/>
      </w:rPr>
    </w:lvl>
    <w:lvl w:ilvl="6" w:tplc="0C090001" w:tentative="1">
      <w:start w:val="1"/>
      <w:numFmt w:val="bullet"/>
      <w:lvlText w:val=""/>
      <w:lvlJc w:val="left"/>
      <w:pPr>
        <w:ind w:left="4976" w:hanging="360"/>
      </w:pPr>
      <w:rPr>
        <w:rFonts w:ascii="Symbol" w:hAnsi="Symbol" w:hint="default"/>
      </w:rPr>
    </w:lvl>
    <w:lvl w:ilvl="7" w:tplc="0C090003" w:tentative="1">
      <w:start w:val="1"/>
      <w:numFmt w:val="bullet"/>
      <w:lvlText w:val="o"/>
      <w:lvlJc w:val="left"/>
      <w:pPr>
        <w:ind w:left="5696" w:hanging="360"/>
      </w:pPr>
      <w:rPr>
        <w:rFonts w:ascii="Courier New" w:hAnsi="Courier New" w:cs="Courier New" w:hint="default"/>
      </w:rPr>
    </w:lvl>
    <w:lvl w:ilvl="8" w:tplc="0C090005" w:tentative="1">
      <w:start w:val="1"/>
      <w:numFmt w:val="bullet"/>
      <w:lvlText w:val=""/>
      <w:lvlJc w:val="left"/>
      <w:pPr>
        <w:ind w:left="6416" w:hanging="360"/>
      </w:pPr>
      <w:rPr>
        <w:rFonts w:ascii="Wingdings" w:hAnsi="Wingdings" w:hint="default"/>
      </w:rPr>
    </w:lvl>
  </w:abstractNum>
  <w:abstractNum w:abstractNumId="16" w15:restartNumberingAfterBreak="0">
    <w:nsid w:val="2BCF6825"/>
    <w:multiLevelType w:val="multilevel"/>
    <w:tmpl w:val="4634AC6E"/>
    <w:lvl w:ilvl="0">
      <w:start w:val="2"/>
      <w:numFmt w:val="decimal"/>
      <w:lvlText w:val="%1."/>
      <w:lvlJc w:val="left"/>
      <w:pPr>
        <w:ind w:left="567" w:hanging="567"/>
      </w:pPr>
      <w:rPr>
        <w:rFonts w:ascii="Arial" w:hAnsi="Arial" w:cs="Arial" w:hint="default"/>
        <w:i w:val="0"/>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2F631B14"/>
    <w:multiLevelType w:val="hybridMultilevel"/>
    <w:tmpl w:val="2E0E376E"/>
    <w:lvl w:ilvl="0" w:tplc="C33C4FB6">
      <w:start w:val="1"/>
      <w:numFmt w:val="lowerLetter"/>
      <w:lvlText w:val="%1."/>
      <w:lvlJc w:val="left"/>
      <w:pPr>
        <w:ind w:left="113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9E7848"/>
    <w:multiLevelType w:val="multilevel"/>
    <w:tmpl w:val="5BC88A1E"/>
    <w:lvl w:ilvl="0">
      <w:start w:val="2"/>
      <w:numFmt w:val="decimal"/>
      <w:lvlText w:val="%1."/>
      <w:lvlJc w:val="left"/>
      <w:pPr>
        <w:ind w:left="567" w:hanging="567"/>
      </w:pPr>
      <w:rPr>
        <w:rFonts w:ascii="Arial" w:hAnsi="Arial" w:cs="Arial" w:hint="default"/>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15:restartNumberingAfterBreak="0">
    <w:nsid w:val="2FE347A2"/>
    <w:multiLevelType w:val="hybridMultilevel"/>
    <w:tmpl w:val="90C6906E"/>
    <w:lvl w:ilvl="0" w:tplc="D896A7FA">
      <w:start w:val="3"/>
      <w:numFmt w:val="lowerLetter"/>
      <w:lvlText w:val="%1."/>
      <w:lvlJc w:val="left"/>
      <w:pPr>
        <w:ind w:left="1134" w:hanging="567"/>
      </w:pPr>
      <w:rPr>
        <w:rFonts w:hint="default"/>
      </w:rPr>
    </w:lvl>
    <w:lvl w:ilvl="1" w:tplc="0C090003" w:tentative="1">
      <w:start w:val="1"/>
      <w:numFmt w:val="bullet"/>
      <w:lvlText w:val="o"/>
      <w:lvlJc w:val="left"/>
      <w:pPr>
        <w:ind w:left="1376" w:hanging="360"/>
      </w:pPr>
      <w:rPr>
        <w:rFonts w:ascii="Courier New" w:hAnsi="Courier New" w:cs="Courier New" w:hint="default"/>
      </w:rPr>
    </w:lvl>
    <w:lvl w:ilvl="2" w:tplc="0C090005" w:tentative="1">
      <w:start w:val="1"/>
      <w:numFmt w:val="bullet"/>
      <w:lvlText w:val=""/>
      <w:lvlJc w:val="left"/>
      <w:pPr>
        <w:ind w:left="2096" w:hanging="360"/>
      </w:pPr>
      <w:rPr>
        <w:rFonts w:ascii="Wingdings" w:hAnsi="Wingdings" w:hint="default"/>
      </w:rPr>
    </w:lvl>
    <w:lvl w:ilvl="3" w:tplc="0C090001" w:tentative="1">
      <w:start w:val="1"/>
      <w:numFmt w:val="bullet"/>
      <w:lvlText w:val=""/>
      <w:lvlJc w:val="left"/>
      <w:pPr>
        <w:ind w:left="2816" w:hanging="360"/>
      </w:pPr>
      <w:rPr>
        <w:rFonts w:ascii="Symbol" w:hAnsi="Symbol" w:hint="default"/>
      </w:rPr>
    </w:lvl>
    <w:lvl w:ilvl="4" w:tplc="0C090003" w:tentative="1">
      <w:start w:val="1"/>
      <w:numFmt w:val="bullet"/>
      <w:lvlText w:val="o"/>
      <w:lvlJc w:val="left"/>
      <w:pPr>
        <w:ind w:left="3536" w:hanging="360"/>
      </w:pPr>
      <w:rPr>
        <w:rFonts w:ascii="Courier New" w:hAnsi="Courier New" w:cs="Courier New" w:hint="default"/>
      </w:rPr>
    </w:lvl>
    <w:lvl w:ilvl="5" w:tplc="0C090005" w:tentative="1">
      <w:start w:val="1"/>
      <w:numFmt w:val="bullet"/>
      <w:lvlText w:val=""/>
      <w:lvlJc w:val="left"/>
      <w:pPr>
        <w:ind w:left="4256" w:hanging="360"/>
      </w:pPr>
      <w:rPr>
        <w:rFonts w:ascii="Wingdings" w:hAnsi="Wingdings" w:hint="default"/>
      </w:rPr>
    </w:lvl>
    <w:lvl w:ilvl="6" w:tplc="0C090001" w:tentative="1">
      <w:start w:val="1"/>
      <w:numFmt w:val="bullet"/>
      <w:lvlText w:val=""/>
      <w:lvlJc w:val="left"/>
      <w:pPr>
        <w:ind w:left="4976" w:hanging="360"/>
      </w:pPr>
      <w:rPr>
        <w:rFonts w:ascii="Symbol" w:hAnsi="Symbol" w:hint="default"/>
      </w:rPr>
    </w:lvl>
    <w:lvl w:ilvl="7" w:tplc="0C090003" w:tentative="1">
      <w:start w:val="1"/>
      <w:numFmt w:val="bullet"/>
      <w:lvlText w:val="o"/>
      <w:lvlJc w:val="left"/>
      <w:pPr>
        <w:ind w:left="5696" w:hanging="360"/>
      </w:pPr>
      <w:rPr>
        <w:rFonts w:ascii="Courier New" w:hAnsi="Courier New" w:cs="Courier New" w:hint="default"/>
      </w:rPr>
    </w:lvl>
    <w:lvl w:ilvl="8" w:tplc="0C090005" w:tentative="1">
      <w:start w:val="1"/>
      <w:numFmt w:val="bullet"/>
      <w:lvlText w:val=""/>
      <w:lvlJc w:val="left"/>
      <w:pPr>
        <w:ind w:left="6416" w:hanging="360"/>
      </w:pPr>
      <w:rPr>
        <w:rFonts w:ascii="Wingdings" w:hAnsi="Wingdings" w:hint="default"/>
      </w:rPr>
    </w:lvl>
  </w:abstractNum>
  <w:abstractNum w:abstractNumId="20" w15:restartNumberingAfterBreak="0">
    <w:nsid w:val="30CD5CB1"/>
    <w:multiLevelType w:val="hybridMultilevel"/>
    <w:tmpl w:val="77AEDF18"/>
    <w:lvl w:ilvl="0" w:tplc="0C090001">
      <w:start w:val="1"/>
      <w:numFmt w:val="bullet"/>
      <w:lvlText w:val=""/>
      <w:lvlJc w:val="left"/>
      <w:pPr>
        <w:ind w:left="656" w:hanging="360"/>
      </w:pPr>
      <w:rPr>
        <w:rFonts w:ascii="Symbol" w:hAnsi="Symbol" w:hint="default"/>
      </w:rPr>
    </w:lvl>
    <w:lvl w:ilvl="1" w:tplc="0C090003" w:tentative="1">
      <w:start w:val="1"/>
      <w:numFmt w:val="bullet"/>
      <w:lvlText w:val="o"/>
      <w:lvlJc w:val="left"/>
      <w:pPr>
        <w:ind w:left="1376" w:hanging="360"/>
      </w:pPr>
      <w:rPr>
        <w:rFonts w:ascii="Courier New" w:hAnsi="Courier New" w:cs="Courier New" w:hint="default"/>
      </w:rPr>
    </w:lvl>
    <w:lvl w:ilvl="2" w:tplc="0C090005" w:tentative="1">
      <w:start w:val="1"/>
      <w:numFmt w:val="bullet"/>
      <w:lvlText w:val=""/>
      <w:lvlJc w:val="left"/>
      <w:pPr>
        <w:ind w:left="2096" w:hanging="360"/>
      </w:pPr>
      <w:rPr>
        <w:rFonts w:ascii="Wingdings" w:hAnsi="Wingdings" w:hint="default"/>
      </w:rPr>
    </w:lvl>
    <w:lvl w:ilvl="3" w:tplc="0C090001" w:tentative="1">
      <w:start w:val="1"/>
      <w:numFmt w:val="bullet"/>
      <w:lvlText w:val=""/>
      <w:lvlJc w:val="left"/>
      <w:pPr>
        <w:ind w:left="2816" w:hanging="360"/>
      </w:pPr>
      <w:rPr>
        <w:rFonts w:ascii="Symbol" w:hAnsi="Symbol" w:hint="default"/>
      </w:rPr>
    </w:lvl>
    <w:lvl w:ilvl="4" w:tplc="0C090003" w:tentative="1">
      <w:start w:val="1"/>
      <w:numFmt w:val="bullet"/>
      <w:lvlText w:val="o"/>
      <w:lvlJc w:val="left"/>
      <w:pPr>
        <w:ind w:left="3536" w:hanging="360"/>
      </w:pPr>
      <w:rPr>
        <w:rFonts w:ascii="Courier New" w:hAnsi="Courier New" w:cs="Courier New" w:hint="default"/>
      </w:rPr>
    </w:lvl>
    <w:lvl w:ilvl="5" w:tplc="0C090005" w:tentative="1">
      <w:start w:val="1"/>
      <w:numFmt w:val="bullet"/>
      <w:lvlText w:val=""/>
      <w:lvlJc w:val="left"/>
      <w:pPr>
        <w:ind w:left="4256" w:hanging="360"/>
      </w:pPr>
      <w:rPr>
        <w:rFonts w:ascii="Wingdings" w:hAnsi="Wingdings" w:hint="default"/>
      </w:rPr>
    </w:lvl>
    <w:lvl w:ilvl="6" w:tplc="0C090001" w:tentative="1">
      <w:start w:val="1"/>
      <w:numFmt w:val="bullet"/>
      <w:lvlText w:val=""/>
      <w:lvlJc w:val="left"/>
      <w:pPr>
        <w:ind w:left="4976" w:hanging="360"/>
      </w:pPr>
      <w:rPr>
        <w:rFonts w:ascii="Symbol" w:hAnsi="Symbol" w:hint="default"/>
      </w:rPr>
    </w:lvl>
    <w:lvl w:ilvl="7" w:tplc="0C090003" w:tentative="1">
      <w:start w:val="1"/>
      <w:numFmt w:val="bullet"/>
      <w:lvlText w:val="o"/>
      <w:lvlJc w:val="left"/>
      <w:pPr>
        <w:ind w:left="5696" w:hanging="360"/>
      </w:pPr>
      <w:rPr>
        <w:rFonts w:ascii="Courier New" w:hAnsi="Courier New" w:cs="Courier New" w:hint="default"/>
      </w:rPr>
    </w:lvl>
    <w:lvl w:ilvl="8" w:tplc="0C090005" w:tentative="1">
      <w:start w:val="1"/>
      <w:numFmt w:val="bullet"/>
      <w:lvlText w:val=""/>
      <w:lvlJc w:val="left"/>
      <w:pPr>
        <w:ind w:left="6416" w:hanging="360"/>
      </w:pPr>
      <w:rPr>
        <w:rFonts w:ascii="Wingdings" w:hAnsi="Wingdings" w:hint="default"/>
      </w:rPr>
    </w:lvl>
  </w:abstractNum>
  <w:abstractNum w:abstractNumId="21" w15:restartNumberingAfterBreak="0">
    <w:nsid w:val="324E0687"/>
    <w:multiLevelType w:val="multilevel"/>
    <w:tmpl w:val="BF5809D2"/>
    <w:lvl w:ilvl="0">
      <w:start w:val="77"/>
      <w:numFmt w:val="decimal"/>
      <w:lvlText w:val="%1."/>
      <w:lvlJc w:val="left"/>
      <w:pPr>
        <w:ind w:left="567" w:hanging="567"/>
      </w:pPr>
      <w:rPr>
        <w:rFonts w:hint="default"/>
        <w:b w:val="0"/>
        <w:i w:val="0"/>
        <w:color w:val="auto"/>
        <w:sz w:val="20"/>
        <w:szCs w:val="20"/>
      </w:rPr>
    </w:lvl>
    <w:lvl w:ilvl="1">
      <w:start w:val="69"/>
      <w:numFmt w:val="decimal"/>
      <w:lvlText w:val="%2.4"/>
      <w:lvlJc w:val="left"/>
      <w:pPr>
        <w:ind w:left="1134" w:hanging="567"/>
      </w:pPr>
      <w:rPr>
        <w:rFonts w:hint="default"/>
        <w:i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357B6820"/>
    <w:multiLevelType w:val="hybridMultilevel"/>
    <w:tmpl w:val="36F24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5827E1A"/>
    <w:multiLevelType w:val="hybridMultilevel"/>
    <w:tmpl w:val="1444C9AA"/>
    <w:lvl w:ilvl="0" w:tplc="B20AC99E">
      <w:start w:val="1"/>
      <w:numFmt w:val="lowerLetter"/>
      <w:lvlText w:val="%1."/>
      <w:lvlJc w:val="left"/>
      <w:pPr>
        <w:ind w:left="113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FA72A4"/>
    <w:multiLevelType w:val="hybridMultilevel"/>
    <w:tmpl w:val="B20C2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225FEF"/>
    <w:multiLevelType w:val="hybridMultilevel"/>
    <w:tmpl w:val="EDA444C4"/>
    <w:lvl w:ilvl="0" w:tplc="8A56A712">
      <w:start w:val="1"/>
      <w:numFmt w:val="bullet"/>
      <w:pStyle w:val="DefinitionPoints"/>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15:restartNumberingAfterBreak="0">
    <w:nsid w:val="3F65444C"/>
    <w:multiLevelType w:val="hybridMultilevel"/>
    <w:tmpl w:val="FAD0C942"/>
    <w:lvl w:ilvl="0" w:tplc="93106DFA">
      <w:start w:val="1"/>
      <w:numFmt w:val="decimal"/>
      <w:pStyle w:val="NoSpacing"/>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1192BA2"/>
    <w:multiLevelType w:val="hybridMultilevel"/>
    <w:tmpl w:val="B1CEC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9EF0C07"/>
    <w:multiLevelType w:val="multilevel"/>
    <w:tmpl w:val="54C80428"/>
    <w:lvl w:ilvl="0">
      <w:start w:val="2"/>
      <w:numFmt w:val="decimal"/>
      <w:lvlText w:val="%1."/>
      <w:lvlJc w:val="left"/>
      <w:pPr>
        <w:ind w:left="567" w:hanging="567"/>
      </w:pPr>
      <w:rPr>
        <w:rFonts w:ascii="Arial" w:hAnsi="Arial" w:cs="Arial" w:hint="default"/>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9" w15:restartNumberingAfterBreak="0">
    <w:nsid w:val="526816BF"/>
    <w:multiLevelType w:val="hybridMultilevel"/>
    <w:tmpl w:val="88B07384"/>
    <w:lvl w:ilvl="0" w:tplc="E99CA52C">
      <w:start w:val="1"/>
      <w:numFmt w:val="lowerLetter"/>
      <w:pStyle w:val="SubpointsAlpha"/>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90334E"/>
    <w:multiLevelType w:val="hybridMultilevel"/>
    <w:tmpl w:val="F8F2110A"/>
    <w:lvl w:ilvl="0" w:tplc="073A8924">
      <w:start w:val="1"/>
      <w:numFmt w:val="lowerLetter"/>
      <w:lvlText w:val="%1."/>
      <w:lvlJc w:val="left"/>
      <w:pPr>
        <w:ind w:left="113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CF0CD6"/>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A528C8"/>
    <w:multiLevelType w:val="hybridMultilevel"/>
    <w:tmpl w:val="77CC6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741F44"/>
    <w:multiLevelType w:val="multilevel"/>
    <w:tmpl w:val="6C149BD2"/>
    <w:lvl w:ilvl="0">
      <w:start w:val="1"/>
      <w:numFmt w:val="decimal"/>
      <w:lvlText w:val="%1."/>
      <w:lvlJc w:val="left"/>
      <w:pPr>
        <w:ind w:left="567" w:hanging="567"/>
      </w:pPr>
      <w:rPr>
        <w:rFonts w:hint="default"/>
        <w:b w:val="0"/>
        <w:i w:val="0"/>
        <w:color w:val="auto"/>
        <w:sz w:val="20"/>
        <w:szCs w:val="20"/>
      </w:rPr>
    </w:lvl>
    <w:lvl w:ilvl="1">
      <w:start w:val="1"/>
      <w:numFmt w:val="decimal"/>
      <w:lvlText w:val="%2."/>
      <w:lvlJc w:val="left"/>
      <w:pPr>
        <w:ind w:left="1134" w:hanging="567"/>
      </w:pPr>
      <w:rPr>
        <w:rFonts w:hint="default"/>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4" w15:restartNumberingAfterBreak="0">
    <w:nsid w:val="5FE93B48"/>
    <w:multiLevelType w:val="hybridMultilevel"/>
    <w:tmpl w:val="D5709F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0986089"/>
    <w:multiLevelType w:val="hybridMultilevel"/>
    <w:tmpl w:val="62BE9FF2"/>
    <w:lvl w:ilvl="0" w:tplc="FEEE75AC">
      <w:start w:val="1"/>
      <w:numFmt w:val="lowerLetter"/>
      <w:lvlText w:val="%1."/>
      <w:lvlJc w:val="left"/>
      <w:pPr>
        <w:ind w:left="113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DD27DD"/>
    <w:multiLevelType w:val="hybridMultilevel"/>
    <w:tmpl w:val="7D467D76"/>
    <w:lvl w:ilvl="0" w:tplc="9954C106">
      <w:start w:val="1"/>
      <w:numFmt w:val="decimal"/>
      <w:pStyle w:val="SupportingInforma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074587"/>
    <w:multiLevelType w:val="hybridMultilevel"/>
    <w:tmpl w:val="CD606DB6"/>
    <w:lvl w:ilvl="0" w:tplc="14E88006">
      <w:start w:val="1"/>
      <w:numFmt w:val="decimal"/>
      <w:lvlText w:val="%1."/>
      <w:lvlJc w:val="left"/>
      <w:pPr>
        <w:ind w:left="567" w:hanging="567"/>
      </w:pPr>
      <w:rPr>
        <w:rFonts w:hint="default"/>
        <w:b w:val="0"/>
        <w:i w:val="0"/>
      </w:rPr>
    </w:lvl>
    <w:lvl w:ilvl="1" w:tplc="208CEAC0">
      <w:start w:val="1"/>
      <w:numFmt w:val="lowerLetter"/>
      <w:lvlText w:val="%2."/>
      <w:lvlJc w:val="left"/>
      <w:pPr>
        <w:ind w:left="1069" w:hanging="360"/>
      </w:pPr>
      <w:rPr>
        <w:b w:val="0"/>
        <w:i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6CC22F15"/>
    <w:multiLevelType w:val="multilevel"/>
    <w:tmpl w:val="5BC88A1E"/>
    <w:lvl w:ilvl="0">
      <w:start w:val="2"/>
      <w:numFmt w:val="decimal"/>
      <w:lvlText w:val="%1."/>
      <w:lvlJc w:val="left"/>
      <w:pPr>
        <w:ind w:left="567" w:hanging="567"/>
      </w:pPr>
      <w:rPr>
        <w:rFonts w:ascii="Arial" w:hAnsi="Arial" w:cs="Arial" w:hint="default"/>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9" w15:restartNumberingAfterBreak="0">
    <w:nsid w:val="7291085B"/>
    <w:multiLevelType w:val="hybridMultilevel"/>
    <w:tmpl w:val="60B446D6"/>
    <w:lvl w:ilvl="0" w:tplc="8AE876CE">
      <w:start w:val="3"/>
      <w:numFmt w:val="lowerLetter"/>
      <w:lvlText w:val="%1."/>
      <w:lvlJc w:val="left"/>
      <w:pPr>
        <w:ind w:left="656" w:hanging="360"/>
      </w:pPr>
      <w:rPr>
        <w:rFonts w:hint="default"/>
      </w:rPr>
    </w:lvl>
    <w:lvl w:ilvl="1" w:tplc="0C090003" w:tentative="1">
      <w:start w:val="1"/>
      <w:numFmt w:val="bullet"/>
      <w:lvlText w:val="o"/>
      <w:lvlJc w:val="left"/>
      <w:pPr>
        <w:ind w:left="1376" w:hanging="360"/>
      </w:pPr>
      <w:rPr>
        <w:rFonts w:ascii="Courier New" w:hAnsi="Courier New" w:cs="Courier New" w:hint="default"/>
      </w:rPr>
    </w:lvl>
    <w:lvl w:ilvl="2" w:tplc="0C090005" w:tentative="1">
      <w:start w:val="1"/>
      <w:numFmt w:val="bullet"/>
      <w:lvlText w:val=""/>
      <w:lvlJc w:val="left"/>
      <w:pPr>
        <w:ind w:left="2096" w:hanging="360"/>
      </w:pPr>
      <w:rPr>
        <w:rFonts w:ascii="Wingdings" w:hAnsi="Wingdings" w:hint="default"/>
      </w:rPr>
    </w:lvl>
    <w:lvl w:ilvl="3" w:tplc="0C090001" w:tentative="1">
      <w:start w:val="1"/>
      <w:numFmt w:val="bullet"/>
      <w:lvlText w:val=""/>
      <w:lvlJc w:val="left"/>
      <w:pPr>
        <w:ind w:left="2816" w:hanging="360"/>
      </w:pPr>
      <w:rPr>
        <w:rFonts w:ascii="Symbol" w:hAnsi="Symbol" w:hint="default"/>
      </w:rPr>
    </w:lvl>
    <w:lvl w:ilvl="4" w:tplc="0C090003" w:tentative="1">
      <w:start w:val="1"/>
      <w:numFmt w:val="bullet"/>
      <w:lvlText w:val="o"/>
      <w:lvlJc w:val="left"/>
      <w:pPr>
        <w:ind w:left="3536" w:hanging="360"/>
      </w:pPr>
      <w:rPr>
        <w:rFonts w:ascii="Courier New" w:hAnsi="Courier New" w:cs="Courier New" w:hint="default"/>
      </w:rPr>
    </w:lvl>
    <w:lvl w:ilvl="5" w:tplc="0C090005" w:tentative="1">
      <w:start w:val="1"/>
      <w:numFmt w:val="bullet"/>
      <w:lvlText w:val=""/>
      <w:lvlJc w:val="left"/>
      <w:pPr>
        <w:ind w:left="4256" w:hanging="360"/>
      </w:pPr>
      <w:rPr>
        <w:rFonts w:ascii="Wingdings" w:hAnsi="Wingdings" w:hint="default"/>
      </w:rPr>
    </w:lvl>
    <w:lvl w:ilvl="6" w:tplc="0C090001" w:tentative="1">
      <w:start w:val="1"/>
      <w:numFmt w:val="bullet"/>
      <w:lvlText w:val=""/>
      <w:lvlJc w:val="left"/>
      <w:pPr>
        <w:ind w:left="4976" w:hanging="360"/>
      </w:pPr>
      <w:rPr>
        <w:rFonts w:ascii="Symbol" w:hAnsi="Symbol" w:hint="default"/>
      </w:rPr>
    </w:lvl>
    <w:lvl w:ilvl="7" w:tplc="0C090003" w:tentative="1">
      <w:start w:val="1"/>
      <w:numFmt w:val="bullet"/>
      <w:lvlText w:val="o"/>
      <w:lvlJc w:val="left"/>
      <w:pPr>
        <w:ind w:left="5696" w:hanging="360"/>
      </w:pPr>
      <w:rPr>
        <w:rFonts w:ascii="Courier New" w:hAnsi="Courier New" w:cs="Courier New" w:hint="default"/>
      </w:rPr>
    </w:lvl>
    <w:lvl w:ilvl="8" w:tplc="0C090005" w:tentative="1">
      <w:start w:val="1"/>
      <w:numFmt w:val="bullet"/>
      <w:lvlText w:val=""/>
      <w:lvlJc w:val="left"/>
      <w:pPr>
        <w:ind w:left="6416" w:hanging="360"/>
      </w:pPr>
      <w:rPr>
        <w:rFonts w:ascii="Wingdings" w:hAnsi="Wingdings" w:hint="default"/>
      </w:rPr>
    </w:lvl>
  </w:abstractNum>
  <w:abstractNum w:abstractNumId="40" w15:restartNumberingAfterBreak="0">
    <w:nsid w:val="74AD6123"/>
    <w:multiLevelType w:val="hybridMultilevel"/>
    <w:tmpl w:val="ACAA7B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52C5728"/>
    <w:multiLevelType w:val="hybridMultilevel"/>
    <w:tmpl w:val="ABE62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7B76D5E"/>
    <w:multiLevelType w:val="hybridMultilevel"/>
    <w:tmpl w:val="05ECA11C"/>
    <w:lvl w:ilvl="0" w:tplc="4F364A70">
      <w:start w:val="3"/>
      <w:numFmt w:val="lowerLetter"/>
      <w:lvlText w:val="%1."/>
      <w:lvlJc w:val="left"/>
      <w:pPr>
        <w:ind w:left="1134" w:hanging="567"/>
      </w:pPr>
      <w:rPr>
        <w:rFont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3" w15:restartNumberingAfterBreak="0">
    <w:nsid w:val="7E1F3FE0"/>
    <w:multiLevelType w:val="hybridMultilevel"/>
    <w:tmpl w:val="768AFBA2"/>
    <w:lvl w:ilvl="0" w:tplc="5A168E70">
      <w:start w:val="99"/>
      <w:numFmt w:val="decimal"/>
      <w:lvlText w:val="%1."/>
      <w:lvlJc w:val="left"/>
      <w:pPr>
        <w:ind w:left="567" w:hanging="567"/>
      </w:pPr>
      <w:rPr>
        <w:rFonts w:hint="default"/>
        <w:b w:val="0"/>
        <w:i w:val="0"/>
        <w:color w:val="auto"/>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44" w15:restartNumberingAfterBreak="0">
    <w:nsid w:val="7E76417F"/>
    <w:multiLevelType w:val="multilevel"/>
    <w:tmpl w:val="2D1E232E"/>
    <w:lvl w:ilvl="0">
      <w:start w:val="1"/>
      <w:numFmt w:val="decimal"/>
      <w:lvlText w:val="%1."/>
      <w:lvlJc w:val="left"/>
      <w:pPr>
        <w:ind w:left="567" w:hanging="567"/>
      </w:pPr>
      <w:rPr>
        <w:rFonts w:ascii="Arial" w:hAnsi="Arial" w:cs="Arial" w:hint="default"/>
        <w:i w:val="0"/>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26"/>
  </w:num>
  <w:num w:numId="2">
    <w:abstractNumId w:val="25"/>
  </w:num>
  <w:num w:numId="3">
    <w:abstractNumId w:val="36"/>
  </w:num>
  <w:num w:numId="4">
    <w:abstractNumId w:val="29"/>
    <w:lvlOverride w:ilvl="0">
      <w:startOverride w:val="1"/>
    </w:lvlOverride>
  </w:num>
  <w:num w:numId="5">
    <w:abstractNumId w:val="34"/>
  </w:num>
  <w:num w:numId="6">
    <w:abstractNumId w:val="20"/>
  </w:num>
  <w:num w:numId="7">
    <w:abstractNumId w:val="0"/>
  </w:num>
  <w:num w:numId="8">
    <w:abstractNumId w:val="3"/>
  </w:num>
  <w:num w:numId="9">
    <w:abstractNumId w:val="6"/>
  </w:num>
  <w:num w:numId="10">
    <w:abstractNumId w:val="44"/>
  </w:num>
  <w:num w:numId="11">
    <w:abstractNumId w:val="37"/>
  </w:num>
  <w:num w:numId="12">
    <w:abstractNumId w:val="9"/>
  </w:num>
  <w:num w:numId="13">
    <w:abstractNumId w:val="11"/>
  </w:num>
  <w:num w:numId="14">
    <w:abstractNumId w:val="10"/>
  </w:num>
  <w:num w:numId="15">
    <w:abstractNumId w:val="24"/>
  </w:num>
  <w:num w:numId="16">
    <w:abstractNumId w:val="40"/>
  </w:num>
  <w:num w:numId="17">
    <w:abstractNumId w:val="5"/>
  </w:num>
  <w:num w:numId="18">
    <w:abstractNumId w:val="13"/>
  </w:num>
  <w:num w:numId="19">
    <w:abstractNumId w:val="22"/>
  </w:num>
  <w:num w:numId="20">
    <w:abstractNumId w:val="27"/>
  </w:num>
  <w:num w:numId="21">
    <w:abstractNumId w:val="41"/>
  </w:num>
  <w:num w:numId="22">
    <w:abstractNumId w:val="42"/>
  </w:num>
  <w:num w:numId="23">
    <w:abstractNumId w:val="6"/>
    <w:lvlOverride w:ilvl="0">
      <w:lvl w:ilvl="0">
        <w:start w:val="2"/>
        <w:numFmt w:val="decimal"/>
        <w:lvlText w:val="%1."/>
        <w:lvlJc w:val="left"/>
        <w:pPr>
          <w:ind w:left="567" w:hanging="567"/>
        </w:pPr>
        <w:rPr>
          <w:rFonts w:hint="default"/>
          <w:color w:val="auto"/>
          <w:sz w:val="20"/>
          <w:szCs w:val="20"/>
        </w:rPr>
      </w:lvl>
    </w:lvlOverride>
    <w:lvlOverride w:ilvl="1">
      <w:lvl w:ilvl="1">
        <w:start w:val="1"/>
        <w:numFmt w:val="bullet"/>
        <w:lvlText w:val=""/>
        <w:lvlJc w:val="left"/>
        <w:pPr>
          <w:ind w:left="1134" w:hanging="567"/>
        </w:pPr>
        <w:rPr>
          <w:rFonts w:ascii="Symbol" w:hAnsi="Symbol" w:hint="default"/>
          <w:color w:val="auto"/>
          <w:sz w:val="20"/>
          <w:szCs w:val="20"/>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2268" w:hanging="567"/>
        </w:pPr>
        <w:rPr>
          <w:rFonts w:hint="default"/>
        </w:rPr>
      </w:lvl>
    </w:lvlOverride>
    <w:lvlOverride w:ilvl="4">
      <w:lvl w:ilvl="4">
        <w:start w:val="1"/>
        <w:numFmt w:val="lowerLetter"/>
        <w:lvlText w:val="(%5)"/>
        <w:lvlJc w:val="left"/>
        <w:pPr>
          <w:ind w:left="2835" w:hanging="567"/>
        </w:pPr>
        <w:rPr>
          <w:rFonts w:hint="default"/>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4">
    <w:abstractNumId w:val="6"/>
    <w:lvlOverride w:ilvl="0">
      <w:lvl w:ilvl="0">
        <w:start w:val="2"/>
        <w:numFmt w:val="decimal"/>
        <w:lvlText w:val="%1."/>
        <w:lvlJc w:val="left"/>
        <w:pPr>
          <w:ind w:left="567" w:hanging="567"/>
        </w:pPr>
        <w:rPr>
          <w:rFonts w:hint="default"/>
          <w:color w:val="auto"/>
          <w:sz w:val="20"/>
          <w:szCs w:val="20"/>
        </w:rPr>
      </w:lvl>
    </w:lvlOverride>
    <w:lvlOverride w:ilvl="1">
      <w:lvl w:ilvl="1">
        <w:start w:val="1"/>
        <w:numFmt w:val="bullet"/>
        <w:lvlText w:val=""/>
        <w:lvlJc w:val="left"/>
        <w:pPr>
          <w:ind w:left="1134" w:hanging="567"/>
        </w:pPr>
        <w:rPr>
          <w:rFonts w:ascii="Symbol" w:hAnsi="Symbol" w:hint="default"/>
          <w:color w:val="auto"/>
          <w:sz w:val="20"/>
          <w:szCs w:val="20"/>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2268" w:hanging="567"/>
        </w:pPr>
        <w:rPr>
          <w:rFonts w:hint="default"/>
        </w:rPr>
      </w:lvl>
    </w:lvlOverride>
    <w:lvlOverride w:ilvl="4">
      <w:lvl w:ilvl="4">
        <w:start w:val="1"/>
        <w:numFmt w:val="lowerLetter"/>
        <w:lvlText w:val="(%5)"/>
        <w:lvlJc w:val="left"/>
        <w:pPr>
          <w:ind w:left="2835" w:hanging="567"/>
        </w:pPr>
        <w:rPr>
          <w:rFonts w:hint="default"/>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5">
    <w:abstractNumId w:val="19"/>
  </w:num>
  <w:num w:numId="26">
    <w:abstractNumId w:val="23"/>
  </w:num>
  <w:num w:numId="27">
    <w:abstractNumId w:val="17"/>
  </w:num>
  <w:num w:numId="28">
    <w:abstractNumId w:val="1"/>
  </w:num>
  <w:num w:numId="29">
    <w:abstractNumId w:val="6"/>
    <w:lvlOverride w:ilvl="0">
      <w:lvl w:ilvl="0">
        <w:start w:val="2"/>
        <w:numFmt w:val="decimal"/>
        <w:lvlText w:val="%1."/>
        <w:lvlJc w:val="left"/>
        <w:pPr>
          <w:ind w:left="567" w:hanging="567"/>
        </w:pPr>
        <w:rPr>
          <w:rFonts w:hint="default"/>
          <w:color w:val="auto"/>
          <w:sz w:val="20"/>
          <w:szCs w:val="20"/>
        </w:rPr>
      </w:lvl>
    </w:lvlOverride>
    <w:lvlOverride w:ilvl="1">
      <w:lvl w:ilvl="1">
        <w:start w:val="1"/>
        <w:numFmt w:val="bullet"/>
        <w:lvlText w:val=""/>
        <w:lvlJc w:val="left"/>
        <w:pPr>
          <w:ind w:left="1134" w:hanging="567"/>
        </w:pPr>
        <w:rPr>
          <w:rFonts w:ascii="Symbol" w:hAnsi="Symbol" w:hint="default"/>
          <w:color w:val="auto"/>
          <w:sz w:val="20"/>
          <w:szCs w:val="20"/>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2268" w:hanging="567"/>
        </w:pPr>
        <w:rPr>
          <w:rFonts w:hint="default"/>
        </w:rPr>
      </w:lvl>
    </w:lvlOverride>
    <w:lvlOverride w:ilvl="4">
      <w:lvl w:ilvl="4">
        <w:start w:val="1"/>
        <w:numFmt w:val="lowerLetter"/>
        <w:lvlText w:val="(%5)"/>
        <w:lvlJc w:val="left"/>
        <w:pPr>
          <w:ind w:left="2835" w:hanging="567"/>
        </w:pPr>
        <w:rPr>
          <w:rFonts w:hint="default"/>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0">
    <w:abstractNumId w:val="35"/>
  </w:num>
  <w:num w:numId="31">
    <w:abstractNumId w:val="15"/>
  </w:num>
  <w:num w:numId="32">
    <w:abstractNumId w:val="30"/>
  </w:num>
  <w:num w:numId="33">
    <w:abstractNumId w:val="2"/>
  </w:num>
  <w:num w:numId="34">
    <w:abstractNumId w:val="18"/>
  </w:num>
  <w:num w:numId="35">
    <w:abstractNumId w:val="14"/>
  </w:num>
  <w:num w:numId="36">
    <w:abstractNumId w:val="38"/>
  </w:num>
  <w:num w:numId="37">
    <w:abstractNumId w:val="39"/>
  </w:num>
  <w:num w:numId="38">
    <w:abstractNumId w:val="4"/>
  </w:num>
  <w:num w:numId="39">
    <w:abstractNumId w:val="8"/>
  </w:num>
  <w:num w:numId="40">
    <w:abstractNumId w:val="12"/>
  </w:num>
  <w:num w:numId="41">
    <w:abstractNumId w:val="7"/>
  </w:num>
  <w:num w:numId="42">
    <w:abstractNumId w:val="37"/>
  </w:num>
  <w:num w:numId="43">
    <w:abstractNumId w:val="43"/>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8"/>
  </w:num>
  <w:num w:numId="47">
    <w:abstractNumId w:val="31"/>
  </w:num>
  <w:num w:numId="48">
    <w:abstractNumId w:val="33"/>
    <w:lvlOverride w:ilvl="0">
      <w:lvl w:ilvl="0">
        <w:start w:val="1"/>
        <w:numFmt w:val="decimal"/>
        <w:lvlText w:val="%1."/>
        <w:lvlJc w:val="left"/>
        <w:pPr>
          <w:ind w:left="567" w:hanging="567"/>
        </w:pPr>
        <w:rPr>
          <w:rFonts w:hint="default"/>
          <w:b w:val="0"/>
          <w:i w:val="0"/>
          <w:color w:val="auto"/>
          <w:sz w:val="20"/>
          <w:szCs w:val="20"/>
        </w:rPr>
      </w:lvl>
    </w:lvlOverride>
    <w:lvlOverride w:ilvl="1">
      <w:lvl w:ilvl="1">
        <w:start w:val="1"/>
        <w:numFmt w:val="lowerLetter"/>
        <w:lvlText w:val="%2."/>
        <w:lvlJc w:val="left"/>
        <w:pPr>
          <w:ind w:left="1134" w:hanging="567"/>
        </w:pPr>
        <w:rPr>
          <w:rFonts w:hint="default"/>
          <w:i w:val="0"/>
          <w:color w:val="auto"/>
          <w:sz w:val="20"/>
          <w:szCs w:val="20"/>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2268" w:hanging="567"/>
        </w:pPr>
        <w:rPr>
          <w:rFonts w:hint="default"/>
        </w:rPr>
      </w:lvl>
    </w:lvlOverride>
    <w:lvlOverride w:ilvl="4">
      <w:lvl w:ilvl="4">
        <w:start w:val="1"/>
        <w:numFmt w:val="lowerLetter"/>
        <w:lvlText w:val="(%5)"/>
        <w:lvlJc w:val="left"/>
        <w:pPr>
          <w:ind w:left="2835" w:hanging="567"/>
        </w:pPr>
        <w:rPr>
          <w:rFonts w:hint="default"/>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9">
    <w:abstractNumId w:val="21"/>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4"/>
    <w:rsid w:val="00000408"/>
    <w:rsid w:val="00000A4E"/>
    <w:rsid w:val="00001FEB"/>
    <w:rsid w:val="00003676"/>
    <w:rsid w:val="000038D9"/>
    <w:rsid w:val="000061CB"/>
    <w:rsid w:val="00010A88"/>
    <w:rsid w:val="00010E34"/>
    <w:rsid w:val="00011355"/>
    <w:rsid w:val="00012441"/>
    <w:rsid w:val="00014453"/>
    <w:rsid w:val="0001505F"/>
    <w:rsid w:val="0001548E"/>
    <w:rsid w:val="000158E4"/>
    <w:rsid w:val="00016DA2"/>
    <w:rsid w:val="00016F29"/>
    <w:rsid w:val="00017128"/>
    <w:rsid w:val="00020459"/>
    <w:rsid w:val="00020C5D"/>
    <w:rsid w:val="00021037"/>
    <w:rsid w:val="00022975"/>
    <w:rsid w:val="00023448"/>
    <w:rsid w:val="00025322"/>
    <w:rsid w:val="00025539"/>
    <w:rsid w:val="00031DDD"/>
    <w:rsid w:val="0003311B"/>
    <w:rsid w:val="000369E6"/>
    <w:rsid w:val="0004036B"/>
    <w:rsid w:val="000406BD"/>
    <w:rsid w:val="00041355"/>
    <w:rsid w:val="00042684"/>
    <w:rsid w:val="000429D0"/>
    <w:rsid w:val="00043467"/>
    <w:rsid w:val="0004366D"/>
    <w:rsid w:val="00045551"/>
    <w:rsid w:val="00046C5D"/>
    <w:rsid w:val="0004774F"/>
    <w:rsid w:val="00050223"/>
    <w:rsid w:val="00050838"/>
    <w:rsid w:val="000524B3"/>
    <w:rsid w:val="00053205"/>
    <w:rsid w:val="00054EA0"/>
    <w:rsid w:val="00055460"/>
    <w:rsid w:val="00063D36"/>
    <w:rsid w:val="00063E75"/>
    <w:rsid w:val="00064EA6"/>
    <w:rsid w:val="00064EF7"/>
    <w:rsid w:val="00065965"/>
    <w:rsid w:val="00065F7E"/>
    <w:rsid w:val="000676FB"/>
    <w:rsid w:val="00074692"/>
    <w:rsid w:val="00074C87"/>
    <w:rsid w:val="00076DCE"/>
    <w:rsid w:val="000773D9"/>
    <w:rsid w:val="000836AC"/>
    <w:rsid w:val="0008453F"/>
    <w:rsid w:val="000857BF"/>
    <w:rsid w:val="00085A82"/>
    <w:rsid w:val="00086B53"/>
    <w:rsid w:val="000923F9"/>
    <w:rsid w:val="00092AA6"/>
    <w:rsid w:val="00093826"/>
    <w:rsid w:val="0009454D"/>
    <w:rsid w:val="00094EE9"/>
    <w:rsid w:val="0009515C"/>
    <w:rsid w:val="000959D0"/>
    <w:rsid w:val="00097CB9"/>
    <w:rsid w:val="000A2638"/>
    <w:rsid w:val="000A4820"/>
    <w:rsid w:val="000B0172"/>
    <w:rsid w:val="000B3888"/>
    <w:rsid w:val="000B67CF"/>
    <w:rsid w:val="000B6A39"/>
    <w:rsid w:val="000B6AFF"/>
    <w:rsid w:val="000B729F"/>
    <w:rsid w:val="000B734D"/>
    <w:rsid w:val="000C380A"/>
    <w:rsid w:val="000C66D2"/>
    <w:rsid w:val="000C734B"/>
    <w:rsid w:val="000D1664"/>
    <w:rsid w:val="000D30B5"/>
    <w:rsid w:val="000D3372"/>
    <w:rsid w:val="000D47A4"/>
    <w:rsid w:val="000D7DDA"/>
    <w:rsid w:val="000E1E22"/>
    <w:rsid w:val="000E214B"/>
    <w:rsid w:val="000E3A22"/>
    <w:rsid w:val="000E485A"/>
    <w:rsid w:val="000E6BFE"/>
    <w:rsid w:val="000F0407"/>
    <w:rsid w:val="000F1673"/>
    <w:rsid w:val="000F3E13"/>
    <w:rsid w:val="000F51BF"/>
    <w:rsid w:val="000F55B8"/>
    <w:rsid w:val="000F5E39"/>
    <w:rsid w:val="000F6011"/>
    <w:rsid w:val="000F75F8"/>
    <w:rsid w:val="000F7829"/>
    <w:rsid w:val="000F7EEB"/>
    <w:rsid w:val="00100B10"/>
    <w:rsid w:val="00100E29"/>
    <w:rsid w:val="00101059"/>
    <w:rsid w:val="00112E24"/>
    <w:rsid w:val="00113B7F"/>
    <w:rsid w:val="00114537"/>
    <w:rsid w:val="00114BCE"/>
    <w:rsid w:val="00116094"/>
    <w:rsid w:val="0011626F"/>
    <w:rsid w:val="00117283"/>
    <w:rsid w:val="00117FAF"/>
    <w:rsid w:val="00123968"/>
    <w:rsid w:val="00123EBC"/>
    <w:rsid w:val="00124BB7"/>
    <w:rsid w:val="001262EB"/>
    <w:rsid w:val="00127BA1"/>
    <w:rsid w:val="00130E91"/>
    <w:rsid w:val="001329B9"/>
    <w:rsid w:val="00133439"/>
    <w:rsid w:val="00133E58"/>
    <w:rsid w:val="001344E6"/>
    <w:rsid w:val="0013779F"/>
    <w:rsid w:val="00140C95"/>
    <w:rsid w:val="00142032"/>
    <w:rsid w:val="00142A4B"/>
    <w:rsid w:val="00142CC6"/>
    <w:rsid w:val="001442E0"/>
    <w:rsid w:val="0014482B"/>
    <w:rsid w:val="00144B1F"/>
    <w:rsid w:val="0014771C"/>
    <w:rsid w:val="00147836"/>
    <w:rsid w:val="001509F9"/>
    <w:rsid w:val="0015191D"/>
    <w:rsid w:val="001525EA"/>
    <w:rsid w:val="00153022"/>
    <w:rsid w:val="00153579"/>
    <w:rsid w:val="001568B0"/>
    <w:rsid w:val="00161D78"/>
    <w:rsid w:val="00161F34"/>
    <w:rsid w:val="0016391C"/>
    <w:rsid w:val="00165362"/>
    <w:rsid w:val="001662BC"/>
    <w:rsid w:val="00170117"/>
    <w:rsid w:val="00170599"/>
    <w:rsid w:val="00170BA5"/>
    <w:rsid w:val="001711AC"/>
    <w:rsid w:val="00172236"/>
    <w:rsid w:val="001727F5"/>
    <w:rsid w:val="00174384"/>
    <w:rsid w:val="0017555E"/>
    <w:rsid w:val="00176CA8"/>
    <w:rsid w:val="00177206"/>
    <w:rsid w:val="0018170E"/>
    <w:rsid w:val="00181ACF"/>
    <w:rsid w:val="00181B0C"/>
    <w:rsid w:val="00182452"/>
    <w:rsid w:val="00182F91"/>
    <w:rsid w:val="001830AC"/>
    <w:rsid w:val="001856EA"/>
    <w:rsid w:val="00191645"/>
    <w:rsid w:val="0019213D"/>
    <w:rsid w:val="00193581"/>
    <w:rsid w:val="0019455C"/>
    <w:rsid w:val="00194DEB"/>
    <w:rsid w:val="0019692D"/>
    <w:rsid w:val="001975E3"/>
    <w:rsid w:val="001A25B4"/>
    <w:rsid w:val="001A3721"/>
    <w:rsid w:val="001A47DA"/>
    <w:rsid w:val="001A5AEE"/>
    <w:rsid w:val="001A62E0"/>
    <w:rsid w:val="001A6D75"/>
    <w:rsid w:val="001B265D"/>
    <w:rsid w:val="001B3B23"/>
    <w:rsid w:val="001B42D2"/>
    <w:rsid w:val="001B432F"/>
    <w:rsid w:val="001B608E"/>
    <w:rsid w:val="001B6545"/>
    <w:rsid w:val="001C013D"/>
    <w:rsid w:val="001C01EF"/>
    <w:rsid w:val="001C0EF0"/>
    <w:rsid w:val="001C1724"/>
    <w:rsid w:val="001C1BC3"/>
    <w:rsid w:val="001C28FD"/>
    <w:rsid w:val="001C2FB2"/>
    <w:rsid w:val="001C3782"/>
    <w:rsid w:val="001C40C6"/>
    <w:rsid w:val="001C5A79"/>
    <w:rsid w:val="001C695A"/>
    <w:rsid w:val="001D17CC"/>
    <w:rsid w:val="001D1905"/>
    <w:rsid w:val="001D2110"/>
    <w:rsid w:val="001D36B2"/>
    <w:rsid w:val="001D4464"/>
    <w:rsid w:val="001D6001"/>
    <w:rsid w:val="001D7899"/>
    <w:rsid w:val="001E11FD"/>
    <w:rsid w:val="001E1774"/>
    <w:rsid w:val="001E1CD8"/>
    <w:rsid w:val="001E337A"/>
    <w:rsid w:val="001E4010"/>
    <w:rsid w:val="001E5407"/>
    <w:rsid w:val="001F0641"/>
    <w:rsid w:val="001F0850"/>
    <w:rsid w:val="001F0D8B"/>
    <w:rsid w:val="001F16F4"/>
    <w:rsid w:val="001F33B5"/>
    <w:rsid w:val="001F3C8C"/>
    <w:rsid w:val="001F6422"/>
    <w:rsid w:val="00200422"/>
    <w:rsid w:val="00200C5A"/>
    <w:rsid w:val="002011BA"/>
    <w:rsid w:val="00202936"/>
    <w:rsid w:val="00203D26"/>
    <w:rsid w:val="00204103"/>
    <w:rsid w:val="00205267"/>
    <w:rsid w:val="002070EF"/>
    <w:rsid w:val="002111E7"/>
    <w:rsid w:val="00215214"/>
    <w:rsid w:val="00221FC0"/>
    <w:rsid w:val="002221F2"/>
    <w:rsid w:val="00223236"/>
    <w:rsid w:val="0022395E"/>
    <w:rsid w:val="002249DC"/>
    <w:rsid w:val="002258AF"/>
    <w:rsid w:val="00226556"/>
    <w:rsid w:val="00226A30"/>
    <w:rsid w:val="00234050"/>
    <w:rsid w:val="00234E07"/>
    <w:rsid w:val="002352AC"/>
    <w:rsid w:val="0023575D"/>
    <w:rsid w:val="00236665"/>
    <w:rsid w:val="00237C40"/>
    <w:rsid w:val="00241B77"/>
    <w:rsid w:val="0024374E"/>
    <w:rsid w:val="002447DF"/>
    <w:rsid w:val="00245ECD"/>
    <w:rsid w:val="00246E1C"/>
    <w:rsid w:val="0025035A"/>
    <w:rsid w:val="00255182"/>
    <w:rsid w:val="002552F0"/>
    <w:rsid w:val="00257EF9"/>
    <w:rsid w:val="002625A8"/>
    <w:rsid w:val="00263CDB"/>
    <w:rsid w:val="00265499"/>
    <w:rsid w:val="00271A26"/>
    <w:rsid w:val="0027223C"/>
    <w:rsid w:val="00273226"/>
    <w:rsid w:val="00273847"/>
    <w:rsid w:val="00277191"/>
    <w:rsid w:val="00277A06"/>
    <w:rsid w:val="002810CD"/>
    <w:rsid w:val="00281788"/>
    <w:rsid w:val="00283D25"/>
    <w:rsid w:val="002842C9"/>
    <w:rsid w:val="00284935"/>
    <w:rsid w:val="002957A0"/>
    <w:rsid w:val="002972C3"/>
    <w:rsid w:val="0029786B"/>
    <w:rsid w:val="002A18E7"/>
    <w:rsid w:val="002A2E58"/>
    <w:rsid w:val="002A3683"/>
    <w:rsid w:val="002A3DC1"/>
    <w:rsid w:val="002A5C7D"/>
    <w:rsid w:val="002B05BD"/>
    <w:rsid w:val="002B1E3D"/>
    <w:rsid w:val="002B4B70"/>
    <w:rsid w:val="002B4FC8"/>
    <w:rsid w:val="002B5522"/>
    <w:rsid w:val="002C1E6C"/>
    <w:rsid w:val="002C2BC1"/>
    <w:rsid w:val="002C33E1"/>
    <w:rsid w:val="002C5E93"/>
    <w:rsid w:val="002D0F79"/>
    <w:rsid w:val="002D3F3C"/>
    <w:rsid w:val="002D5521"/>
    <w:rsid w:val="002D5EC5"/>
    <w:rsid w:val="002D6A81"/>
    <w:rsid w:val="002D742C"/>
    <w:rsid w:val="002E0C0A"/>
    <w:rsid w:val="002E34FC"/>
    <w:rsid w:val="002E42A4"/>
    <w:rsid w:val="002E5360"/>
    <w:rsid w:val="002F022D"/>
    <w:rsid w:val="002F03DF"/>
    <w:rsid w:val="002F0772"/>
    <w:rsid w:val="002F32AC"/>
    <w:rsid w:val="002F4469"/>
    <w:rsid w:val="002F7A72"/>
    <w:rsid w:val="002F7F78"/>
    <w:rsid w:val="00300856"/>
    <w:rsid w:val="00300DB4"/>
    <w:rsid w:val="00300F2B"/>
    <w:rsid w:val="003033A7"/>
    <w:rsid w:val="00303852"/>
    <w:rsid w:val="003056CD"/>
    <w:rsid w:val="00306388"/>
    <w:rsid w:val="003103A5"/>
    <w:rsid w:val="00310629"/>
    <w:rsid w:val="00312DC1"/>
    <w:rsid w:val="00313CB7"/>
    <w:rsid w:val="00314F0A"/>
    <w:rsid w:val="00321794"/>
    <w:rsid w:val="0032226B"/>
    <w:rsid w:val="0032257F"/>
    <w:rsid w:val="0032473C"/>
    <w:rsid w:val="003248E4"/>
    <w:rsid w:val="003259C1"/>
    <w:rsid w:val="00325E8C"/>
    <w:rsid w:val="0032735C"/>
    <w:rsid w:val="0033046B"/>
    <w:rsid w:val="00331A31"/>
    <w:rsid w:val="0033233B"/>
    <w:rsid w:val="003324C0"/>
    <w:rsid w:val="00332937"/>
    <w:rsid w:val="00332A05"/>
    <w:rsid w:val="00332B4D"/>
    <w:rsid w:val="00333279"/>
    <w:rsid w:val="003355EB"/>
    <w:rsid w:val="0033564F"/>
    <w:rsid w:val="003371DE"/>
    <w:rsid w:val="00340AFF"/>
    <w:rsid w:val="00345A0E"/>
    <w:rsid w:val="00345C29"/>
    <w:rsid w:val="00346C4C"/>
    <w:rsid w:val="003508EF"/>
    <w:rsid w:val="0035190E"/>
    <w:rsid w:val="00351983"/>
    <w:rsid w:val="00352912"/>
    <w:rsid w:val="00353BBA"/>
    <w:rsid w:val="00356067"/>
    <w:rsid w:val="00362D1A"/>
    <w:rsid w:val="0036301F"/>
    <w:rsid w:val="003635DF"/>
    <w:rsid w:val="003644FC"/>
    <w:rsid w:val="00364595"/>
    <w:rsid w:val="003645EA"/>
    <w:rsid w:val="00364967"/>
    <w:rsid w:val="00364C4F"/>
    <w:rsid w:val="00364CA4"/>
    <w:rsid w:val="00373A67"/>
    <w:rsid w:val="00375EBE"/>
    <w:rsid w:val="00380964"/>
    <w:rsid w:val="00380B59"/>
    <w:rsid w:val="003814CE"/>
    <w:rsid w:val="003817FD"/>
    <w:rsid w:val="003822D0"/>
    <w:rsid w:val="003846A5"/>
    <w:rsid w:val="003848D9"/>
    <w:rsid w:val="00384EA8"/>
    <w:rsid w:val="00387FE3"/>
    <w:rsid w:val="00390AC2"/>
    <w:rsid w:val="00391EA1"/>
    <w:rsid w:val="00392DC4"/>
    <w:rsid w:val="00395227"/>
    <w:rsid w:val="00395953"/>
    <w:rsid w:val="00395ADE"/>
    <w:rsid w:val="00396A51"/>
    <w:rsid w:val="003A178F"/>
    <w:rsid w:val="003A5A75"/>
    <w:rsid w:val="003A5C9A"/>
    <w:rsid w:val="003A6AE0"/>
    <w:rsid w:val="003A7DD2"/>
    <w:rsid w:val="003B00CE"/>
    <w:rsid w:val="003B1756"/>
    <w:rsid w:val="003B508F"/>
    <w:rsid w:val="003B5B72"/>
    <w:rsid w:val="003C0552"/>
    <w:rsid w:val="003C49E4"/>
    <w:rsid w:val="003C663B"/>
    <w:rsid w:val="003D010E"/>
    <w:rsid w:val="003D2CF2"/>
    <w:rsid w:val="003D3B64"/>
    <w:rsid w:val="003D4FE1"/>
    <w:rsid w:val="003E395D"/>
    <w:rsid w:val="003E40C2"/>
    <w:rsid w:val="003F0413"/>
    <w:rsid w:val="003F05F5"/>
    <w:rsid w:val="003F183C"/>
    <w:rsid w:val="003F37D3"/>
    <w:rsid w:val="004009D1"/>
    <w:rsid w:val="0040168D"/>
    <w:rsid w:val="00403F24"/>
    <w:rsid w:val="0040421F"/>
    <w:rsid w:val="00404FD6"/>
    <w:rsid w:val="0040592E"/>
    <w:rsid w:val="00405B9E"/>
    <w:rsid w:val="0040662C"/>
    <w:rsid w:val="004124B7"/>
    <w:rsid w:val="004137FB"/>
    <w:rsid w:val="004147B4"/>
    <w:rsid w:val="0041600D"/>
    <w:rsid w:val="00416896"/>
    <w:rsid w:val="0042176A"/>
    <w:rsid w:val="00423B9C"/>
    <w:rsid w:val="004258B3"/>
    <w:rsid w:val="00425D1A"/>
    <w:rsid w:val="004260A3"/>
    <w:rsid w:val="0042684A"/>
    <w:rsid w:val="00427EB1"/>
    <w:rsid w:val="0043015E"/>
    <w:rsid w:val="0043041B"/>
    <w:rsid w:val="00430A47"/>
    <w:rsid w:val="004319A9"/>
    <w:rsid w:val="00433749"/>
    <w:rsid w:val="00433BAD"/>
    <w:rsid w:val="0044053D"/>
    <w:rsid w:val="004421DD"/>
    <w:rsid w:val="00443F2D"/>
    <w:rsid w:val="00444740"/>
    <w:rsid w:val="00444E36"/>
    <w:rsid w:val="004467FD"/>
    <w:rsid w:val="00446C02"/>
    <w:rsid w:val="00451FC5"/>
    <w:rsid w:val="00454528"/>
    <w:rsid w:val="004613A3"/>
    <w:rsid w:val="00462A07"/>
    <w:rsid w:val="0046388D"/>
    <w:rsid w:val="00463D18"/>
    <w:rsid w:val="00464576"/>
    <w:rsid w:val="004658C7"/>
    <w:rsid w:val="004661CA"/>
    <w:rsid w:val="00467E16"/>
    <w:rsid w:val="0047088C"/>
    <w:rsid w:val="00473520"/>
    <w:rsid w:val="004736AF"/>
    <w:rsid w:val="00474EEE"/>
    <w:rsid w:val="00475AC0"/>
    <w:rsid w:val="00476B51"/>
    <w:rsid w:val="004770A9"/>
    <w:rsid w:val="004776C6"/>
    <w:rsid w:val="004779BC"/>
    <w:rsid w:val="00480557"/>
    <w:rsid w:val="004832DD"/>
    <w:rsid w:val="0048383C"/>
    <w:rsid w:val="00483A0D"/>
    <w:rsid w:val="004858E6"/>
    <w:rsid w:val="00485AF4"/>
    <w:rsid w:val="00492506"/>
    <w:rsid w:val="004936E9"/>
    <w:rsid w:val="00495C5D"/>
    <w:rsid w:val="00496F59"/>
    <w:rsid w:val="00497809"/>
    <w:rsid w:val="004A10FE"/>
    <w:rsid w:val="004A11CF"/>
    <w:rsid w:val="004A5055"/>
    <w:rsid w:val="004A5F4B"/>
    <w:rsid w:val="004A62F1"/>
    <w:rsid w:val="004A6F85"/>
    <w:rsid w:val="004B05D5"/>
    <w:rsid w:val="004B28DE"/>
    <w:rsid w:val="004B62BC"/>
    <w:rsid w:val="004B6F0F"/>
    <w:rsid w:val="004B6F10"/>
    <w:rsid w:val="004B76DA"/>
    <w:rsid w:val="004C00E3"/>
    <w:rsid w:val="004C0A73"/>
    <w:rsid w:val="004C1227"/>
    <w:rsid w:val="004C1DD4"/>
    <w:rsid w:val="004C5FBC"/>
    <w:rsid w:val="004C64F6"/>
    <w:rsid w:val="004D4BA1"/>
    <w:rsid w:val="004D6759"/>
    <w:rsid w:val="004E13FF"/>
    <w:rsid w:val="004E1B33"/>
    <w:rsid w:val="004E2413"/>
    <w:rsid w:val="004E4EAE"/>
    <w:rsid w:val="004E4EC1"/>
    <w:rsid w:val="004E6B4D"/>
    <w:rsid w:val="004E6FEE"/>
    <w:rsid w:val="004E7DE7"/>
    <w:rsid w:val="004F0F9B"/>
    <w:rsid w:val="004F1A76"/>
    <w:rsid w:val="004F24E0"/>
    <w:rsid w:val="00501A1F"/>
    <w:rsid w:val="00503340"/>
    <w:rsid w:val="00504EAB"/>
    <w:rsid w:val="00507A2B"/>
    <w:rsid w:val="00507C45"/>
    <w:rsid w:val="00510DBA"/>
    <w:rsid w:val="00510F59"/>
    <w:rsid w:val="00511304"/>
    <w:rsid w:val="0051446E"/>
    <w:rsid w:val="005157E8"/>
    <w:rsid w:val="0051667C"/>
    <w:rsid w:val="00516F63"/>
    <w:rsid w:val="00517E95"/>
    <w:rsid w:val="005204C0"/>
    <w:rsid w:val="00521BCB"/>
    <w:rsid w:val="00522A56"/>
    <w:rsid w:val="005258EB"/>
    <w:rsid w:val="00525C6E"/>
    <w:rsid w:val="00531179"/>
    <w:rsid w:val="00534B7D"/>
    <w:rsid w:val="00535102"/>
    <w:rsid w:val="00535CCC"/>
    <w:rsid w:val="005402ED"/>
    <w:rsid w:val="00540C75"/>
    <w:rsid w:val="0054101B"/>
    <w:rsid w:val="00541DA5"/>
    <w:rsid w:val="00542943"/>
    <w:rsid w:val="00544A9C"/>
    <w:rsid w:val="00545A98"/>
    <w:rsid w:val="0055058E"/>
    <w:rsid w:val="0055149A"/>
    <w:rsid w:val="00552666"/>
    <w:rsid w:val="00554F9D"/>
    <w:rsid w:val="005571E5"/>
    <w:rsid w:val="005574D8"/>
    <w:rsid w:val="005579F0"/>
    <w:rsid w:val="00557D2E"/>
    <w:rsid w:val="005601EC"/>
    <w:rsid w:val="005623F9"/>
    <w:rsid w:val="00562DB5"/>
    <w:rsid w:val="00565B6F"/>
    <w:rsid w:val="00570C0E"/>
    <w:rsid w:val="005717A4"/>
    <w:rsid w:val="005739DE"/>
    <w:rsid w:val="005752C0"/>
    <w:rsid w:val="00575A2E"/>
    <w:rsid w:val="00577114"/>
    <w:rsid w:val="00577CE3"/>
    <w:rsid w:val="00585F20"/>
    <w:rsid w:val="00586602"/>
    <w:rsid w:val="00587AA4"/>
    <w:rsid w:val="0059742D"/>
    <w:rsid w:val="005979A9"/>
    <w:rsid w:val="005A18FB"/>
    <w:rsid w:val="005A2398"/>
    <w:rsid w:val="005A29B2"/>
    <w:rsid w:val="005A595E"/>
    <w:rsid w:val="005B1AEB"/>
    <w:rsid w:val="005B4F5D"/>
    <w:rsid w:val="005C0C80"/>
    <w:rsid w:val="005C16A4"/>
    <w:rsid w:val="005C4396"/>
    <w:rsid w:val="005C4992"/>
    <w:rsid w:val="005C5182"/>
    <w:rsid w:val="005D27A3"/>
    <w:rsid w:val="005D4765"/>
    <w:rsid w:val="005D59F3"/>
    <w:rsid w:val="005D6C4F"/>
    <w:rsid w:val="005D73C9"/>
    <w:rsid w:val="005D7845"/>
    <w:rsid w:val="005D7C82"/>
    <w:rsid w:val="005E15F7"/>
    <w:rsid w:val="005E323B"/>
    <w:rsid w:val="005E58D4"/>
    <w:rsid w:val="005E7032"/>
    <w:rsid w:val="005F0D59"/>
    <w:rsid w:val="005F1A3C"/>
    <w:rsid w:val="005F6FF4"/>
    <w:rsid w:val="00600E7C"/>
    <w:rsid w:val="00601973"/>
    <w:rsid w:val="00603652"/>
    <w:rsid w:val="006041CC"/>
    <w:rsid w:val="00604B0F"/>
    <w:rsid w:val="0060567D"/>
    <w:rsid w:val="006064D7"/>
    <w:rsid w:val="00606D25"/>
    <w:rsid w:val="00611C12"/>
    <w:rsid w:val="0061565E"/>
    <w:rsid w:val="0061658C"/>
    <w:rsid w:val="00616676"/>
    <w:rsid w:val="00616AC2"/>
    <w:rsid w:val="00622AD7"/>
    <w:rsid w:val="00627C54"/>
    <w:rsid w:val="00627FD7"/>
    <w:rsid w:val="006307DD"/>
    <w:rsid w:val="006318BA"/>
    <w:rsid w:val="00634108"/>
    <w:rsid w:val="00635E25"/>
    <w:rsid w:val="006360BE"/>
    <w:rsid w:val="00640AE8"/>
    <w:rsid w:val="00643AAF"/>
    <w:rsid w:val="00646101"/>
    <w:rsid w:val="006473A0"/>
    <w:rsid w:val="006473C8"/>
    <w:rsid w:val="00647DA4"/>
    <w:rsid w:val="00651710"/>
    <w:rsid w:val="00653F3E"/>
    <w:rsid w:val="00656FCA"/>
    <w:rsid w:val="00657E31"/>
    <w:rsid w:val="00660C54"/>
    <w:rsid w:val="00664498"/>
    <w:rsid w:val="00664C4D"/>
    <w:rsid w:val="00664E1D"/>
    <w:rsid w:val="00666297"/>
    <w:rsid w:val="0066653B"/>
    <w:rsid w:val="00667222"/>
    <w:rsid w:val="00670D70"/>
    <w:rsid w:val="00671A2F"/>
    <w:rsid w:val="0067440A"/>
    <w:rsid w:val="006749C0"/>
    <w:rsid w:val="00675CBB"/>
    <w:rsid w:val="00676670"/>
    <w:rsid w:val="00680EAD"/>
    <w:rsid w:val="006868E7"/>
    <w:rsid w:val="006911AA"/>
    <w:rsid w:val="00692195"/>
    <w:rsid w:val="006A27DD"/>
    <w:rsid w:val="006A5109"/>
    <w:rsid w:val="006A63FE"/>
    <w:rsid w:val="006A705C"/>
    <w:rsid w:val="006B1EE2"/>
    <w:rsid w:val="006B4355"/>
    <w:rsid w:val="006B490B"/>
    <w:rsid w:val="006B4FDE"/>
    <w:rsid w:val="006C0DF5"/>
    <w:rsid w:val="006C1FB0"/>
    <w:rsid w:val="006C20DD"/>
    <w:rsid w:val="006C21A3"/>
    <w:rsid w:val="006C3183"/>
    <w:rsid w:val="006C5D5F"/>
    <w:rsid w:val="006D00D3"/>
    <w:rsid w:val="006D0F33"/>
    <w:rsid w:val="006D4C56"/>
    <w:rsid w:val="006D4E24"/>
    <w:rsid w:val="006E007D"/>
    <w:rsid w:val="006E0E8B"/>
    <w:rsid w:val="006E1F78"/>
    <w:rsid w:val="006E2127"/>
    <w:rsid w:val="006E5DA4"/>
    <w:rsid w:val="006E6B00"/>
    <w:rsid w:val="006E7FCA"/>
    <w:rsid w:val="006F239D"/>
    <w:rsid w:val="006F3555"/>
    <w:rsid w:val="006F35A3"/>
    <w:rsid w:val="006F3C0A"/>
    <w:rsid w:val="006F508B"/>
    <w:rsid w:val="006F68E4"/>
    <w:rsid w:val="006F7C3F"/>
    <w:rsid w:val="006F7CF6"/>
    <w:rsid w:val="00701D97"/>
    <w:rsid w:val="00702213"/>
    <w:rsid w:val="007030AB"/>
    <w:rsid w:val="00705917"/>
    <w:rsid w:val="007072C5"/>
    <w:rsid w:val="00710AED"/>
    <w:rsid w:val="00711D42"/>
    <w:rsid w:val="00711EC7"/>
    <w:rsid w:val="00712AC2"/>
    <w:rsid w:val="00714990"/>
    <w:rsid w:val="007151C5"/>
    <w:rsid w:val="007164AA"/>
    <w:rsid w:val="00717BFE"/>
    <w:rsid w:val="007202AD"/>
    <w:rsid w:val="0072104F"/>
    <w:rsid w:val="00726F06"/>
    <w:rsid w:val="00731EE1"/>
    <w:rsid w:val="00734BCA"/>
    <w:rsid w:val="00734FDE"/>
    <w:rsid w:val="007367C1"/>
    <w:rsid w:val="007419EB"/>
    <w:rsid w:val="0074210B"/>
    <w:rsid w:val="00744A02"/>
    <w:rsid w:val="00746EDC"/>
    <w:rsid w:val="00747A12"/>
    <w:rsid w:val="007529E1"/>
    <w:rsid w:val="00752C22"/>
    <w:rsid w:val="0075641A"/>
    <w:rsid w:val="00756A11"/>
    <w:rsid w:val="007575AA"/>
    <w:rsid w:val="00762681"/>
    <w:rsid w:val="00764940"/>
    <w:rsid w:val="00765591"/>
    <w:rsid w:val="00766457"/>
    <w:rsid w:val="00766872"/>
    <w:rsid w:val="00766C70"/>
    <w:rsid w:val="00767A09"/>
    <w:rsid w:val="0077339C"/>
    <w:rsid w:val="007735AA"/>
    <w:rsid w:val="00773BCF"/>
    <w:rsid w:val="00774507"/>
    <w:rsid w:val="00774CB9"/>
    <w:rsid w:val="007752D8"/>
    <w:rsid w:val="00776F04"/>
    <w:rsid w:val="00777A69"/>
    <w:rsid w:val="00777C1C"/>
    <w:rsid w:val="007836C4"/>
    <w:rsid w:val="0078415D"/>
    <w:rsid w:val="00785005"/>
    <w:rsid w:val="00785FB8"/>
    <w:rsid w:val="00787762"/>
    <w:rsid w:val="00790125"/>
    <w:rsid w:val="00793362"/>
    <w:rsid w:val="0079494D"/>
    <w:rsid w:val="00795B3B"/>
    <w:rsid w:val="007975FA"/>
    <w:rsid w:val="007A009F"/>
    <w:rsid w:val="007A4F8C"/>
    <w:rsid w:val="007A6403"/>
    <w:rsid w:val="007A6A90"/>
    <w:rsid w:val="007A6BC4"/>
    <w:rsid w:val="007B0843"/>
    <w:rsid w:val="007B1473"/>
    <w:rsid w:val="007B1EE3"/>
    <w:rsid w:val="007B2ED5"/>
    <w:rsid w:val="007B3728"/>
    <w:rsid w:val="007B464A"/>
    <w:rsid w:val="007C0095"/>
    <w:rsid w:val="007C265E"/>
    <w:rsid w:val="007C284B"/>
    <w:rsid w:val="007C2E7F"/>
    <w:rsid w:val="007C5444"/>
    <w:rsid w:val="007C6272"/>
    <w:rsid w:val="007C6323"/>
    <w:rsid w:val="007C7B47"/>
    <w:rsid w:val="007D29D5"/>
    <w:rsid w:val="007D4DDC"/>
    <w:rsid w:val="007D51E7"/>
    <w:rsid w:val="007D5A06"/>
    <w:rsid w:val="007D6123"/>
    <w:rsid w:val="007E066D"/>
    <w:rsid w:val="007E39B2"/>
    <w:rsid w:val="007E4267"/>
    <w:rsid w:val="007E4C67"/>
    <w:rsid w:val="007E52FA"/>
    <w:rsid w:val="007E54F6"/>
    <w:rsid w:val="007E5629"/>
    <w:rsid w:val="007E6C3B"/>
    <w:rsid w:val="007E72F8"/>
    <w:rsid w:val="007F1354"/>
    <w:rsid w:val="007F2787"/>
    <w:rsid w:val="007F3383"/>
    <w:rsid w:val="007F53C3"/>
    <w:rsid w:val="008004BC"/>
    <w:rsid w:val="00801E78"/>
    <w:rsid w:val="0080331B"/>
    <w:rsid w:val="008053BA"/>
    <w:rsid w:val="00810437"/>
    <w:rsid w:val="008110EC"/>
    <w:rsid w:val="00811941"/>
    <w:rsid w:val="00812064"/>
    <w:rsid w:val="008133D7"/>
    <w:rsid w:val="00814C9E"/>
    <w:rsid w:val="008155E7"/>
    <w:rsid w:val="00815B8D"/>
    <w:rsid w:val="00817F1F"/>
    <w:rsid w:val="00823B6D"/>
    <w:rsid w:val="00824E07"/>
    <w:rsid w:val="00824F84"/>
    <w:rsid w:val="00826E06"/>
    <w:rsid w:val="008306CB"/>
    <w:rsid w:val="00831934"/>
    <w:rsid w:val="008364D9"/>
    <w:rsid w:val="00836C0D"/>
    <w:rsid w:val="0083755F"/>
    <w:rsid w:val="00837588"/>
    <w:rsid w:val="008416E2"/>
    <w:rsid w:val="00842163"/>
    <w:rsid w:val="0084287D"/>
    <w:rsid w:val="00843A88"/>
    <w:rsid w:val="00844EE4"/>
    <w:rsid w:val="00846556"/>
    <w:rsid w:val="00847A0B"/>
    <w:rsid w:val="00847FA5"/>
    <w:rsid w:val="00851604"/>
    <w:rsid w:val="00852ED3"/>
    <w:rsid w:val="0085337F"/>
    <w:rsid w:val="008536BD"/>
    <w:rsid w:val="00856D74"/>
    <w:rsid w:val="00862A6E"/>
    <w:rsid w:val="008634D1"/>
    <w:rsid w:val="00864207"/>
    <w:rsid w:val="00864FC7"/>
    <w:rsid w:val="008704CE"/>
    <w:rsid w:val="00871685"/>
    <w:rsid w:val="00875E83"/>
    <w:rsid w:val="00880E77"/>
    <w:rsid w:val="0088135C"/>
    <w:rsid w:val="00881A16"/>
    <w:rsid w:val="00881D32"/>
    <w:rsid w:val="008837B9"/>
    <w:rsid w:val="0088515A"/>
    <w:rsid w:val="0088556C"/>
    <w:rsid w:val="00885772"/>
    <w:rsid w:val="00886109"/>
    <w:rsid w:val="00886B36"/>
    <w:rsid w:val="00890638"/>
    <w:rsid w:val="008916DA"/>
    <w:rsid w:val="008954D1"/>
    <w:rsid w:val="00895CAE"/>
    <w:rsid w:val="00895CB2"/>
    <w:rsid w:val="008A1E7B"/>
    <w:rsid w:val="008A320F"/>
    <w:rsid w:val="008A4011"/>
    <w:rsid w:val="008A63FF"/>
    <w:rsid w:val="008A6D5A"/>
    <w:rsid w:val="008B0659"/>
    <w:rsid w:val="008B5DF1"/>
    <w:rsid w:val="008B5F8F"/>
    <w:rsid w:val="008B6AB6"/>
    <w:rsid w:val="008B6CBB"/>
    <w:rsid w:val="008B73A5"/>
    <w:rsid w:val="008B7FF8"/>
    <w:rsid w:val="008C1855"/>
    <w:rsid w:val="008C46AB"/>
    <w:rsid w:val="008C48A5"/>
    <w:rsid w:val="008D0796"/>
    <w:rsid w:val="008D20B2"/>
    <w:rsid w:val="008D2A85"/>
    <w:rsid w:val="008D417D"/>
    <w:rsid w:val="008D47EB"/>
    <w:rsid w:val="008D50E0"/>
    <w:rsid w:val="008D5D85"/>
    <w:rsid w:val="008D6170"/>
    <w:rsid w:val="008D6410"/>
    <w:rsid w:val="008D79C2"/>
    <w:rsid w:val="008E0604"/>
    <w:rsid w:val="008E0DD7"/>
    <w:rsid w:val="008E1F44"/>
    <w:rsid w:val="008E6CD4"/>
    <w:rsid w:val="008F0F72"/>
    <w:rsid w:val="008F13D5"/>
    <w:rsid w:val="008F3381"/>
    <w:rsid w:val="008F439F"/>
    <w:rsid w:val="008F5338"/>
    <w:rsid w:val="008F56CF"/>
    <w:rsid w:val="008F5B37"/>
    <w:rsid w:val="008F6949"/>
    <w:rsid w:val="008F79CB"/>
    <w:rsid w:val="0090044D"/>
    <w:rsid w:val="00903A63"/>
    <w:rsid w:val="00904014"/>
    <w:rsid w:val="00905930"/>
    <w:rsid w:val="00910098"/>
    <w:rsid w:val="00910A71"/>
    <w:rsid w:val="00911008"/>
    <w:rsid w:val="00911B5E"/>
    <w:rsid w:val="0091262D"/>
    <w:rsid w:val="00912EF1"/>
    <w:rsid w:val="0091345D"/>
    <w:rsid w:val="00915245"/>
    <w:rsid w:val="009160A3"/>
    <w:rsid w:val="009160A8"/>
    <w:rsid w:val="009162F7"/>
    <w:rsid w:val="00916F22"/>
    <w:rsid w:val="00916FB5"/>
    <w:rsid w:val="009173BD"/>
    <w:rsid w:val="00922588"/>
    <w:rsid w:val="00927130"/>
    <w:rsid w:val="00927F6D"/>
    <w:rsid w:val="009305A0"/>
    <w:rsid w:val="00933D6C"/>
    <w:rsid w:val="0093670F"/>
    <w:rsid w:val="009367AE"/>
    <w:rsid w:val="00937D04"/>
    <w:rsid w:val="00942F25"/>
    <w:rsid w:val="00943631"/>
    <w:rsid w:val="00943F51"/>
    <w:rsid w:val="0095117D"/>
    <w:rsid w:val="00951710"/>
    <w:rsid w:val="009526AA"/>
    <w:rsid w:val="00953E72"/>
    <w:rsid w:val="0095428A"/>
    <w:rsid w:val="00954B57"/>
    <w:rsid w:val="009554D7"/>
    <w:rsid w:val="0095614D"/>
    <w:rsid w:val="00960433"/>
    <w:rsid w:val="00960C81"/>
    <w:rsid w:val="00961C96"/>
    <w:rsid w:val="00962416"/>
    <w:rsid w:val="00962F5D"/>
    <w:rsid w:val="00966D8D"/>
    <w:rsid w:val="009677F3"/>
    <w:rsid w:val="00971CBB"/>
    <w:rsid w:val="00972CA7"/>
    <w:rsid w:val="00973B05"/>
    <w:rsid w:val="0097465D"/>
    <w:rsid w:val="00974AFD"/>
    <w:rsid w:val="00975A79"/>
    <w:rsid w:val="009772E8"/>
    <w:rsid w:val="00977E88"/>
    <w:rsid w:val="009803ED"/>
    <w:rsid w:val="00980B4D"/>
    <w:rsid w:val="0098179F"/>
    <w:rsid w:val="00984A96"/>
    <w:rsid w:val="00986996"/>
    <w:rsid w:val="00986B46"/>
    <w:rsid w:val="009938E1"/>
    <w:rsid w:val="00993CEF"/>
    <w:rsid w:val="00994A63"/>
    <w:rsid w:val="00994F0A"/>
    <w:rsid w:val="0099537F"/>
    <w:rsid w:val="0099622A"/>
    <w:rsid w:val="00996B09"/>
    <w:rsid w:val="00996FE2"/>
    <w:rsid w:val="00997255"/>
    <w:rsid w:val="009A0C13"/>
    <w:rsid w:val="009A2070"/>
    <w:rsid w:val="009A4974"/>
    <w:rsid w:val="009A5B95"/>
    <w:rsid w:val="009A6727"/>
    <w:rsid w:val="009A72D3"/>
    <w:rsid w:val="009A7AE3"/>
    <w:rsid w:val="009B0170"/>
    <w:rsid w:val="009B0A56"/>
    <w:rsid w:val="009B411D"/>
    <w:rsid w:val="009B42A8"/>
    <w:rsid w:val="009B6338"/>
    <w:rsid w:val="009B7792"/>
    <w:rsid w:val="009C0A23"/>
    <w:rsid w:val="009C3681"/>
    <w:rsid w:val="009C4FFF"/>
    <w:rsid w:val="009C5D86"/>
    <w:rsid w:val="009C7DA2"/>
    <w:rsid w:val="009D06D9"/>
    <w:rsid w:val="009D1A53"/>
    <w:rsid w:val="009D4148"/>
    <w:rsid w:val="009E08E9"/>
    <w:rsid w:val="009E189D"/>
    <w:rsid w:val="009E1A72"/>
    <w:rsid w:val="009E342A"/>
    <w:rsid w:val="009E5D46"/>
    <w:rsid w:val="009F0494"/>
    <w:rsid w:val="009F28E4"/>
    <w:rsid w:val="009F5298"/>
    <w:rsid w:val="009F7920"/>
    <w:rsid w:val="009F7B7A"/>
    <w:rsid w:val="00A01B4E"/>
    <w:rsid w:val="00A03655"/>
    <w:rsid w:val="00A041CF"/>
    <w:rsid w:val="00A04414"/>
    <w:rsid w:val="00A07D4B"/>
    <w:rsid w:val="00A07DCE"/>
    <w:rsid w:val="00A121EC"/>
    <w:rsid w:val="00A12598"/>
    <w:rsid w:val="00A13268"/>
    <w:rsid w:val="00A20AD4"/>
    <w:rsid w:val="00A21D3C"/>
    <w:rsid w:val="00A23394"/>
    <w:rsid w:val="00A24D93"/>
    <w:rsid w:val="00A26227"/>
    <w:rsid w:val="00A271EA"/>
    <w:rsid w:val="00A27C96"/>
    <w:rsid w:val="00A30CBD"/>
    <w:rsid w:val="00A32E64"/>
    <w:rsid w:val="00A3388A"/>
    <w:rsid w:val="00A33E8E"/>
    <w:rsid w:val="00A34BFD"/>
    <w:rsid w:val="00A357C5"/>
    <w:rsid w:val="00A3783D"/>
    <w:rsid w:val="00A411DA"/>
    <w:rsid w:val="00A43171"/>
    <w:rsid w:val="00A44480"/>
    <w:rsid w:val="00A46353"/>
    <w:rsid w:val="00A4693D"/>
    <w:rsid w:val="00A47294"/>
    <w:rsid w:val="00A500E0"/>
    <w:rsid w:val="00A51FB2"/>
    <w:rsid w:val="00A528E7"/>
    <w:rsid w:val="00A53CC8"/>
    <w:rsid w:val="00A55F8A"/>
    <w:rsid w:val="00A56862"/>
    <w:rsid w:val="00A56F39"/>
    <w:rsid w:val="00A57FB7"/>
    <w:rsid w:val="00A61F2B"/>
    <w:rsid w:val="00A62014"/>
    <w:rsid w:val="00A62030"/>
    <w:rsid w:val="00A63639"/>
    <w:rsid w:val="00A63FED"/>
    <w:rsid w:val="00A64026"/>
    <w:rsid w:val="00A651E3"/>
    <w:rsid w:val="00A66996"/>
    <w:rsid w:val="00A67014"/>
    <w:rsid w:val="00A670F7"/>
    <w:rsid w:val="00A72F98"/>
    <w:rsid w:val="00A757DF"/>
    <w:rsid w:val="00A757F3"/>
    <w:rsid w:val="00A75F7C"/>
    <w:rsid w:val="00A76031"/>
    <w:rsid w:val="00A8097E"/>
    <w:rsid w:val="00A816FD"/>
    <w:rsid w:val="00A9338C"/>
    <w:rsid w:val="00A93526"/>
    <w:rsid w:val="00A948A9"/>
    <w:rsid w:val="00A95D77"/>
    <w:rsid w:val="00A968B1"/>
    <w:rsid w:val="00AA19B4"/>
    <w:rsid w:val="00AA354E"/>
    <w:rsid w:val="00AA396F"/>
    <w:rsid w:val="00AA3D66"/>
    <w:rsid w:val="00AA48BF"/>
    <w:rsid w:val="00AA74A4"/>
    <w:rsid w:val="00AA74B3"/>
    <w:rsid w:val="00AA7B69"/>
    <w:rsid w:val="00AB0EA7"/>
    <w:rsid w:val="00AB2897"/>
    <w:rsid w:val="00AB35CB"/>
    <w:rsid w:val="00AB4520"/>
    <w:rsid w:val="00AB51C8"/>
    <w:rsid w:val="00AB648B"/>
    <w:rsid w:val="00AB7A22"/>
    <w:rsid w:val="00AC211C"/>
    <w:rsid w:val="00AC2AD2"/>
    <w:rsid w:val="00AC2CF8"/>
    <w:rsid w:val="00AC451C"/>
    <w:rsid w:val="00AC4970"/>
    <w:rsid w:val="00AD1107"/>
    <w:rsid w:val="00AD197B"/>
    <w:rsid w:val="00AD3A95"/>
    <w:rsid w:val="00AD3E6E"/>
    <w:rsid w:val="00AD4F3C"/>
    <w:rsid w:val="00AD6A9E"/>
    <w:rsid w:val="00AE1189"/>
    <w:rsid w:val="00AE1605"/>
    <w:rsid w:val="00AE1AF3"/>
    <w:rsid w:val="00AE1C0C"/>
    <w:rsid w:val="00AE3498"/>
    <w:rsid w:val="00AE62C5"/>
    <w:rsid w:val="00AE7C7A"/>
    <w:rsid w:val="00AF098A"/>
    <w:rsid w:val="00AF17DF"/>
    <w:rsid w:val="00AF2FD6"/>
    <w:rsid w:val="00AF4128"/>
    <w:rsid w:val="00AF6A4B"/>
    <w:rsid w:val="00B017EF"/>
    <w:rsid w:val="00B02304"/>
    <w:rsid w:val="00B03803"/>
    <w:rsid w:val="00B03CE1"/>
    <w:rsid w:val="00B046F3"/>
    <w:rsid w:val="00B04B72"/>
    <w:rsid w:val="00B06D62"/>
    <w:rsid w:val="00B10EE9"/>
    <w:rsid w:val="00B11815"/>
    <w:rsid w:val="00B11D3C"/>
    <w:rsid w:val="00B1372A"/>
    <w:rsid w:val="00B15C63"/>
    <w:rsid w:val="00B15C89"/>
    <w:rsid w:val="00B16C1F"/>
    <w:rsid w:val="00B16CC8"/>
    <w:rsid w:val="00B17A5C"/>
    <w:rsid w:val="00B17D2F"/>
    <w:rsid w:val="00B20565"/>
    <w:rsid w:val="00B21E37"/>
    <w:rsid w:val="00B22AB8"/>
    <w:rsid w:val="00B22C7C"/>
    <w:rsid w:val="00B22EC6"/>
    <w:rsid w:val="00B25BFC"/>
    <w:rsid w:val="00B26787"/>
    <w:rsid w:val="00B30249"/>
    <w:rsid w:val="00B30FA3"/>
    <w:rsid w:val="00B31FA4"/>
    <w:rsid w:val="00B3322E"/>
    <w:rsid w:val="00B33B71"/>
    <w:rsid w:val="00B34873"/>
    <w:rsid w:val="00B3547E"/>
    <w:rsid w:val="00B36225"/>
    <w:rsid w:val="00B369AF"/>
    <w:rsid w:val="00B37BDE"/>
    <w:rsid w:val="00B42D6E"/>
    <w:rsid w:val="00B53D41"/>
    <w:rsid w:val="00B56F72"/>
    <w:rsid w:val="00B61FCA"/>
    <w:rsid w:val="00B621F0"/>
    <w:rsid w:val="00B64018"/>
    <w:rsid w:val="00B64C2B"/>
    <w:rsid w:val="00B664DE"/>
    <w:rsid w:val="00B66D8C"/>
    <w:rsid w:val="00B66D91"/>
    <w:rsid w:val="00B71C5C"/>
    <w:rsid w:val="00B747A1"/>
    <w:rsid w:val="00B769F4"/>
    <w:rsid w:val="00B801D9"/>
    <w:rsid w:val="00B805BB"/>
    <w:rsid w:val="00B81DA9"/>
    <w:rsid w:val="00B82F57"/>
    <w:rsid w:val="00B83679"/>
    <w:rsid w:val="00B83792"/>
    <w:rsid w:val="00B83949"/>
    <w:rsid w:val="00B84CA2"/>
    <w:rsid w:val="00B85103"/>
    <w:rsid w:val="00B87D5D"/>
    <w:rsid w:val="00B90355"/>
    <w:rsid w:val="00B90AF9"/>
    <w:rsid w:val="00B95245"/>
    <w:rsid w:val="00B959A2"/>
    <w:rsid w:val="00B96CE3"/>
    <w:rsid w:val="00B97859"/>
    <w:rsid w:val="00BA1499"/>
    <w:rsid w:val="00BA2373"/>
    <w:rsid w:val="00BA23A9"/>
    <w:rsid w:val="00BA4432"/>
    <w:rsid w:val="00BA4B3F"/>
    <w:rsid w:val="00BA5D79"/>
    <w:rsid w:val="00BB1CBF"/>
    <w:rsid w:val="00BB2622"/>
    <w:rsid w:val="00BB3606"/>
    <w:rsid w:val="00BB37B2"/>
    <w:rsid w:val="00BB45A5"/>
    <w:rsid w:val="00BB4E21"/>
    <w:rsid w:val="00BB6A62"/>
    <w:rsid w:val="00BB6EF0"/>
    <w:rsid w:val="00BC0759"/>
    <w:rsid w:val="00BC272A"/>
    <w:rsid w:val="00BC30FE"/>
    <w:rsid w:val="00BC42CA"/>
    <w:rsid w:val="00BC4E91"/>
    <w:rsid w:val="00BC5658"/>
    <w:rsid w:val="00BC5A4C"/>
    <w:rsid w:val="00BD2878"/>
    <w:rsid w:val="00BD2AB6"/>
    <w:rsid w:val="00BD361E"/>
    <w:rsid w:val="00BD4C0F"/>
    <w:rsid w:val="00BD4F4B"/>
    <w:rsid w:val="00BD578F"/>
    <w:rsid w:val="00BD5AB9"/>
    <w:rsid w:val="00BD6586"/>
    <w:rsid w:val="00BD7DF1"/>
    <w:rsid w:val="00BE0C1F"/>
    <w:rsid w:val="00BE2808"/>
    <w:rsid w:val="00BE3FA3"/>
    <w:rsid w:val="00BE584A"/>
    <w:rsid w:val="00BE7234"/>
    <w:rsid w:val="00BF3D95"/>
    <w:rsid w:val="00BF4357"/>
    <w:rsid w:val="00BF5AED"/>
    <w:rsid w:val="00BF684E"/>
    <w:rsid w:val="00C01526"/>
    <w:rsid w:val="00C033C5"/>
    <w:rsid w:val="00C06F00"/>
    <w:rsid w:val="00C113A6"/>
    <w:rsid w:val="00C11AC4"/>
    <w:rsid w:val="00C13C91"/>
    <w:rsid w:val="00C13CCF"/>
    <w:rsid w:val="00C175A5"/>
    <w:rsid w:val="00C1775B"/>
    <w:rsid w:val="00C203D2"/>
    <w:rsid w:val="00C23264"/>
    <w:rsid w:val="00C2372C"/>
    <w:rsid w:val="00C246F3"/>
    <w:rsid w:val="00C27419"/>
    <w:rsid w:val="00C301AC"/>
    <w:rsid w:val="00C309FE"/>
    <w:rsid w:val="00C32446"/>
    <w:rsid w:val="00C32546"/>
    <w:rsid w:val="00C36B6F"/>
    <w:rsid w:val="00C404E8"/>
    <w:rsid w:val="00C41608"/>
    <w:rsid w:val="00C41858"/>
    <w:rsid w:val="00C418CB"/>
    <w:rsid w:val="00C41FEA"/>
    <w:rsid w:val="00C443AA"/>
    <w:rsid w:val="00C445C7"/>
    <w:rsid w:val="00C44EAE"/>
    <w:rsid w:val="00C45F77"/>
    <w:rsid w:val="00C47241"/>
    <w:rsid w:val="00C538C8"/>
    <w:rsid w:val="00C53E2A"/>
    <w:rsid w:val="00C566CB"/>
    <w:rsid w:val="00C56CE0"/>
    <w:rsid w:val="00C60FA7"/>
    <w:rsid w:val="00C65189"/>
    <w:rsid w:val="00C661B9"/>
    <w:rsid w:val="00C70C1C"/>
    <w:rsid w:val="00C71855"/>
    <w:rsid w:val="00C773F3"/>
    <w:rsid w:val="00C81CEC"/>
    <w:rsid w:val="00C81E58"/>
    <w:rsid w:val="00C8246C"/>
    <w:rsid w:val="00C83F9E"/>
    <w:rsid w:val="00C8434A"/>
    <w:rsid w:val="00C85228"/>
    <w:rsid w:val="00C92FC6"/>
    <w:rsid w:val="00C95495"/>
    <w:rsid w:val="00C96116"/>
    <w:rsid w:val="00C96BC6"/>
    <w:rsid w:val="00C9740E"/>
    <w:rsid w:val="00CA2928"/>
    <w:rsid w:val="00CA5BAB"/>
    <w:rsid w:val="00CA5DA2"/>
    <w:rsid w:val="00CA6890"/>
    <w:rsid w:val="00CA7733"/>
    <w:rsid w:val="00CB1053"/>
    <w:rsid w:val="00CB172A"/>
    <w:rsid w:val="00CB3957"/>
    <w:rsid w:val="00CB3E78"/>
    <w:rsid w:val="00CB79F4"/>
    <w:rsid w:val="00CC0944"/>
    <w:rsid w:val="00CC09D2"/>
    <w:rsid w:val="00CC217F"/>
    <w:rsid w:val="00CC34AE"/>
    <w:rsid w:val="00CC4D29"/>
    <w:rsid w:val="00CC5A95"/>
    <w:rsid w:val="00CD0699"/>
    <w:rsid w:val="00CD1413"/>
    <w:rsid w:val="00CD27F3"/>
    <w:rsid w:val="00CD3DDC"/>
    <w:rsid w:val="00CD5134"/>
    <w:rsid w:val="00CD5C8A"/>
    <w:rsid w:val="00CD706C"/>
    <w:rsid w:val="00CE01BD"/>
    <w:rsid w:val="00CE15E2"/>
    <w:rsid w:val="00CE290F"/>
    <w:rsid w:val="00CE3648"/>
    <w:rsid w:val="00CE3D9D"/>
    <w:rsid w:val="00CE5061"/>
    <w:rsid w:val="00CF095F"/>
    <w:rsid w:val="00CF15DF"/>
    <w:rsid w:val="00CF1D02"/>
    <w:rsid w:val="00CF5631"/>
    <w:rsid w:val="00CF70A1"/>
    <w:rsid w:val="00D00D5C"/>
    <w:rsid w:val="00D03552"/>
    <w:rsid w:val="00D0526D"/>
    <w:rsid w:val="00D06A1C"/>
    <w:rsid w:val="00D0774D"/>
    <w:rsid w:val="00D1043C"/>
    <w:rsid w:val="00D1285B"/>
    <w:rsid w:val="00D131AB"/>
    <w:rsid w:val="00D145FB"/>
    <w:rsid w:val="00D151E0"/>
    <w:rsid w:val="00D15A75"/>
    <w:rsid w:val="00D16FD9"/>
    <w:rsid w:val="00D20A05"/>
    <w:rsid w:val="00D211D5"/>
    <w:rsid w:val="00D22478"/>
    <w:rsid w:val="00D22E08"/>
    <w:rsid w:val="00D251BE"/>
    <w:rsid w:val="00D2592C"/>
    <w:rsid w:val="00D2596A"/>
    <w:rsid w:val="00D27B08"/>
    <w:rsid w:val="00D27D33"/>
    <w:rsid w:val="00D27D5C"/>
    <w:rsid w:val="00D33C13"/>
    <w:rsid w:val="00D34D9A"/>
    <w:rsid w:val="00D3575A"/>
    <w:rsid w:val="00D35EBC"/>
    <w:rsid w:val="00D373CD"/>
    <w:rsid w:val="00D429BC"/>
    <w:rsid w:val="00D441E6"/>
    <w:rsid w:val="00D4767F"/>
    <w:rsid w:val="00D501D6"/>
    <w:rsid w:val="00D50AE2"/>
    <w:rsid w:val="00D51428"/>
    <w:rsid w:val="00D53AA6"/>
    <w:rsid w:val="00D53AF7"/>
    <w:rsid w:val="00D54ADA"/>
    <w:rsid w:val="00D54DD7"/>
    <w:rsid w:val="00D553AF"/>
    <w:rsid w:val="00D56518"/>
    <w:rsid w:val="00D57603"/>
    <w:rsid w:val="00D6049B"/>
    <w:rsid w:val="00D61A4B"/>
    <w:rsid w:val="00D63261"/>
    <w:rsid w:val="00D63742"/>
    <w:rsid w:val="00D63C12"/>
    <w:rsid w:val="00D63D40"/>
    <w:rsid w:val="00D64439"/>
    <w:rsid w:val="00D679AC"/>
    <w:rsid w:val="00D73648"/>
    <w:rsid w:val="00D81B23"/>
    <w:rsid w:val="00D81BB2"/>
    <w:rsid w:val="00D8533E"/>
    <w:rsid w:val="00D85C82"/>
    <w:rsid w:val="00D86DB4"/>
    <w:rsid w:val="00D871D5"/>
    <w:rsid w:val="00D87218"/>
    <w:rsid w:val="00D87E1D"/>
    <w:rsid w:val="00D90234"/>
    <w:rsid w:val="00D911EA"/>
    <w:rsid w:val="00D915A4"/>
    <w:rsid w:val="00D93C70"/>
    <w:rsid w:val="00D95116"/>
    <w:rsid w:val="00D958DC"/>
    <w:rsid w:val="00D95BCB"/>
    <w:rsid w:val="00D96D4D"/>
    <w:rsid w:val="00D9735F"/>
    <w:rsid w:val="00D97F69"/>
    <w:rsid w:val="00DA1FFC"/>
    <w:rsid w:val="00DA2AD3"/>
    <w:rsid w:val="00DA3027"/>
    <w:rsid w:val="00DA56CF"/>
    <w:rsid w:val="00DA6263"/>
    <w:rsid w:val="00DA703E"/>
    <w:rsid w:val="00DA7AA2"/>
    <w:rsid w:val="00DB0939"/>
    <w:rsid w:val="00DB0942"/>
    <w:rsid w:val="00DB3593"/>
    <w:rsid w:val="00DB4D87"/>
    <w:rsid w:val="00DB5BBD"/>
    <w:rsid w:val="00DB61A8"/>
    <w:rsid w:val="00DC2BDF"/>
    <w:rsid w:val="00DC5EDD"/>
    <w:rsid w:val="00DC64BC"/>
    <w:rsid w:val="00DD08E6"/>
    <w:rsid w:val="00DD0C13"/>
    <w:rsid w:val="00DD1D73"/>
    <w:rsid w:val="00DD24AD"/>
    <w:rsid w:val="00DD44AD"/>
    <w:rsid w:val="00DD644E"/>
    <w:rsid w:val="00DD7E61"/>
    <w:rsid w:val="00DE0959"/>
    <w:rsid w:val="00DE1BEF"/>
    <w:rsid w:val="00DE29F0"/>
    <w:rsid w:val="00DE3AE7"/>
    <w:rsid w:val="00DE5394"/>
    <w:rsid w:val="00DE53D6"/>
    <w:rsid w:val="00DE5FC4"/>
    <w:rsid w:val="00DE68BD"/>
    <w:rsid w:val="00DE6A41"/>
    <w:rsid w:val="00DF0F13"/>
    <w:rsid w:val="00DF1F09"/>
    <w:rsid w:val="00DF4243"/>
    <w:rsid w:val="00DF5415"/>
    <w:rsid w:val="00E001D3"/>
    <w:rsid w:val="00E03214"/>
    <w:rsid w:val="00E04A31"/>
    <w:rsid w:val="00E04DA5"/>
    <w:rsid w:val="00E050E3"/>
    <w:rsid w:val="00E05BB0"/>
    <w:rsid w:val="00E11E9C"/>
    <w:rsid w:val="00E1299F"/>
    <w:rsid w:val="00E13173"/>
    <w:rsid w:val="00E13FAE"/>
    <w:rsid w:val="00E15F33"/>
    <w:rsid w:val="00E1624F"/>
    <w:rsid w:val="00E20521"/>
    <w:rsid w:val="00E22C4C"/>
    <w:rsid w:val="00E26DBB"/>
    <w:rsid w:val="00E27460"/>
    <w:rsid w:val="00E27FDA"/>
    <w:rsid w:val="00E328BA"/>
    <w:rsid w:val="00E348A0"/>
    <w:rsid w:val="00E422B6"/>
    <w:rsid w:val="00E46A81"/>
    <w:rsid w:val="00E5049E"/>
    <w:rsid w:val="00E5477E"/>
    <w:rsid w:val="00E54A42"/>
    <w:rsid w:val="00E57F53"/>
    <w:rsid w:val="00E612C8"/>
    <w:rsid w:val="00E62130"/>
    <w:rsid w:val="00E630F6"/>
    <w:rsid w:val="00E63ADD"/>
    <w:rsid w:val="00E641F3"/>
    <w:rsid w:val="00E65E16"/>
    <w:rsid w:val="00E66D50"/>
    <w:rsid w:val="00E70DF4"/>
    <w:rsid w:val="00E736BE"/>
    <w:rsid w:val="00E763D6"/>
    <w:rsid w:val="00E76D4B"/>
    <w:rsid w:val="00E83969"/>
    <w:rsid w:val="00E839F6"/>
    <w:rsid w:val="00E8469C"/>
    <w:rsid w:val="00E85839"/>
    <w:rsid w:val="00E871C0"/>
    <w:rsid w:val="00E9102B"/>
    <w:rsid w:val="00E91DA2"/>
    <w:rsid w:val="00E948D3"/>
    <w:rsid w:val="00E94CBA"/>
    <w:rsid w:val="00E9570B"/>
    <w:rsid w:val="00E95EC6"/>
    <w:rsid w:val="00E9652A"/>
    <w:rsid w:val="00E96FE7"/>
    <w:rsid w:val="00E97530"/>
    <w:rsid w:val="00EA0EB3"/>
    <w:rsid w:val="00EA13A5"/>
    <w:rsid w:val="00EA1BF2"/>
    <w:rsid w:val="00EA334D"/>
    <w:rsid w:val="00EA36E6"/>
    <w:rsid w:val="00EA3C43"/>
    <w:rsid w:val="00EA3D0F"/>
    <w:rsid w:val="00EA5BF8"/>
    <w:rsid w:val="00EA6708"/>
    <w:rsid w:val="00EA69C9"/>
    <w:rsid w:val="00EB192D"/>
    <w:rsid w:val="00EB1A83"/>
    <w:rsid w:val="00EB2244"/>
    <w:rsid w:val="00EB366C"/>
    <w:rsid w:val="00EB43EE"/>
    <w:rsid w:val="00EB4FB1"/>
    <w:rsid w:val="00EB61FB"/>
    <w:rsid w:val="00EB6866"/>
    <w:rsid w:val="00EB6A94"/>
    <w:rsid w:val="00EB72D0"/>
    <w:rsid w:val="00EB7AF3"/>
    <w:rsid w:val="00EB7FDC"/>
    <w:rsid w:val="00EC0529"/>
    <w:rsid w:val="00EC4993"/>
    <w:rsid w:val="00EC65D2"/>
    <w:rsid w:val="00EC698B"/>
    <w:rsid w:val="00ED057B"/>
    <w:rsid w:val="00ED0A9B"/>
    <w:rsid w:val="00ED1E81"/>
    <w:rsid w:val="00ED1F3E"/>
    <w:rsid w:val="00ED2CF4"/>
    <w:rsid w:val="00ED573E"/>
    <w:rsid w:val="00ED6C98"/>
    <w:rsid w:val="00EE1DD8"/>
    <w:rsid w:val="00EE4A75"/>
    <w:rsid w:val="00EE558C"/>
    <w:rsid w:val="00EE5730"/>
    <w:rsid w:val="00EE58C2"/>
    <w:rsid w:val="00EE62C1"/>
    <w:rsid w:val="00EE7017"/>
    <w:rsid w:val="00EF383F"/>
    <w:rsid w:val="00EF3A24"/>
    <w:rsid w:val="00EF682F"/>
    <w:rsid w:val="00EF6BA3"/>
    <w:rsid w:val="00EF7C41"/>
    <w:rsid w:val="00F05460"/>
    <w:rsid w:val="00F06F32"/>
    <w:rsid w:val="00F12DFF"/>
    <w:rsid w:val="00F13080"/>
    <w:rsid w:val="00F16FA6"/>
    <w:rsid w:val="00F2281F"/>
    <w:rsid w:val="00F23378"/>
    <w:rsid w:val="00F2410C"/>
    <w:rsid w:val="00F27A7D"/>
    <w:rsid w:val="00F328A7"/>
    <w:rsid w:val="00F3344F"/>
    <w:rsid w:val="00F33657"/>
    <w:rsid w:val="00F339C3"/>
    <w:rsid w:val="00F33F5C"/>
    <w:rsid w:val="00F34268"/>
    <w:rsid w:val="00F35639"/>
    <w:rsid w:val="00F368DE"/>
    <w:rsid w:val="00F371E9"/>
    <w:rsid w:val="00F418A6"/>
    <w:rsid w:val="00F41A32"/>
    <w:rsid w:val="00F41E2D"/>
    <w:rsid w:val="00F4389F"/>
    <w:rsid w:val="00F46AA7"/>
    <w:rsid w:val="00F4793C"/>
    <w:rsid w:val="00F50A8B"/>
    <w:rsid w:val="00F50EC2"/>
    <w:rsid w:val="00F51F93"/>
    <w:rsid w:val="00F53064"/>
    <w:rsid w:val="00F55335"/>
    <w:rsid w:val="00F56A5B"/>
    <w:rsid w:val="00F56B23"/>
    <w:rsid w:val="00F56D17"/>
    <w:rsid w:val="00F60724"/>
    <w:rsid w:val="00F60B0B"/>
    <w:rsid w:val="00F60E2D"/>
    <w:rsid w:val="00F62BE4"/>
    <w:rsid w:val="00F63061"/>
    <w:rsid w:val="00F65C9B"/>
    <w:rsid w:val="00F72C55"/>
    <w:rsid w:val="00F73CD7"/>
    <w:rsid w:val="00F74CB6"/>
    <w:rsid w:val="00F767B6"/>
    <w:rsid w:val="00F76870"/>
    <w:rsid w:val="00F76D5F"/>
    <w:rsid w:val="00F81D45"/>
    <w:rsid w:val="00F81FF6"/>
    <w:rsid w:val="00F822AF"/>
    <w:rsid w:val="00F82E69"/>
    <w:rsid w:val="00F83412"/>
    <w:rsid w:val="00F85512"/>
    <w:rsid w:val="00F91FE9"/>
    <w:rsid w:val="00F9233C"/>
    <w:rsid w:val="00F93160"/>
    <w:rsid w:val="00F96421"/>
    <w:rsid w:val="00F9685D"/>
    <w:rsid w:val="00FA0F3D"/>
    <w:rsid w:val="00FA187E"/>
    <w:rsid w:val="00FA20EF"/>
    <w:rsid w:val="00FA23A8"/>
    <w:rsid w:val="00FA2EE2"/>
    <w:rsid w:val="00FA36B7"/>
    <w:rsid w:val="00FA5F2A"/>
    <w:rsid w:val="00FA65DC"/>
    <w:rsid w:val="00FA66E5"/>
    <w:rsid w:val="00FA75D8"/>
    <w:rsid w:val="00FB26AB"/>
    <w:rsid w:val="00FB3515"/>
    <w:rsid w:val="00FB3BD6"/>
    <w:rsid w:val="00FB43A4"/>
    <w:rsid w:val="00FB6E25"/>
    <w:rsid w:val="00FB70CE"/>
    <w:rsid w:val="00FB7298"/>
    <w:rsid w:val="00FB7437"/>
    <w:rsid w:val="00FC0840"/>
    <w:rsid w:val="00FC1DEF"/>
    <w:rsid w:val="00FC3139"/>
    <w:rsid w:val="00FC5272"/>
    <w:rsid w:val="00FC5A0E"/>
    <w:rsid w:val="00FD0C7B"/>
    <w:rsid w:val="00FD22A5"/>
    <w:rsid w:val="00FD62A4"/>
    <w:rsid w:val="00FD6348"/>
    <w:rsid w:val="00FD6B48"/>
    <w:rsid w:val="00FD6E64"/>
    <w:rsid w:val="00FD7014"/>
    <w:rsid w:val="00FE3C07"/>
    <w:rsid w:val="00FF0E05"/>
    <w:rsid w:val="00FF2180"/>
    <w:rsid w:val="00FF3B33"/>
    <w:rsid w:val="00FF5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6F40C9"/>
  <w15:docId w15:val="{D17746E4-E916-452A-B5B8-5A7E7DF5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5E83"/>
    <w:rPr>
      <w:sz w:val="24"/>
      <w:szCs w:val="24"/>
    </w:rPr>
  </w:style>
  <w:style w:type="paragraph" w:styleId="Heading1">
    <w:name w:val="heading 1"/>
    <w:aliases w:val="Main Heading"/>
    <w:basedOn w:val="Normal"/>
    <w:next w:val="Normal"/>
    <w:link w:val="Heading1Char"/>
    <w:uiPriority w:val="9"/>
    <w:qFormat/>
    <w:rsid w:val="00EF383F"/>
    <w:pPr>
      <w:widowControl w:val="0"/>
      <w:autoSpaceDE w:val="0"/>
      <w:autoSpaceDN w:val="0"/>
      <w:adjustRightInd w:val="0"/>
      <w:ind w:right="-135"/>
      <w:jc w:val="right"/>
      <w:outlineLvl w:val="0"/>
    </w:pPr>
    <w:rPr>
      <w:rFonts w:cs="Calibri"/>
      <w:bCs/>
      <w:color w:val="006187"/>
      <w:sz w:val="34"/>
      <w:szCs w:val="34"/>
    </w:rPr>
  </w:style>
  <w:style w:type="paragraph" w:styleId="Heading2">
    <w:name w:val="heading 2"/>
    <w:basedOn w:val="Normal"/>
    <w:next w:val="Normal"/>
    <w:link w:val="Heading2Char"/>
    <w:uiPriority w:val="9"/>
    <w:unhideWhenUsed/>
    <w:qFormat/>
    <w:rsid w:val="00E57F53"/>
    <w:pPr>
      <w:spacing w:before="96" w:afterLines="40" w:after="96"/>
      <w:outlineLvl w:val="1"/>
    </w:pPr>
    <w:rPr>
      <w:rFonts w:ascii="Arial" w:eastAsia="Times New Roman" w:hAnsi="Arial"/>
      <w:b/>
      <w:color w:val="365F91" w:themeColor="accent1" w:themeShade="BF"/>
      <w:sz w:val="20"/>
      <w:szCs w:val="32"/>
    </w:rPr>
  </w:style>
  <w:style w:type="paragraph" w:styleId="Heading3">
    <w:name w:val="heading 3"/>
    <w:basedOn w:val="Subheading2"/>
    <w:next w:val="Normal"/>
    <w:link w:val="Heading3Char"/>
    <w:uiPriority w:val="9"/>
    <w:unhideWhenUsed/>
    <w:rsid w:val="00B3322E"/>
    <w:pPr>
      <w:outlineLvl w:val="2"/>
    </w:pPr>
  </w:style>
  <w:style w:type="paragraph" w:styleId="Heading4">
    <w:name w:val="heading 4"/>
    <w:basedOn w:val="Normal"/>
    <w:next w:val="Normal"/>
    <w:link w:val="Heading4Char"/>
    <w:uiPriority w:val="9"/>
    <w:unhideWhenUsed/>
    <w:rsid w:val="0072104F"/>
    <w:pPr>
      <w:keepNext/>
      <w:spacing w:before="240" w:after="60"/>
      <w:outlineLvl w:val="3"/>
    </w:pPr>
    <w:rPr>
      <w:rFonts w:ascii="Arial" w:hAnsi="Arial" w:cs="Arial"/>
      <w:b/>
      <w:bCs/>
      <w:sz w:val="22"/>
      <w:szCs w:val="28"/>
      <w:lang w:val="en-US"/>
    </w:rPr>
  </w:style>
  <w:style w:type="paragraph" w:styleId="Heading5">
    <w:name w:val="heading 5"/>
    <w:basedOn w:val="Normal"/>
    <w:next w:val="Normal"/>
    <w:link w:val="Heading5Char"/>
    <w:uiPriority w:val="9"/>
    <w:unhideWhenUsed/>
    <w:rsid w:val="0072104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rsid w:val="0072104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rsid w:val="0072104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104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104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EF383F"/>
    <w:rPr>
      <w:rFonts w:cs="Calibri"/>
      <w:bCs/>
      <w:color w:val="006187"/>
      <w:sz w:val="34"/>
      <w:szCs w:val="34"/>
    </w:rPr>
  </w:style>
  <w:style w:type="character" w:customStyle="1" w:styleId="Heading2Char">
    <w:name w:val="Heading 2 Char"/>
    <w:basedOn w:val="DefaultParagraphFont"/>
    <w:link w:val="Heading2"/>
    <w:uiPriority w:val="9"/>
    <w:locked/>
    <w:rsid w:val="00E57F53"/>
    <w:rPr>
      <w:rFonts w:ascii="Arial" w:eastAsia="Times New Roman" w:hAnsi="Arial"/>
      <w:b/>
      <w:color w:val="365F91" w:themeColor="accent1" w:themeShade="BF"/>
      <w:sz w:val="20"/>
      <w:szCs w:val="32"/>
    </w:rPr>
  </w:style>
  <w:style w:type="character" w:customStyle="1" w:styleId="Heading3Char">
    <w:name w:val="Heading 3 Char"/>
    <w:basedOn w:val="DefaultParagraphFont"/>
    <w:link w:val="Heading3"/>
    <w:uiPriority w:val="9"/>
    <w:locked/>
    <w:rsid w:val="00B3322E"/>
    <w:rPr>
      <w:rFonts w:ascii="Arial" w:hAnsi="Arial"/>
      <w:b/>
      <w:i/>
      <w:color w:val="000000" w:themeColor="text1"/>
      <w:sz w:val="20"/>
      <w:szCs w:val="32"/>
    </w:rPr>
  </w:style>
  <w:style w:type="character" w:customStyle="1" w:styleId="Heading4Char">
    <w:name w:val="Heading 4 Char"/>
    <w:basedOn w:val="DefaultParagraphFont"/>
    <w:link w:val="Heading4"/>
    <w:uiPriority w:val="9"/>
    <w:locked/>
    <w:rsid w:val="0072104F"/>
    <w:rPr>
      <w:rFonts w:ascii="Arial" w:hAnsi="Arial" w:cs="Arial"/>
      <w:b/>
      <w:bCs/>
      <w:szCs w:val="28"/>
      <w:lang w:val="en-US"/>
    </w:rPr>
  </w:style>
  <w:style w:type="paragraph" w:styleId="Header">
    <w:name w:val="header"/>
    <w:basedOn w:val="Normal"/>
    <w:link w:val="HeaderChar"/>
    <w:uiPriority w:val="99"/>
    <w:rsid w:val="00321794"/>
    <w:pPr>
      <w:tabs>
        <w:tab w:val="center" w:pos="4153"/>
        <w:tab w:val="right" w:pos="8306"/>
      </w:tabs>
    </w:pPr>
  </w:style>
  <w:style w:type="character" w:customStyle="1" w:styleId="HeaderChar">
    <w:name w:val="Header Char"/>
    <w:basedOn w:val="DefaultParagraphFont"/>
    <w:link w:val="Header"/>
    <w:uiPriority w:val="99"/>
    <w:rsid w:val="004E14C5"/>
  </w:style>
  <w:style w:type="paragraph" w:styleId="Footer">
    <w:name w:val="footer"/>
    <w:basedOn w:val="Normal"/>
    <w:link w:val="FooterChar"/>
    <w:uiPriority w:val="99"/>
    <w:rsid w:val="00321794"/>
    <w:pPr>
      <w:tabs>
        <w:tab w:val="center" w:pos="4153"/>
        <w:tab w:val="right" w:pos="8306"/>
      </w:tabs>
    </w:pPr>
  </w:style>
  <w:style w:type="character" w:customStyle="1" w:styleId="FooterChar">
    <w:name w:val="Footer Char"/>
    <w:basedOn w:val="DefaultParagraphFont"/>
    <w:link w:val="Footer"/>
    <w:uiPriority w:val="99"/>
    <w:locked/>
    <w:rsid w:val="001A6D75"/>
    <w:rPr>
      <w:rFonts w:cs="Times New Roman"/>
    </w:rPr>
  </w:style>
  <w:style w:type="paragraph" w:styleId="DocumentMap">
    <w:name w:val="Document Map"/>
    <w:basedOn w:val="Normal"/>
    <w:link w:val="DocumentMapChar"/>
    <w:uiPriority w:val="99"/>
    <w:semiHidden/>
    <w:rsid w:val="0032179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E14C5"/>
    <w:rPr>
      <w:sz w:val="0"/>
      <w:szCs w:val="0"/>
    </w:rPr>
  </w:style>
  <w:style w:type="paragraph" w:styleId="Title">
    <w:name w:val="Title"/>
    <w:basedOn w:val="Normal"/>
    <w:next w:val="Normal"/>
    <w:link w:val="TitleChar"/>
    <w:uiPriority w:val="10"/>
    <w:rsid w:val="0072104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104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72104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104F"/>
    <w:rPr>
      <w:rFonts w:asciiTheme="majorHAnsi" w:eastAsiaTheme="majorEastAsia" w:hAnsiTheme="majorHAnsi" w:cstheme="majorBidi"/>
      <w:sz w:val="24"/>
      <w:szCs w:val="24"/>
    </w:rPr>
  </w:style>
  <w:style w:type="character" w:styleId="PageNumber">
    <w:name w:val="page number"/>
    <w:basedOn w:val="DefaultParagraphFont"/>
    <w:uiPriority w:val="99"/>
    <w:semiHidden/>
    <w:rsid w:val="00321794"/>
    <w:rPr>
      <w:rFonts w:cs="Times New Roman"/>
    </w:rPr>
  </w:style>
  <w:style w:type="paragraph" w:styleId="BalloonText">
    <w:name w:val="Balloon Text"/>
    <w:basedOn w:val="Normal"/>
    <w:link w:val="BalloonTextChar"/>
    <w:uiPriority w:val="99"/>
    <w:semiHidden/>
    <w:unhideWhenUsed/>
    <w:rsid w:val="004E13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3FF"/>
    <w:rPr>
      <w:rFonts w:ascii="Tahoma" w:hAnsi="Tahoma" w:cs="Tahoma"/>
      <w:sz w:val="16"/>
      <w:szCs w:val="16"/>
    </w:rPr>
  </w:style>
  <w:style w:type="table" w:styleId="TableGrid">
    <w:name w:val="Table Grid"/>
    <w:basedOn w:val="TableNormal"/>
    <w:uiPriority w:val="59"/>
    <w:rsid w:val="00272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27223C"/>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eGrid2">
    <w:name w:val="Table Grid2"/>
    <w:basedOn w:val="TableNormal"/>
    <w:next w:val="TableGrid"/>
    <w:uiPriority w:val="59"/>
    <w:rsid w:val="005D476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663B"/>
    <w:rPr>
      <w:rFonts w:ascii="Arial" w:hAnsi="Arial" w:cs="Arial"/>
      <w:lang w:eastAsia="en-US" w:bidi="en-US"/>
    </w:rPr>
  </w:style>
  <w:style w:type="character" w:customStyle="1" w:styleId="FootnoteTextChar">
    <w:name w:val="Footnote Text Char"/>
    <w:basedOn w:val="DefaultParagraphFont"/>
    <w:link w:val="FootnoteText"/>
    <w:uiPriority w:val="99"/>
    <w:rsid w:val="003C663B"/>
    <w:rPr>
      <w:rFonts w:ascii="Arial" w:hAnsi="Arial" w:cs="Arial"/>
      <w:lang w:eastAsia="en-US" w:bidi="en-US"/>
    </w:rPr>
  </w:style>
  <w:style w:type="character" w:styleId="FootnoteReference">
    <w:name w:val="footnote reference"/>
    <w:basedOn w:val="DefaultParagraphFont"/>
    <w:uiPriority w:val="99"/>
    <w:unhideWhenUsed/>
    <w:rsid w:val="003C663B"/>
    <w:rPr>
      <w:vertAlign w:val="superscript"/>
    </w:rPr>
  </w:style>
  <w:style w:type="character" w:customStyle="1" w:styleId="Heading5Char">
    <w:name w:val="Heading 5 Char"/>
    <w:basedOn w:val="DefaultParagraphFont"/>
    <w:link w:val="Heading5"/>
    <w:uiPriority w:val="9"/>
    <w:rsid w:val="0072104F"/>
    <w:rPr>
      <w:rFonts w:cstheme="majorBidi"/>
      <w:b/>
      <w:bCs/>
      <w:i/>
      <w:iCs/>
      <w:sz w:val="26"/>
      <w:szCs w:val="26"/>
    </w:rPr>
  </w:style>
  <w:style w:type="character" w:customStyle="1" w:styleId="Heading6Char">
    <w:name w:val="Heading 6 Char"/>
    <w:basedOn w:val="DefaultParagraphFont"/>
    <w:link w:val="Heading6"/>
    <w:uiPriority w:val="9"/>
    <w:rsid w:val="0072104F"/>
    <w:rPr>
      <w:rFonts w:cstheme="majorBidi"/>
      <w:b/>
      <w:bCs/>
    </w:rPr>
  </w:style>
  <w:style w:type="paragraph" w:styleId="ListParagraph">
    <w:name w:val="List Paragraph"/>
    <w:aliases w:val="111 numbered text,DDM Gen Text,List Paragraph1,List Paragraph11,Recommendation,1 heading,NFP GP Bulleted List"/>
    <w:basedOn w:val="Normal"/>
    <w:link w:val="ListParagraphChar"/>
    <w:uiPriority w:val="34"/>
    <w:qFormat/>
    <w:rsid w:val="0072104F"/>
    <w:pPr>
      <w:ind w:left="720"/>
      <w:contextualSpacing/>
    </w:pPr>
  </w:style>
  <w:style w:type="character" w:styleId="BookTitle">
    <w:name w:val="Book Title"/>
    <w:basedOn w:val="DefaultParagraphFont"/>
    <w:uiPriority w:val="33"/>
    <w:rsid w:val="0072104F"/>
    <w:rPr>
      <w:rFonts w:asciiTheme="majorHAnsi" w:eastAsiaTheme="majorEastAsia" w:hAnsiTheme="majorHAnsi"/>
      <w:b/>
      <w:i/>
      <w:sz w:val="24"/>
      <w:szCs w:val="24"/>
    </w:rPr>
  </w:style>
  <w:style w:type="paragraph" w:customStyle="1" w:styleId="Default">
    <w:name w:val="Default"/>
    <w:rsid w:val="00E85839"/>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qFormat/>
    <w:rsid w:val="0072104F"/>
    <w:pPr>
      <w:spacing w:after="200"/>
    </w:pPr>
    <w:rPr>
      <w:rFonts w:ascii="Arial" w:hAnsi="Arial" w:cs="Arial"/>
      <w:b/>
      <w:bCs/>
      <w:color w:val="4F81BD" w:themeColor="accent1"/>
      <w:szCs w:val="18"/>
      <w:lang w:val="en-US"/>
    </w:rPr>
  </w:style>
  <w:style w:type="character" w:styleId="Hyperlink">
    <w:name w:val="Hyperlink"/>
    <w:basedOn w:val="DefaultParagraphFont"/>
    <w:uiPriority w:val="99"/>
    <w:unhideWhenUsed/>
    <w:rsid w:val="0072104F"/>
    <w:rPr>
      <w:color w:val="0000FF" w:themeColor="hyperlink"/>
      <w:u w:val="single"/>
    </w:rPr>
  </w:style>
  <w:style w:type="character" w:customStyle="1" w:styleId="Heading7Char">
    <w:name w:val="Heading 7 Char"/>
    <w:basedOn w:val="DefaultParagraphFont"/>
    <w:link w:val="Heading7"/>
    <w:uiPriority w:val="9"/>
    <w:semiHidden/>
    <w:rsid w:val="0072104F"/>
    <w:rPr>
      <w:rFonts w:cstheme="majorBidi"/>
      <w:sz w:val="24"/>
      <w:szCs w:val="24"/>
    </w:rPr>
  </w:style>
  <w:style w:type="character" w:customStyle="1" w:styleId="Heading8Char">
    <w:name w:val="Heading 8 Char"/>
    <w:basedOn w:val="DefaultParagraphFont"/>
    <w:link w:val="Heading8"/>
    <w:uiPriority w:val="9"/>
    <w:semiHidden/>
    <w:rsid w:val="0072104F"/>
    <w:rPr>
      <w:rFonts w:cstheme="majorBidi"/>
      <w:i/>
      <w:iCs/>
      <w:sz w:val="24"/>
      <w:szCs w:val="24"/>
    </w:rPr>
  </w:style>
  <w:style w:type="character" w:customStyle="1" w:styleId="Heading9Char">
    <w:name w:val="Heading 9 Char"/>
    <w:basedOn w:val="DefaultParagraphFont"/>
    <w:link w:val="Heading9"/>
    <w:uiPriority w:val="9"/>
    <w:semiHidden/>
    <w:rsid w:val="0072104F"/>
    <w:rPr>
      <w:rFonts w:asciiTheme="majorHAnsi" w:eastAsiaTheme="majorEastAsia" w:hAnsiTheme="majorHAnsi" w:cstheme="majorBidi"/>
    </w:rPr>
  </w:style>
  <w:style w:type="character" w:styleId="Strong">
    <w:name w:val="Strong"/>
    <w:basedOn w:val="DefaultParagraphFont"/>
    <w:uiPriority w:val="22"/>
    <w:qFormat/>
    <w:rsid w:val="00D64439"/>
    <w:rPr>
      <w:rFonts w:asciiTheme="minorHAnsi" w:hAnsiTheme="minorHAnsi"/>
      <w:b/>
      <w:bCs/>
      <w:sz w:val="22"/>
      <w:szCs w:val="22"/>
    </w:rPr>
  </w:style>
  <w:style w:type="character" w:styleId="Emphasis">
    <w:name w:val="Emphasis"/>
    <w:basedOn w:val="DefaultParagraphFont"/>
    <w:uiPriority w:val="20"/>
    <w:qFormat/>
    <w:rsid w:val="0072104F"/>
    <w:rPr>
      <w:rFonts w:asciiTheme="minorHAnsi" w:hAnsiTheme="minorHAnsi"/>
      <w:b/>
      <w:i/>
      <w:iCs/>
    </w:rPr>
  </w:style>
  <w:style w:type="paragraph" w:styleId="NoSpacing">
    <w:name w:val="No Spacing"/>
    <w:aliases w:val="General Text"/>
    <w:basedOn w:val="Normal"/>
    <w:next w:val="Normal"/>
    <w:uiPriority w:val="1"/>
    <w:rsid w:val="009B7792"/>
    <w:pPr>
      <w:numPr>
        <w:numId w:val="1"/>
      </w:numPr>
      <w:spacing w:before="240" w:after="40"/>
    </w:pPr>
    <w:rPr>
      <w:rFonts w:ascii="Arial" w:hAnsi="Arial"/>
      <w:color w:val="005782"/>
      <w:sz w:val="20"/>
      <w:szCs w:val="32"/>
    </w:rPr>
  </w:style>
  <w:style w:type="paragraph" w:styleId="Quote">
    <w:name w:val="Quote"/>
    <w:basedOn w:val="Normal"/>
    <w:next w:val="Normal"/>
    <w:link w:val="QuoteChar"/>
    <w:uiPriority w:val="29"/>
    <w:rsid w:val="0072104F"/>
    <w:rPr>
      <w:i/>
    </w:rPr>
  </w:style>
  <w:style w:type="character" w:customStyle="1" w:styleId="QuoteChar">
    <w:name w:val="Quote Char"/>
    <w:basedOn w:val="DefaultParagraphFont"/>
    <w:link w:val="Quote"/>
    <w:uiPriority w:val="29"/>
    <w:rsid w:val="0072104F"/>
    <w:rPr>
      <w:i/>
      <w:sz w:val="24"/>
      <w:szCs w:val="24"/>
    </w:rPr>
  </w:style>
  <w:style w:type="paragraph" w:styleId="IntenseQuote">
    <w:name w:val="Intense Quote"/>
    <w:basedOn w:val="Normal"/>
    <w:next w:val="Normal"/>
    <w:link w:val="IntenseQuoteChar"/>
    <w:uiPriority w:val="30"/>
    <w:rsid w:val="0072104F"/>
    <w:pPr>
      <w:ind w:left="720" w:right="720"/>
    </w:pPr>
    <w:rPr>
      <w:b/>
      <w:i/>
      <w:szCs w:val="22"/>
    </w:rPr>
  </w:style>
  <w:style w:type="character" w:customStyle="1" w:styleId="IntenseQuoteChar">
    <w:name w:val="Intense Quote Char"/>
    <w:basedOn w:val="DefaultParagraphFont"/>
    <w:link w:val="IntenseQuote"/>
    <w:uiPriority w:val="30"/>
    <w:rsid w:val="0072104F"/>
    <w:rPr>
      <w:b/>
      <w:i/>
      <w:sz w:val="24"/>
    </w:rPr>
  </w:style>
  <w:style w:type="character" w:styleId="SubtleEmphasis">
    <w:name w:val="Subtle Emphasis"/>
    <w:uiPriority w:val="19"/>
    <w:rsid w:val="0072104F"/>
    <w:rPr>
      <w:i/>
      <w:color w:val="5A5A5A" w:themeColor="text1" w:themeTint="A5"/>
    </w:rPr>
  </w:style>
  <w:style w:type="character" w:styleId="IntenseEmphasis">
    <w:name w:val="Intense Emphasis"/>
    <w:basedOn w:val="DefaultParagraphFont"/>
    <w:uiPriority w:val="21"/>
    <w:rsid w:val="0072104F"/>
    <w:rPr>
      <w:b/>
      <w:i/>
      <w:sz w:val="24"/>
      <w:szCs w:val="24"/>
      <w:u w:val="single"/>
    </w:rPr>
  </w:style>
  <w:style w:type="character" w:styleId="SubtleReference">
    <w:name w:val="Subtle Reference"/>
    <w:basedOn w:val="DefaultParagraphFont"/>
    <w:uiPriority w:val="31"/>
    <w:rsid w:val="0072104F"/>
    <w:rPr>
      <w:sz w:val="24"/>
      <w:szCs w:val="24"/>
      <w:u w:val="single"/>
    </w:rPr>
  </w:style>
  <w:style w:type="character" w:styleId="IntenseReference">
    <w:name w:val="Intense Reference"/>
    <w:basedOn w:val="DefaultParagraphFont"/>
    <w:uiPriority w:val="32"/>
    <w:rsid w:val="0072104F"/>
    <w:rPr>
      <w:b/>
      <w:sz w:val="24"/>
      <w:u w:val="single"/>
    </w:rPr>
  </w:style>
  <w:style w:type="paragraph" w:styleId="TOCHeading">
    <w:name w:val="TOC Heading"/>
    <w:basedOn w:val="Heading1"/>
    <w:next w:val="Normal"/>
    <w:uiPriority w:val="39"/>
    <w:semiHidden/>
    <w:unhideWhenUsed/>
    <w:qFormat/>
    <w:rsid w:val="0072104F"/>
    <w:pPr>
      <w:outlineLvl w:val="9"/>
    </w:pPr>
  </w:style>
  <w:style w:type="character" w:styleId="PlaceholderText">
    <w:name w:val="Placeholder Text"/>
    <w:basedOn w:val="DefaultParagraphFont"/>
    <w:uiPriority w:val="99"/>
    <w:semiHidden/>
    <w:rsid w:val="0048383C"/>
    <w:rPr>
      <w:color w:val="808080"/>
    </w:rPr>
  </w:style>
  <w:style w:type="paragraph" w:customStyle="1" w:styleId="ObjectiveTargetAudience">
    <w:name w:val="Objective &amp; Target Audience"/>
    <w:basedOn w:val="Normal"/>
    <w:qFormat/>
    <w:rsid w:val="00F2281F"/>
    <w:pPr>
      <w:spacing w:after="100"/>
      <w:ind w:left="567" w:right="113"/>
    </w:pPr>
    <w:rPr>
      <w:i/>
      <w:color w:val="005782"/>
      <w:sz w:val="22"/>
    </w:rPr>
  </w:style>
  <w:style w:type="paragraph" w:customStyle="1" w:styleId="Level1Heading">
    <w:name w:val="Level 1 Heading"/>
    <w:qFormat/>
    <w:rsid w:val="00DB61A8"/>
    <w:pPr>
      <w:spacing w:before="240" w:after="100"/>
    </w:pPr>
    <w:rPr>
      <w:rFonts w:ascii="Calibri" w:hAnsi="Calibri"/>
      <w:color w:val="005782"/>
      <w:sz w:val="30"/>
      <w:szCs w:val="30"/>
    </w:rPr>
  </w:style>
  <w:style w:type="paragraph" w:customStyle="1" w:styleId="BodyTextNumbering">
    <w:name w:val="Body Text Numbering"/>
    <w:link w:val="BodyTextNumberingChar"/>
    <w:qFormat/>
    <w:rsid w:val="00F81FF6"/>
    <w:pPr>
      <w:spacing w:before="240" w:after="40"/>
    </w:pPr>
    <w:rPr>
      <w:rFonts w:ascii="Arial" w:hAnsi="Arial"/>
      <w:color w:val="000000" w:themeColor="text1"/>
      <w:sz w:val="20"/>
      <w:szCs w:val="32"/>
    </w:rPr>
  </w:style>
  <w:style w:type="paragraph" w:customStyle="1" w:styleId="SubpointsAlpha">
    <w:name w:val="Subpoints Alpha"/>
    <w:qFormat/>
    <w:rsid w:val="00F81FF6"/>
    <w:pPr>
      <w:numPr>
        <w:numId w:val="4"/>
      </w:numPr>
      <w:spacing w:before="40" w:after="40"/>
    </w:pPr>
    <w:rPr>
      <w:rFonts w:ascii="Arial" w:hAnsi="Arial"/>
      <w:color w:val="000000" w:themeColor="text1"/>
      <w:sz w:val="20"/>
      <w:szCs w:val="32"/>
    </w:rPr>
  </w:style>
  <w:style w:type="paragraph" w:customStyle="1" w:styleId="Subheading2">
    <w:name w:val="Subheading 2"/>
    <w:basedOn w:val="NoSpacing"/>
    <w:qFormat/>
    <w:rsid w:val="00DB61A8"/>
    <w:pPr>
      <w:numPr>
        <w:numId w:val="0"/>
      </w:numPr>
      <w:spacing w:before="200" w:after="96"/>
    </w:pPr>
    <w:rPr>
      <w:b/>
      <w:i/>
      <w:color w:val="000000" w:themeColor="text1"/>
    </w:rPr>
  </w:style>
  <w:style w:type="paragraph" w:customStyle="1" w:styleId="DefinitionHeadings">
    <w:name w:val="Definition Headings"/>
    <w:qFormat/>
    <w:rsid w:val="00905930"/>
    <w:pPr>
      <w:spacing w:before="40" w:after="40"/>
    </w:pPr>
    <w:rPr>
      <w:rFonts w:ascii="Arial" w:hAnsi="Arial" w:cs="Arial"/>
      <w:b/>
      <w:bCs/>
      <w:color w:val="000000" w:themeColor="text1"/>
      <w:sz w:val="18"/>
      <w:szCs w:val="18"/>
    </w:rPr>
  </w:style>
  <w:style w:type="paragraph" w:customStyle="1" w:styleId="DefinitionText">
    <w:name w:val="Definition Text"/>
    <w:basedOn w:val="Normal"/>
    <w:qFormat/>
    <w:rsid w:val="00EF383F"/>
    <w:pPr>
      <w:spacing w:before="40" w:after="40"/>
      <w:ind w:left="284"/>
    </w:pPr>
    <w:rPr>
      <w:rFonts w:ascii="Arial" w:hAnsi="Arial" w:cs="Arial"/>
      <w:color w:val="808080" w:themeColor="background1" w:themeShade="80"/>
      <w:sz w:val="18"/>
      <w:szCs w:val="18"/>
      <w:shd w:val="clear" w:color="auto" w:fill="DBE5F1" w:themeFill="accent1" w:themeFillTint="33"/>
    </w:rPr>
  </w:style>
  <w:style w:type="paragraph" w:customStyle="1" w:styleId="DefinitionPoints">
    <w:name w:val="Definition Points"/>
    <w:basedOn w:val="ListParagraph"/>
    <w:link w:val="DefinitionPointsChar"/>
    <w:qFormat/>
    <w:rsid w:val="00905930"/>
    <w:pPr>
      <w:numPr>
        <w:numId w:val="2"/>
      </w:numPr>
      <w:spacing w:before="40" w:after="40"/>
    </w:pPr>
    <w:rPr>
      <w:rFonts w:ascii="Arial" w:hAnsi="Arial" w:cs="Arial"/>
      <w:color w:val="000000" w:themeColor="text1"/>
      <w:sz w:val="18"/>
      <w:szCs w:val="18"/>
    </w:rPr>
  </w:style>
  <w:style w:type="paragraph" w:customStyle="1" w:styleId="SupportingInformation">
    <w:name w:val="Supporting Information"/>
    <w:basedOn w:val="Heading2"/>
    <w:qFormat/>
    <w:rsid w:val="00905930"/>
    <w:pPr>
      <w:numPr>
        <w:numId w:val="3"/>
      </w:numPr>
      <w:spacing w:before="40"/>
      <w:ind w:left="714" w:hanging="357"/>
    </w:pPr>
    <w:rPr>
      <w:rFonts w:cs="Arial"/>
      <w:color w:val="000000" w:themeColor="text1"/>
      <w:szCs w:val="20"/>
    </w:rPr>
  </w:style>
  <w:style w:type="paragraph" w:customStyle="1" w:styleId="FurtherInformationText">
    <w:name w:val="Further Information Text"/>
    <w:basedOn w:val="Normal"/>
    <w:qFormat/>
    <w:rsid w:val="00C53E2A"/>
    <w:pPr>
      <w:spacing w:before="40" w:after="40"/>
    </w:pPr>
    <w:rPr>
      <w:rFonts w:ascii="Arial" w:hAnsi="Arial" w:cs="Arial"/>
      <w:color w:val="000000" w:themeColor="text1"/>
      <w:sz w:val="20"/>
      <w:szCs w:val="20"/>
    </w:rPr>
  </w:style>
  <w:style w:type="paragraph" w:customStyle="1" w:styleId="Level2Heading">
    <w:name w:val="Level 2 Heading"/>
    <w:link w:val="Level2HeadingChar"/>
    <w:qFormat/>
    <w:rsid w:val="000F1673"/>
    <w:pPr>
      <w:spacing w:before="200"/>
    </w:pPr>
    <w:rPr>
      <w:rFonts w:ascii="Calibri" w:hAnsi="Calibri" w:cs="Calibri"/>
      <w:b/>
      <w:color w:val="006187"/>
      <w:sz w:val="24"/>
      <w:szCs w:val="24"/>
    </w:rPr>
  </w:style>
  <w:style w:type="paragraph" w:customStyle="1" w:styleId="MonthYear">
    <w:name w:val="Month Year"/>
    <w:qFormat/>
    <w:rsid w:val="00817F1F"/>
    <w:pPr>
      <w:ind w:right="-177"/>
      <w:jc w:val="right"/>
    </w:pPr>
    <w:rPr>
      <w:b/>
      <w:color w:val="005782"/>
    </w:rPr>
  </w:style>
  <w:style w:type="paragraph" w:customStyle="1" w:styleId="BodyTextBold">
    <w:name w:val="Body Text Bold"/>
    <w:link w:val="BodyTextBoldChar"/>
    <w:rsid w:val="000429D0"/>
    <w:rPr>
      <w:rFonts w:ascii="Arial" w:hAnsi="Arial"/>
      <w:b/>
      <w:color w:val="000000" w:themeColor="text1"/>
      <w:sz w:val="20"/>
      <w:szCs w:val="32"/>
    </w:rPr>
  </w:style>
  <w:style w:type="paragraph" w:customStyle="1" w:styleId="BodyTextItalics">
    <w:name w:val="Body Text Italics"/>
    <w:link w:val="BodyTextItalicsChar"/>
    <w:rsid w:val="000429D0"/>
    <w:rPr>
      <w:rFonts w:ascii="Arial" w:hAnsi="Arial"/>
      <w:i/>
      <w:color w:val="000000" w:themeColor="text1"/>
      <w:sz w:val="20"/>
      <w:szCs w:val="32"/>
    </w:rPr>
  </w:style>
  <w:style w:type="character" w:customStyle="1" w:styleId="BodyTextBoldChar">
    <w:name w:val="Body Text Bold Char"/>
    <w:basedOn w:val="DefaultParagraphFont"/>
    <w:link w:val="BodyTextBold"/>
    <w:rsid w:val="000429D0"/>
    <w:rPr>
      <w:rFonts w:ascii="Arial" w:hAnsi="Arial"/>
      <w:b/>
      <w:color w:val="000000" w:themeColor="text1"/>
      <w:sz w:val="20"/>
      <w:szCs w:val="32"/>
    </w:rPr>
  </w:style>
  <w:style w:type="paragraph" w:customStyle="1" w:styleId="Superscript">
    <w:name w:val="Superscript"/>
    <w:link w:val="SuperscriptChar"/>
    <w:rsid w:val="000429D0"/>
    <w:rPr>
      <w:rFonts w:ascii="Arial" w:hAnsi="Arial"/>
      <w:color w:val="000000" w:themeColor="text1"/>
      <w:sz w:val="20"/>
      <w:szCs w:val="32"/>
      <w:vertAlign w:val="superscript"/>
    </w:rPr>
  </w:style>
  <w:style w:type="character" w:customStyle="1" w:styleId="BodyTextItalicsChar">
    <w:name w:val="Body Text Italics Char"/>
    <w:basedOn w:val="DefaultParagraphFont"/>
    <w:link w:val="BodyTextItalics"/>
    <w:rsid w:val="000429D0"/>
    <w:rPr>
      <w:rFonts w:ascii="Arial" w:hAnsi="Arial"/>
      <w:i/>
      <w:color w:val="000000" w:themeColor="text1"/>
      <w:sz w:val="20"/>
      <w:szCs w:val="32"/>
    </w:rPr>
  </w:style>
  <w:style w:type="character" w:customStyle="1" w:styleId="SuperscriptChar">
    <w:name w:val="Superscript Char"/>
    <w:basedOn w:val="DefaultParagraphFont"/>
    <w:link w:val="Superscript"/>
    <w:rsid w:val="000429D0"/>
    <w:rPr>
      <w:rFonts w:ascii="Arial" w:hAnsi="Arial"/>
      <w:color w:val="000000" w:themeColor="text1"/>
      <w:sz w:val="20"/>
      <w:szCs w:val="32"/>
      <w:vertAlign w:val="superscript"/>
    </w:rPr>
  </w:style>
  <w:style w:type="paragraph" w:customStyle="1" w:styleId="111Heading">
    <w:name w:val="111 Heading"/>
    <w:basedOn w:val="Heading2"/>
    <w:qFormat/>
    <w:rsid w:val="00731EE1"/>
    <w:pPr>
      <w:spacing w:before="200" w:after="100"/>
    </w:pPr>
  </w:style>
  <w:style w:type="paragraph" w:customStyle="1" w:styleId="Level3Heading">
    <w:name w:val="Level 3 Heading"/>
    <w:basedOn w:val="Level2Heading"/>
    <w:link w:val="Level3HeadingChar"/>
    <w:qFormat/>
    <w:rsid w:val="00731EE1"/>
    <w:rPr>
      <w:color w:val="auto"/>
      <w:sz w:val="22"/>
      <w:szCs w:val="22"/>
    </w:rPr>
  </w:style>
  <w:style w:type="character" w:customStyle="1" w:styleId="ListParagraphChar">
    <w:name w:val="List Paragraph Char"/>
    <w:aliases w:val="111 numbered text Char,DDM Gen Text Char,List Paragraph1 Char,List Paragraph11 Char,Recommendation Char,1 heading Char,NFP GP Bulleted List Char"/>
    <w:basedOn w:val="DefaultParagraphFont"/>
    <w:link w:val="ListParagraph"/>
    <w:uiPriority w:val="34"/>
    <w:locked/>
    <w:rsid w:val="00731EE1"/>
    <w:rPr>
      <w:sz w:val="24"/>
      <w:szCs w:val="24"/>
    </w:rPr>
  </w:style>
  <w:style w:type="character" w:customStyle="1" w:styleId="Level2HeadingChar">
    <w:name w:val="Level 2 Heading Char"/>
    <w:basedOn w:val="DefaultParagraphFont"/>
    <w:link w:val="Level2Heading"/>
    <w:rsid w:val="00731EE1"/>
    <w:rPr>
      <w:rFonts w:ascii="Calibri" w:hAnsi="Calibri" w:cs="Calibri"/>
      <w:b/>
      <w:color w:val="006187"/>
      <w:sz w:val="24"/>
      <w:szCs w:val="24"/>
    </w:rPr>
  </w:style>
  <w:style w:type="character" w:customStyle="1" w:styleId="Level3HeadingChar">
    <w:name w:val="Level 3 Heading Char"/>
    <w:basedOn w:val="Level2HeadingChar"/>
    <w:link w:val="Level3Heading"/>
    <w:rsid w:val="00731EE1"/>
    <w:rPr>
      <w:rFonts w:ascii="Calibri" w:hAnsi="Calibri" w:cs="Calibri"/>
      <w:b/>
      <w:color w:val="006187"/>
      <w:sz w:val="24"/>
      <w:szCs w:val="24"/>
    </w:rPr>
  </w:style>
  <w:style w:type="paragraph" w:styleId="NormalWeb">
    <w:name w:val="Normal (Web)"/>
    <w:basedOn w:val="Normal"/>
    <w:uiPriority w:val="99"/>
    <w:semiHidden/>
    <w:unhideWhenUsed/>
    <w:rsid w:val="00731EE1"/>
    <w:pPr>
      <w:spacing w:before="240" w:after="240" w:line="336" w:lineRule="atLeast"/>
      <w:ind w:right="240"/>
    </w:pPr>
    <w:rPr>
      <w:rFonts w:ascii="Times New Roman" w:eastAsia="Times New Roman" w:hAnsi="Times New Roman"/>
    </w:rPr>
  </w:style>
  <w:style w:type="character" w:customStyle="1" w:styleId="st">
    <w:name w:val="st"/>
    <w:basedOn w:val="DefaultParagraphFont"/>
    <w:rsid w:val="00731EE1"/>
  </w:style>
  <w:style w:type="character" w:customStyle="1" w:styleId="BodytextboldChar0">
    <w:name w:val="Body text bold Char"/>
    <w:link w:val="Bodytextbold0"/>
    <w:locked/>
    <w:rsid w:val="006A5109"/>
    <w:rPr>
      <w:rFonts w:ascii="Arial" w:eastAsia="Times New Roman" w:hAnsi="Arial"/>
      <w:b/>
      <w:color w:val="000000"/>
      <w:sz w:val="20"/>
      <w:szCs w:val="32"/>
    </w:rPr>
  </w:style>
  <w:style w:type="paragraph" w:customStyle="1" w:styleId="Bodytextbold0">
    <w:name w:val="Body text bold"/>
    <w:link w:val="BodytextboldChar0"/>
    <w:qFormat/>
    <w:rsid w:val="006A5109"/>
    <w:pPr>
      <w:ind w:left="360" w:hanging="360"/>
    </w:pPr>
    <w:rPr>
      <w:rFonts w:ascii="Arial" w:eastAsia="Times New Roman" w:hAnsi="Arial"/>
      <w:b/>
      <w:color w:val="000000"/>
      <w:sz w:val="20"/>
      <w:szCs w:val="32"/>
    </w:rPr>
  </w:style>
  <w:style w:type="character" w:styleId="CommentReference">
    <w:name w:val="annotation reference"/>
    <w:basedOn w:val="DefaultParagraphFont"/>
    <w:uiPriority w:val="99"/>
    <w:semiHidden/>
    <w:unhideWhenUsed/>
    <w:rsid w:val="00714990"/>
    <w:rPr>
      <w:sz w:val="16"/>
      <w:szCs w:val="16"/>
    </w:rPr>
  </w:style>
  <w:style w:type="paragraph" w:styleId="CommentText">
    <w:name w:val="annotation text"/>
    <w:basedOn w:val="Normal"/>
    <w:link w:val="CommentTextChar"/>
    <w:uiPriority w:val="99"/>
    <w:unhideWhenUsed/>
    <w:rsid w:val="00714990"/>
    <w:rPr>
      <w:sz w:val="20"/>
      <w:szCs w:val="20"/>
    </w:rPr>
  </w:style>
  <w:style w:type="character" w:customStyle="1" w:styleId="CommentTextChar">
    <w:name w:val="Comment Text Char"/>
    <w:basedOn w:val="DefaultParagraphFont"/>
    <w:link w:val="CommentText"/>
    <w:uiPriority w:val="99"/>
    <w:rsid w:val="00714990"/>
    <w:rPr>
      <w:sz w:val="20"/>
      <w:szCs w:val="20"/>
    </w:rPr>
  </w:style>
  <w:style w:type="paragraph" w:styleId="CommentSubject">
    <w:name w:val="annotation subject"/>
    <w:basedOn w:val="CommentText"/>
    <w:next w:val="CommentText"/>
    <w:link w:val="CommentSubjectChar"/>
    <w:uiPriority w:val="99"/>
    <w:semiHidden/>
    <w:unhideWhenUsed/>
    <w:rsid w:val="00714990"/>
    <w:rPr>
      <w:b/>
      <w:bCs/>
    </w:rPr>
  </w:style>
  <w:style w:type="character" w:customStyle="1" w:styleId="CommentSubjectChar">
    <w:name w:val="Comment Subject Char"/>
    <w:basedOn w:val="CommentTextChar"/>
    <w:link w:val="CommentSubject"/>
    <w:uiPriority w:val="99"/>
    <w:semiHidden/>
    <w:rsid w:val="00714990"/>
    <w:rPr>
      <w:b/>
      <w:bCs/>
      <w:sz w:val="20"/>
      <w:szCs w:val="20"/>
    </w:rPr>
  </w:style>
  <w:style w:type="character" w:styleId="FollowedHyperlink">
    <w:name w:val="FollowedHyperlink"/>
    <w:basedOn w:val="DefaultParagraphFont"/>
    <w:uiPriority w:val="99"/>
    <w:semiHidden/>
    <w:unhideWhenUsed/>
    <w:rsid w:val="0091262D"/>
    <w:rPr>
      <w:color w:val="800080" w:themeColor="followedHyperlink"/>
      <w:u w:val="single"/>
    </w:rPr>
  </w:style>
  <w:style w:type="character" w:customStyle="1" w:styleId="rangyselectionboundary">
    <w:name w:val="rangyselectionboundary"/>
    <w:basedOn w:val="DefaultParagraphFont"/>
    <w:rsid w:val="001C0EF0"/>
  </w:style>
  <w:style w:type="paragraph" w:customStyle="1" w:styleId="Subheading">
    <w:name w:val="Subheading"/>
    <w:qFormat/>
    <w:rsid w:val="008155E7"/>
    <w:pPr>
      <w:spacing w:before="200" w:after="100"/>
    </w:pPr>
    <w:rPr>
      <w:rFonts w:ascii="Calibri" w:hAnsi="Calibri"/>
      <w:color w:val="005782"/>
      <w:sz w:val="30"/>
      <w:szCs w:val="30"/>
    </w:rPr>
  </w:style>
  <w:style w:type="paragraph" w:customStyle="1" w:styleId="StyleHeading3NotBold">
    <w:name w:val="Style Heading 3 + Not Bold"/>
    <w:basedOn w:val="Heading3"/>
    <w:link w:val="StyleHeading3NotBoldChar"/>
    <w:rsid w:val="008155E7"/>
    <w:pPr>
      <w:keepNext/>
      <w:spacing w:before="240" w:after="60"/>
      <w:jc w:val="right"/>
    </w:pPr>
    <w:rPr>
      <w:rFonts w:eastAsia="Times New Roman" w:cs="Arial"/>
      <w:b w:val="0"/>
      <w:bCs/>
      <w:color w:val="auto"/>
      <w:szCs w:val="26"/>
    </w:rPr>
  </w:style>
  <w:style w:type="character" w:customStyle="1" w:styleId="StyleHeading3NotBoldChar">
    <w:name w:val="Style Heading 3 + Not Bold Char"/>
    <w:basedOn w:val="DefaultParagraphFont"/>
    <w:link w:val="StyleHeading3NotBold"/>
    <w:rsid w:val="008155E7"/>
    <w:rPr>
      <w:rFonts w:ascii="Arial" w:eastAsia="Times New Roman" w:hAnsi="Arial" w:cs="Arial"/>
      <w:b/>
      <w:bCs/>
      <w:sz w:val="20"/>
      <w:szCs w:val="26"/>
    </w:rPr>
  </w:style>
  <w:style w:type="paragraph" w:customStyle="1" w:styleId="body">
    <w:name w:val="body"/>
    <w:basedOn w:val="Normal"/>
    <w:rsid w:val="00025539"/>
    <w:pPr>
      <w:spacing w:before="100" w:beforeAutospacing="1" w:after="100" w:afterAutospacing="1"/>
      <w:jc w:val="both"/>
    </w:pPr>
    <w:rPr>
      <w:rFonts w:ascii="Verdana" w:eastAsia="Times New Roman" w:hAnsi="Verdana"/>
      <w:color w:val="393939"/>
      <w:sz w:val="18"/>
      <w:szCs w:val="18"/>
    </w:rPr>
  </w:style>
  <w:style w:type="paragraph" w:styleId="Revision">
    <w:name w:val="Revision"/>
    <w:hidden/>
    <w:uiPriority w:val="99"/>
    <w:semiHidden/>
    <w:rsid w:val="00014453"/>
    <w:rPr>
      <w:sz w:val="24"/>
      <w:szCs w:val="24"/>
    </w:rPr>
  </w:style>
  <w:style w:type="character" w:customStyle="1" w:styleId="tgc">
    <w:name w:val="_tgc"/>
    <w:basedOn w:val="DefaultParagraphFont"/>
    <w:rsid w:val="002B4FC8"/>
  </w:style>
  <w:style w:type="paragraph" w:customStyle="1" w:styleId="Definitionwithouthighlight">
    <w:name w:val="Definition without highlight"/>
    <w:basedOn w:val="DefinitionPoints"/>
    <w:link w:val="DefinitionwithouthighlightChar"/>
    <w:qFormat/>
    <w:rsid w:val="00554F9D"/>
    <w:pPr>
      <w:numPr>
        <w:numId w:val="0"/>
      </w:numPr>
      <w:ind w:left="284"/>
    </w:pPr>
    <w:rPr>
      <w:rFonts w:eastAsia="Arial Unicode MS"/>
    </w:rPr>
  </w:style>
  <w:style w:type="character" w:customStyle="1" w:styleId="DefinitionPointsChar">
    <w:name w:val="Definition Points Char"/>
    <w:basedOn w:val="ListParagraphChar"/>
    <w:link w:val="DefinitionPoints"/>
    <w:rsid w:val="00554F9D"/>
    <w:rPr>
      <w:rFonts w:ascii="Arial" w:hAnsi="Arial" w:cs="Arial"/>
      <w:color w:val="000000" w:themeColor="text1"/>
      <w:sz w:val="18"/>
      <w:szCs w:val="18"/>
    </w:rPr>
  </w:style>
  <w:style w:type="character" w:customStyle="1" w:styleId="DefinitionwithouthighlightChar">
    <w:name w:val="Definition without highlight Char"/>
    <w:basedOn w:val="DefinitionPointsChar"/>
    <w:link w:val="Definitionwithouthighlight"/>
    <w:rsid w:val="00554F9D"/>
    <w:rPr>
      <w:rFonts w:ascii="Arial" w:eastAsia="Arial Unicode MS" w:hAnsi="Arial" w:cs="Arial"/>
      <w:color w:val="000000" w:themeColor="text1"/>
      <w:sz w:val="18"/>
      <w:szCs w:val="18"/>
    </w:rPr>
  </w:style>
  <w:style w:type="character" w:customStyle="1" w:styleId="BodyTextNumberingChar">
    <w:name w:val="Body Text Numbering Char"/>
    <w:basedOn w:val="DefaultParagraphFont"/>
    <w:link w:val="BodyTextNumbering"/>
    <w:locked/>
    <w:rsid w:val="00255182"/>
    <w:rPr>
      <w:rFonts w:ascii="Arial" w:hAnsi="Arial"/>
      <w:color w:val="000000" w:themeColor="text1"/>
      <w:sz w:val="20"/>
      <w:szCs w:val="32"/>
    </w:rPr>
  </w:style>
  <w:style w:type="paragraph" w:customStyle="1" w:styleId="DefinitionTerm">
    <w:name w:val="Definition Term"/>
    <w:basedOn w:val="DefinitionHeadings"/>
    <w:link w:val="DefinitionTermChar"/>
    <w:qFormat/>
    <w:rsid w:val="008A1E7B"/>
    <w:pPr>
      <w:ind w:left="284"/>
    </w:pPr>
    <w:rPr>
      <w:b w:val="0"/>
    </w:rPr>
  </w:style>
  <w:style w:type="character" w:customStyle="1" w:styleId="DefinitionTermChar">
    <w:name w:val="Definition Term Char"/>
    <w:basedOn w:val="DefaultParagraphFont"/>
    <w:link w:val="DefinitionTerm"/>
    <w:rsid w:val="008A1E7B"/>
    <w:rPr>
      <w:rFonts w:ascii="Arial" w:hAnsi="Arial" w:cs="Arial"/>
      <w:bCs/>
      <w:color w:val="000000" w:themeColor="text1"/>
      <w:sz w:val="18"/>
      <w:szCs w:val="18"/>
    </w:rPr>
  </w:style>
  <w:style w:type="character" w:customStyle="1" w:styleId="xbe">
    <w:name w:val="_xbe"/>
    <w:basedOn w:val="DefaultParagraphFont"/>
    <w:rsid w:val="00D6049B"/>
  </w:style>
  <w:style w:type="character" w:customStyle="1" w:styleId="standard-view-style">
    <w:name w:val="standard-view-style"/>
    <w:basedOn w:val="DefaultParagraphFont"/>
    <w:rsid w:val="00CA5BAB"/>
  </w:style>
  <w:style w:type="paragraph" w:customStyle="1" w:styleId="Definitionterm0">
    <w:name w:val="Definition term"/>
    <w:basedOn w:val="Normal"/>
    <w:next w:val="Normal"/>
    <w:uiPriority w:val="7"/>
    <w:qFormat/>
    <w:rsid w:val="00226556"/>
    <w:pPr>
      <w:spacing w:after="40"/>
      <w:ind w:left="567" w:hanging="567"/>
    </w:pPr>
    <w:rPr>
      <w:rFonts w:ascii="Arial Bold" w:eastAsiaTheme="minorHAnsi" w:hAnsi="Arial Bold" w:cstheme="minorBidi"/>
      <w:b/>
      <w:sz w:val="21"/>
      <w:szCs w:val="22"/>
      <w:lang w:eastAsia="en-US"/>
    </w:rPr>
  </w:style>
  <w:style w:type="paragraph" w:customStyle="1" w:styleId="Definitionofterm">
    <w:name w:val="Definition of term"/>
    <w:basedOn w:val="Normal"/>
    <w:next w:val="Normal"/>
    <w:uiPriority w:val="8"/>
    <w:qFormat/>
    <w:rsid w:val="00226556"/>
    <w:pPr>
      <w:spacing w:after="160"/>
      <w:ind w:left="284"/>
    </w:pPr>
    <w:rPr>
      <w:rFonts w:ascii="Arial" w:eastAsiaTheme="minorHAnsi"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927">
      <w:bodyDiv w:val="1"/>
      <w:marLeft w:val="0"/>
      <w:marRight w:val="0"/>
      <w:marTop w:val="0"/>
      <w:marBottom w:val="0"/>
      <w:divBdr>
        <w:top w:val="none" w:sz="0" w:space="0" w:color="auto"/>
        <w:left w:val="none" w:sz="0" w:space="0" w:color="auto"/>
        <w:bottom w:val="none" w:sz="0" w:space="0" w:color="auto"/>
        <w:right w:val="none" w:sz="0" w:space="0" w:color="auto"/>
      </w:divBdr>
    </w:div>
    <w:div w:id="23990607">
      <w:bodyDiv w:val="1"/>
      <w:marLeft w:val="0"/>
      <w:marRight w:val="0"/>
      <w:marTop w:val="0"/>
      <w:marBottom w:val="0"/>
      <w:divBdr>
        <w:top w:val="none" w:sz="0" w:space="0" w:color="auto"/>
        <w:left w:val="none" w:sz="0" w:space="0" w:color="auto"/>
        <w:bottom w:val="none" w:sz="0" w:space="0" w:color="auto"/>
        <w:right w:val="none" w:sz="0" w:space="0" w:color="auto"/>
      </w:divBdr>
    </w:div>
    <w:div w:id="50202626">
      <w:bodyDiv w:val="1"/>
      <w:marLeft w:val="0"/>
      <w:marRight w:val="0"/>
      <w:marTop w:val="0"/>
      <w:marBottom w:val="0"/>
      <w:divBdr>
        <w:top w:val="none" w:sz="0" w:space="0" w:color="auto"/>
        <w:left w:val="none" w:sz="0" w:space="0" w:color="auto"/>
        <w:bottom w:val="none" w:sz="0" w:space="0" w:color="auto"/>
        <w:right w:val="none" w:sz="0" w:space="0" w:color="auto"/>
      </w:divBdr>
    </w:div>
    <w:div w:id="51543515">
      <w:bodyDiv w:val="1"/>
      <w:marLeft w:val="0"/>
      <w:marRight w:val="0"/>
      <w:marTop w:val="0"/>
      <w:marBottom w:val="0"/>
      <w:divBdr>
        <w:top w:val="none" w:sz="0" w:space="0" w:color="auto"/>
        <w:left w:val="none" w:sz="0" w:space="0" w:color="auto"/>
        <w:bottom w:val="none" w:sz="0" w:space="0" w:color="auto"/>
        <w:right w:val="none" w:sz="0" w:space="0" w:color="auto"/>
      </w:divBdr>
    </w:div>
    <w:div w:id="87627523">
      <w:bodyDiv w:val="1"/>
      <w:marLeft w:val="0"/>
      <w:marRight w:val="0"/>
      <w:marTop w:val="0"/>
      <w:marBottom w:val="0"/>
      <w:divBdr>
        <w:top w:val="none" w:sz="0" w:space="0" w:color="auto"/>
        <w:left w:val="none" w:sz="0" w:space="0" w:color="auto"/>
        <w:bottom w:val="none" w:sz="0" w:space="0" w:color="auto"/>
        <w:right w:val="none" w:sz="0" w:space="0" w:color="auto"/>
      </w:divBdr>
    </w:div>
    <w:div w:id="89013040">
      <w:bodyDiv w:val="1"/>
      <w:marLeft w:val="0"/>
      <w:marRight w:val="0"/>
      <w:marTop w:val="0"/>
      <w:marBottom w:val="0"/>
      <w:divBdr>
        <w:top w:val="none" w:sz="0" w:space="0" w:color="auto"/>
        <w:left w:val="none" w:sz="0" w:space="0" w:color="auto"/>
        <w:bottom w:val="none" w:sz="0" w:space="0" w:color="auto"/>
        <w:right w:val="none" w:sz="0" w:space="0" w:color="auto"/>
      </w:divBdr>
    </w:div>
    <w:div w:id="113640173">
      <w:bodyDiv w:val="1"/>
      <w:marLeft w:val="0"/>
      <w:marRight w:val="0"/>
      <w:marTop w:val="0"/>
      <w:marBottom w:val="0"/>
      <w:divBdr>
        <w:top w:val="none" w:sz="0" w:space="0" w:color="auto"/>
        <w:left w:val="none" w:sz="0" w:space="0" w:color="auto"/>
        <w:bottom w:val="none" w:sz="0" w:space="0" w:color="auto"/>
        <w:right w:val="none" w:sz="0" w:space="0" w:color="auto"/>
      </w:divBdr>
    </w:div>
    <w:div w:id="133452811">
      <w:bodyDiv w:val="1"/>
      <w:marLeft w:val="0"/>
      <w:marRight w:val="0"/>
      <w:marTop w:val="0"/>
      <w:marBottom w:val="0"/>
      <w:divBdr>
        <w:top w:val="none" w:sz="0" w:space="0" w:color="auto"/>
        <w:left w:val="none" w:sz="0" w:space="0" w:color="auto"/>
        <w:bottom w:val="none" w:sz="0" w:space="0" w:color="auto"/>
        <w:right w:val="none" w:sz="0" w:space="0" w:color="auto"/>
      </w:divBdr>
    </w:div>
    <w:div w:id="138033657">
      <w:bodyDiv w:val="1"/>
      <w:marLeft w:val="0"/>
      <w:marRight w:val="0"/>
      <w:marTop w:val="0"/>
      <w:marBottom w:val="0"/>
      <w:divBdr>
        <w:top w:val="none" w:sz="0" w:space="0" w:color="auto"/>
        <w:left w:val="none" w:sz="0" w:space="0" w:color="auto"/>
        <w:bottom w:val="none" w:sz="0" w:space="0" w:color="auto"/>
        <w:right w:val="none" w:sz="0" w:space="0" w:color="auto"/>
      </w:divBdr>
    </w:div>
    <w:div w:id="166095672">
      <w:bodyDiv w:val="1"/>
      <w:marLeft w:val="0"/>
      <w:marRight w:val="0"/>
      <w:marTop w:val="0"/>
      <w:marBottom w:val="0"/>
      <w:divBdr>
        <w:top w:val="none" w:sz="0" w:space="0" w:color="auto"/>
        <w:left w:val="none" w:sz="0" w:space="0" w:color="auto"/>
        <w:bottom w:val="none" w:sz="0" w:space="0" w:color="auto"/>
        <w:right w:val="none" w:sz="0" w:space="0" w:color="auto"/>
      </w:divBdr>
    </w:div>
    <w:div w:id="181821826">
      <w:bodyDiv w:val="1"/>
      <w:marLeft w:val="0"/>
      <w:marRight w:val="0"/>
      <w:marTop w:val="0"/>
      <w:marBottom w:val="0"/>
      <w:divBdr>
        <w:top w:val="none" w:sz="0" w:space="0" w:color="auto"/>
        <w:left w:val="none" w:sz="0" w:space="0" w:color="auto"/>
        <w:bottom w:val="none" w:sz="0" w:space="0" w:color="auto"/>
        <w:right w:val="none" w:sz="0" w:space="0" w:color="auto"/>
      </w:divBdr>
    </w:div>
    <w:div w:id="185602099">
      <w:bodyDiv w:val="1"/>
      <w:marLeft w:val="0"/>
      <w:marRight w:val="0"/>
      <w:marTop w:val="0"/>
      <w:marBottom w:val="0"/>
      <w:divBdr>
        <w:top w:val="none" w:sz="0" w:space="0" w:color="auto"/>
        <w:left w:val="none" w:sz="0" w:space="0" w:color="auto"/>
        <w:bottom w:val="none" w:sz="0" w:space="0" w:color="auto"/>
        <w:right w:val="none" w:sz="0" w:space="0" w:color="auto"/>
      </w:divBdr>
    </w:div>
    <w:div w:id="220600949">
      <w:bodyDiv w:val="1"/>
      <w:marLeft w:val="0"/>
      <w:marRight w:val="0"/>
      <w:marTop w:val="0"/>
      <w:marBottom w:val="0"/>
      <w:divBdr>
        <w:top w:val="none" w:sz="0" w:space="0" w:color="auto"/>
        <w:left w:val="none" w:sz="0" w:space="0" w:color="auto"/>
        <w:bottom w:val="none" w:sz="0" w:space="0" w:color="auto"/>
        <w:right w:val="none" w:sz="0" w:space="0" w:color="auto"/>
      </w:divBdr>
    </w:div>
    <w:div w:id="227688936">
      <w:bodyDiv w:val="1"/>
      <w:marLeft w:val="0"/>
      <w:marRight w:val="0"/>
      <w:marTop w:val="0"/>
      <w:marBottom w:val="0"/>
      <w:divBdr>
        <w:top w:val="none" w:sz="0" w:space="0" w:color="auto"/>
        <w:left w:val="none" w:sz="0" w:space="0" w:color="auto"/>
        <w:bottom w:val="none" w:sz="0" w:space="0" w:color="auto"/>
        <w:right w:val="none" w:sz="0" w:space="0" w:color="auto"/>
      </w:divBdr>
      <w:divsChild>
        <w:div w:id="851341867">
          <w:marLeft w:val="0"/>
          <w:marRight w:val="0"/>
          <w:marTop w:val="0"/>
          <w:marBottom w:val="0"/>
          <w:divBdr>
            <w:top w:val="none" w:sz="0" w:space="0" w:color="auto"/>
            <w:left w:val="none" w:sz="0" w:space="0" w:color="auto"/>
            <w:bottom w:val="none" w:sz="0" w:space="0" w:color="auto"/>
            <w:right w:val="none" w:sz="0" w:space="0" w:color="auto"/>
          </w:divBdr>
          <w:divsChild>
            <w:div w:id="2046712836">
              <w:marLeft w:val="0"/>
              <w:marRight w:val="0"/>
              <w:marTop w:val="0"/>
              <w:marBottom w:val="0"/>
              <w:divBdr>
                <w:top w:val="none" w:sz="0" w:space="0" w:color="auto"/>
                <w:left w:val="none" w:sz="0" w:space="0" w:color="auto"/>
                <w:bottom w:val="none" w:sz="0" w:space="0" w:color="auto"/>
                <w:right w:val="none" w:sz="0" w:space="0" w:color="auto"/>
              </w:divBdr>
              <w:divsChild>
                <w:div w:id="177737245">
                  <w:marLeft w:val="300"/>
                  <w:marRight w:val="300"/>
                  <w:marTop w:val="0"/>
                  <w:marBottom w:val="0"/>
                  <w:divBdr>
                    <w:top w:val="none" w:sz="0" w:space="0" w:color="auto"/>
                    <w:left w:val="none" w:sz="0" w:space="0" w:color="auto"/>
                    <w:bottom w:val="none" w:sz="0" w:space="0" w:color="auto"/>
                    <w:right w:val="none" w:sz="0" w:space="0" w:color="auto"/>
                  </w:divBdr>
                  <w:divsChild>
                    <w:div w:id="1454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98197">
      <w:bodyDiv w:val="1"/>
      <w:marLeft w:val="0"/>
      <w:marRight w:val="0"/>
      <w:marTop w:val="0"/>
      <w:marBottom w:val="0"/>
      <w:divBdr>
        <w:top w:val="none" w:sz="0" w:space="0" w:color="auto"/>
        <w:left w:val="none" w:sz="0" w:space="0" w:color="auto"/>
        <w:bottom w:val="none" w:sz="0" w:space="0" w:color="auto"/>
        <w:right w:val="none" w:sz="0" w:space="0" w:color="auto"/>
      </w:divBdr>
    </w:div>
    <w:div w:id="267853994">
      <w:bodyDiv w:val="1"/>
      <w:marLeft w:val="0"/>
      <w:marRight w:val="0"/>
      <w:marTop w:val="0"/>
      <w:marBottom w:val="0"/>
      <w:divBdr>
        <w:top w:val="none" w:sz="0" w:space="0" w:color="auto"/>
        <w:left w:val="none" w:sz="0" w:space="0" w:color="auto"/>
        <w:bottom w:val="none" w:sz="0" w:space="0" w:color="auto"/>
        <w:right w:val="none" w:sz="0" w:space="0" w:color="auto"/>
      </w:divBdr>
    </w:div>
    <w:div w:id="278147901">
      <w:bodyDiv w:val="1"/>
      <w:marLeft w:val="0"/>
      <w:marRight w:val="0"/>
      <w:marTop w:val="0"/>
      <w:marBottom w:val="0"/>
      <w:divBdr>
        <w:top w:val="none" w:sz="0" w:space="0" w:color="auto"/>
        <w:left w:val="none" w:sz="0" w:space="0" w:color="auto"/>
        <w:bottom w:val="none" w:sz="0" w:space="0" w:color="auto"/>
        <w:right w:val="none" w:sz="0" w:space="0" w:color="auto"/>
      </w:divBdr>
    </w:div>
    <w:div w:id="306741220">
      <w:bodyDiv w:val="1"/>
      <w:marLeft w:val="0"/>
      <w:marRight w:val="0"/>
      <w:marTop w:val="0"/>
      <w:marBottom w:val="0"/>
      <w:divBdr>
        <w:top w:val="none" w:sz="0" w:space="0" w:color="auto"/>
        <w:left w:val="none" w:sz="0" w:space="0" w:color="auto"/>
        <w:bottom w:val="none" w:sz="0" w:space="0" w:color="auto"/>
        <w:right w:val="none" w:sz="0" w:space="0" w:color="auto"/>
      </w:divBdr>
    </w:div>
    <w:div w:id="308175174">
      <w:bodyDiv w:val="1"/>
      <w:marLeft w:val="0"/>
      <w:marRight w:val="0"/>
      <w:marTop w:val="0"/>
      <w:marBottom w:val="0"/>
      <w:divBdr>
        <w:top w:val="none" w:sz="0" w:space="0" w:color="auto"/>
        <w:left w:val="none" w:sz="0" w:space="0" w:color="auto"/>
        <w:bottom w:val="none" w:sz="0" w:space="0" w:color="auto"/>
        <w:right w:val="none" w:sz="0" w:space="0" w:color="auto"/>
      </w:divBdr>
    </w:div>
    <w:div w:id="338972142">
      <w:bodyDiv w:val="1"/>
      <w:marLeft w:val="0"/>
      <w:marRight w:val="0"/>
      <w:marTop w:val="0"/>
      <w:marBottom w:val="0"/>
      <w:divBdr>
        <w:top w:val="none" w:sz="0" w:space="0" w:color="auto"/>
        <w:left w:val="none" w:sz="0" w:space="0" w:color="auto"/>
        <w:bottom w:val="none" w:sz="0" w:space="0" w:color="auto"/>
        <w:right w:val="none" w:sz="0" w:space="0" w:color="auto"/>
      </w:divBdr>
    </w:div>
    <w:div w:id="346179008">
      <w:bodyDiv w:val="1"/>
      <w:marLeft w:val="0"/>
      <w:marRight w:val="0"/>
      <w:marTop w:val="0"/>
      <w:marBottom w:val="0"/>
      <w:divBdr>
        <w:top w:val="none" w:sz="0" w:space="0" w:color="auto"/>
        <w:left w:val="none" w:sz="0" w:space="0" w:color="auto"/>
        <w:bottom w:val="none" w:sz="0" w:space="0" w:color="auto"/>
        <w:right w:val="none" w:sz="0" w:space="0" w:color="auto"/>
      </w:divBdr>
    </w:div>
    <w:div w:id="361397720">
      <w:bodyDiv w:val="1"/>
      <w:marLeft w:val="0"/>
      <w:marRight w:val="0"/>
      <w:marTop w:val="0"/>
      <w:marBottom w:val="0"/>
      <w:divBdr>
        <w:top w:val="none" w:sz="0" w:space="0" w:color="auto"/>
        <w:left w:val="none" w:sz="0" w:space="0" w:color="auto"/>
        <w:bottom w:val="none" w:sz="0" w:space="0" w:color="auto"/>
        <w:right w:val="none" w:sz="0" w:space="0" w:color="auto"/>
      </w:divBdr>
    </w:div>
    <w:div w:id="382293243">
      <w:bodyDiv w:val="1"/>
      <w:marLeft w:val="0"/>
      <w:marRight w:val="0"/>
      <w:marTop w:val="0"/>
      <w:marBottom w:val="0"/>
      <w:divBdr>
        <w:top w:val="none" w:sz="0" w:space="0" w:color="auto"/>
        <w:left w:val="none" w:sz="0" w:space="0" w:color="auto"/>
        <w:bottom w:val="none" w:sz="0" w:space="0" w:color="auto"/>
        <w:right w:val="none" w:sz="0" w:space="0" w:color="auto"/>
      </w:divBdr>
    </w:div>
    <w:div w:id="383794562">
      <w:bodyDiv w:val="1"/>
      <w:marLeft w:val="0"/>
      <w:marRight w:val="0"/>
      <w:marTop w:val="0"/>
      <w:marBottom w:val="0"/>
      <w:divBdr>
        <w:top w:val="none" w:sz="0" w:space="0" w:color="auto"/>
        <w:left w:val="none" w:sz="0" w:space="0" w:color="auto"/>
        <w:bottom w:val="none" w:sz="0" w:space="0" w:color="auto"/>
        <w:right w:val="none" w:sz="0" w:space="0" w:color="auto"/>
      </w:divBdr>
    </w:div>
    <w:div w:id="385641721">
      <w:bodyDiv w:val="1"/>
      <w:marLeft w:val="0"/>
      <w:marRight w:val="0"/>
      <w:marTop w:val="0"/>
      <w:marBottom w:val="0"/>
      <w:divBdr>
        <w:top w:val="none" w:sz="0" w:space="0" w:color="auto"/>
        <w:left w:val="none" w:sz="0" w:space="0" w:color="auto"/>
        <w:bottom w:val="none" w:sz="0" w:space="0" w:color="auto"/>
        <w:right w:val="none" w:sz="0" w:space="0" w:color="auto"/>
      </w:divBdr>
    </w:div>
    <w:div w:id="386879780">
      <w:bodyDiv w:val="1"/>
      <w:marLeft w:val="0"/>
      <w:marRight w:val="0"/>
      <w:marTop w:val="0"/>
      <w:marBottom w:val="0"/>
      <w:divBdr>
        <w:top w:val="none" w:sz="0" w:space="0" w:color="auto"/>
        <w:left w:val="none" w:sz="0" w:space="0" w:color="auto"/>
        <w:bottom w:val="none" w:sz="0" w:space="0" w:color="auto"/>
        <w:right w:val="none" w:sz="0" w:space="0" w:color="auto"/>
      </w:divBdr>
    </w:div>
    <w:div w:id="387843874">
      <w:bodyDiv w:val="1"/>
      <w:marLeft w:val="0"/>
      <w:marRight w:val="0"/>
      <w:marTop w:val="0"/>
      <w:marBottom w:val="0"/>
      <w:divBdr>
        <w:top w:val="none" w:sz="0" w:space="0" w:color="auto"/>
        <w:left w:val="none" w:sz="0" w:space="0" w:color="auto"/>
        <w:bottom w:val="none" w:sz="0" w:space="0" w:color="auto"/>
        <w:right w:val="none" w:sz="0" w:space="0" w:color="auto"/>
      </w:divBdr>
    </w:div>
    <w:div w:id="429737908">
      <w:bodyDiv w:val="1"/>
      <w:marLeft w:val="0"/>
      <w:marRight w:val="0"/>
      <w:marTop w:val="0"/>
      <w:marBottom w:val="0"/>
      <w:divBdr>
        <w:top w:val="none" w:sz="0" w:space="0" w:color="auto"/>
        <w:left w:val="none" w:sz="0" w:space="0" w:color="auto"/>
        <w:bottom w:val="none" w:sz="0" w:space="0" w:color="auto"/>
        <w:right w:val="none" w:sz="0" w:space="0" w:color="auto"/>
      </w:divBdr>
    </w:div>
    <w:div w:id="436213446">
      <w:bodyDiv w:val="1"/>
      <w:marLeft w:val="0"/>
      <w:marRight w:val="0"/>
      <w:marTop w:val="0"/>
      <w:marBottom w:val="0"/>
      <w:divBdr>
        <w:top w:val="none" w:sz="0" w:space="0" w:color="auto"/>
        <w:left w:val="none" w:sz="0" w:space="0" w:color="auto"/>
        <w:bottom w:val="none" w:sz="0" w:space="0" w:color="auto"/>
        <w:right w:val="none" w:sz="0" w:space="0" w:color="auto"/>
      </w:divBdr>
    </w:div>
    <w:div w:id="440415919">
      <w:bodyDiv w:val="1"/>
      <w:marLeft w:val="0"/>
      <w:marRight w:val="0"/>
      <w:marTop w:val="0"/>
      <w:marBottom w:val="0"/>
      <w:divBdr>
        <w:top w:val="none" w:sz="0" w:space="0" w:color="auto"/>
        <w:left w:val="none" w:sz="0" w:space="0" w:color="auto"/>
        <w:bottom w:val="none" w:sz="0" w:space="0" w:color="auto"/>
        <w:right w:val="none" w:sz="0" w:space="0" w:color="auto"/>
      </w:divBdr>
    </w:div>
    <w:div w:id="464584904">
      <w:bodyDiv w:val="1"/>
      <w:marLeft w:val="0"/>
      <w:marRight w:val="0"/>
      <w:marTop w:val="0"/>
      <w:marBottom w:val="0"/>
      <w:divBdr>
        <w:top w:val="none" w:sz="0" w:space="0" w:color="auto"/>
        <w:left w:val="none" w:sz="0" w:space="0" w:color="auto"/>
        <w:bottom w:val="none" w:sz="0" w:space="0" w:color="auto"/>
        <w:right w:val="none" w:sz="0" w:space="0" w:color="auto"/>
      </w:divBdr>
    </w:div>
    <w:div w:id="485053017">
      <w:bodyDiv w:val="1"/>
      <w:marLeft w:val="0"/>
      <w:marRight w:val="0"/>
      <w:marTop w:val="0"/>
      <w:marBottom w:val="0"/>
      <w:divBdr>
        <w:top w:val="none" w:sz="0" w:space="0" w:color="auto"/>
        <w:left w:val="none" w:sz="0" w:space="0" w:color="auto"/>
        <w:bottom w:val="none" w:sz="0" w:space="0" w:color="auto"/>
        <w:right w:val="none" w:sz="0" w:space="0" w:color="auto"/>
      </w:divBdr>
    </w:div>
    <w:div w:id="519663375">
      <w:bodyDiv w:val="1"/>
      <w:marLeft w:val="0"/>
      <w:marRight w:val="0"/>
      <w:marTop w:val="0"/>
      <w:marBottom w:val="0"/>
      <w:divBdr>
        <w:top w:val="none" w:sz="0" w:space="0" w:color="auto"/>
        <w:left w:val="none" w:sz="0" w:space="0" w:color="auto"/>
        <w:bottom w:val="none" w:sz="0" w:space="0" w:color="auto"/>
        <w:right w:val="none" w:sz="0" w:space="0" w:color="auto"/>
      </w:divBdr>
    </w:div>
    <w:div w:id="536045184">
      <w:bodyDiv w:val="1"/>
      <w:marLeft w:val="0"/>
      <w:marRight w:val="0"/>
      <w:marTop w:val="0"/>
      <w:marBottom w:val="0"/>
      <w:divBdr>
        <w:top w:val="none" w:sz="0" w:space="0" w:color="auto"/>
        <w:left w:val="none" w:sz="0" w:space="0" w:color="auto"/>
        <w:bottom w:val="none" w:sz="0" w:space="0" w:color="auto"/>
        <w:right w:val="none" w:sz="0" w:space="0" w:color="auto"/>
      </w:divBdr>
    </w:div>
    <w:div w:id="536893822">
      <w:bodyDiv w:val="1"/>
      <w:marLeft w:val="0"/>
      <w:marRight w:val="0"/>
      <w:marTop w:val="0"/>
      <w:marBottom w:val="0"/>
      <w:divBdr>
        <w:top w:val="none" w:sz="0" w:space="0" w:color="auto"/>
        <w:left w:val="none" w:sz="0" w:space="0" w:color="auto"/>
        <w:bottom w:val="none" w:sz="0" w:space="0" w:color="auto"/>
        <w:right w:val="none" w:sz="0" w:space="0" w:color="auto"/>
      </w:divBdr>
    </w:div>
    <w:div w:id="545214192">
      <w:bodyDiv w:val="1"/>
      <w:marLeft w:val="0"/>
      <w:marRight w:val="0"/>
      <w:marTop w:val="0"/>
      <w:marBottom w:val="0"/>
      <w:divBdr>
        <w:top w:val="none" w:sz="0" w:space="0" w:color="auto"/>
        <w:left w:val="none" w:sz="0" w:space="0" w:color="auto"/>
        <w:bottom w:val="none" w:sz="0" w:space="0" w:color="auto"/>
        <w:right w:val="none" w:sz="0" w:space="0" w:color="auto"/>
      </w:divBdr>
    </w:div>
    <w:div w:id="555553818">
      <w:bodyDiv w:val="1"/>
      <w:marLeft w:val="0"/>
      <w:marRight w:val="0"/>
      <w:marTop w:val="0"/>
      <w:marBottom w:val="0"/>
      <w:divBdr>
        <w:top w:val="none" w:sz="0" w:space="0" w:color="auto"/>
        <w:left w:val="none" w:sz="0" w:space="0" w:color="auto"/>
        <w:bottom w:val="none" w:sz="0" w:space="0" w:color="auto"/>
        <w:right w:val="none" w:sz="0" w:space="0" w:color="auto"/>
      </w:divBdr>
    </w:div>
    <w:div w:id="559638250">
      <w:bodyDiv w:val="1"/>
      <w:marLeft w:val="0"/>
      <w:marRight w:val="0"/>
      <w:marTop w:val="0"/>
      <w:marBottom w:val="0"/>
      <w:divBdr>
        <w:top w:val="none" w:sz="0" w:space="0" w:color="auto"/>
        <w:left w:val="none" w:sz="0" w:space="0" w:color="auto"/>
        <w:bottom w:val="none" w:sz="0" w:space="0" w:color="auto"/>
        <w:right w:val="none" w:sz="0" w:space="0" w:color="auto"/>
      </w:divBdr>
    </w:div>
    <w:div w:id="609514488">
      <w:bodyDiv w:val="1"/>
      <w:marLeft w:val="0"/>
      <w:marRight w:val="0"/>
      <w:marTop w:val="0"/>
      <w:marBottom w:val="0"/>
      <w:divBdr>
        <w:top w:val="none" w:sz="0" w:space="0" w:color="auto"/>
        <w:left w:val="none" w:sz="0" w:space="0" w:color="auto"/>
        <w:bottom w:val="none" w:sz="0" w:space="0" w:color="auto"/>
        <w:right w:val="none" w:sz="0" w:space="0" w:color="auto"/>
      </w:divBdr>
    </w:div>
    <w:div w:id="624317439">
      <w:bodyDiv w:val="1"/>
      <w:marLeft w:val="0"/>
      <w:marRight w:val="0"/>
      <w:marTop w:val="0"/>
      <w:marBottom w:val="0"/>
      <w:divBdr>
        <w:top w:val="none" w:sz="0" w:space="0" w:color="auto"/>
        <w:left w:val="none" w:sz="0" w:space="0" w:color="auto"/>
        <w:bottom w:val="none" w:sz="0" w:space="0" w:color="auto"/>
        <w:right w:val="none" w:sz="0" w:space="0" w:color="auto"/>
      </w:divBdr>
      <w:divsChild>
        <w:div w:id="136840463">
          <w:marLeft w:val="0"/>
          <w:marRight w:val="0"/>
          <w:marTop w:val="0"/>
          <w:marBottom w:val="0"/>
          <w:divBdr>
            <w:top w:val="none" w:sz="0" w:space="0" w:color="auto"/>
            <w:left w:val="none" w:sz="0" w:space="0" w:color="auto"/>
            <w:bottom w:val="none" w:sz="0" w:space="0" w:color="auto"/>
            <w:right w:val="none" w:sz="0" w:space="0" w:color="auto"/>
          </w:divBdr>
          <w:divsChild>
            <w:div w:id="1496611682">
              <w:marLeft w:val="0"/>
              <w:marRight w:val="0"/>
              <w:marTop w:val="0"/>
              <w:marBottom w:val="0"/>
              <w:divBdr>
                <w:top w:val="none" w:sz="0" w:space="0" w:color="auto"/>
                <w:left w:val="none" w:sz="0" w:space="0" w:color="auto"/>
                <w:bottom w:val="none" w:sz="0" w:space="0" w:color="auto"/>
                <w:right w:val="none" w:sz="0" w:space="0" w:color="auto"/>
              </w:divBdr>
              <w:divsChild>
                <w:div w:id="1855269857">
                  <w:marLeft w:val="0"/>
                  <w:marRight w:val="0"/>
                  <w:marTop w:val="0"/>
                  <w:marBottom w:val="0"/>
                  <w:divBdr>
                    <w:top w:val="none" w:sz="0" w:space="0" w:color="auto"/>
                    <w:left w:val="none" w:sz="0" w:space="0" w:color="auto"/>
                    <w:bottom w:val="none" w:sz="0" w:space="0" w:color="auto"/>
                    <w:right w:val="none" w:sz="0" w:space="0" w:color="auto"/>
                  </w:divBdr>
                  <w:divsChild>
                    <w:div w:id="92676044">
                      <w:marLeft w:val="0"/>
                      <w:marRight w:val="0"/>
                      <w:marTop w:val="0"/>
                      <w:marBottom w:val="0"/>
                      <w:divBdr>
                        <w:top w:val="none" w:sz="0" w:space="0" w:color="auto"/>
                        <w:left w:val="none" w:sz="0" w:space="0" w:color="auto"/>
                        <w:bottom w:val="none" w:sz="0" w:space="0" w:color="auto"/>
                        <w:right w:val="none" w:sz="0" w:space="0" w:color="auto"/>
                      </w:divBdr>
                      <w:divsChild>
                        <w:div w:id="1503231986">
                          <w:marLeft w:val="0"/>
                          <w:marRight w:val="0"/>
                          <w:marTop w:val="0"/>
                          <w:marBottom w:val="0"/>
                          <w:divBdr>
                            <w:top w:val="none" w:sz="0" w:space="0" w:color="auto"/>
                            <w:left w:val="none" w:sz="0" w:space="0" w:color="auto"/>
                            <w:bottom w:val="none" w:sz="0" w:space="0" w:color="auto"/>
                            <w:right w:val="none" w:sz="0" w:space="0" w:color="auto"/>
                          </w:divBdr>
                          <w:divsChild>
                            <w:div w:id="1376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255051">
      <w:bodyDiv w:val="1"/>
      <w:marLeft w:val="0"/>
      <w:marRight w:val="0"/>
      <w:marTop w:val="0"/>
      <w:marBottom w:val="0"/>
      <w:divBdr>
        <w:top w:val="none" w:sz="0" w:space="0" w:color="auto"/>
        <w:left w:val="none" w:sz="0" w:space="0" w:color="auto"/>
        <w:bottom w:val="none" w:sz="0" w:space="0" w:color="auto"/>
        <w:right w:val="none" w:sz="0" w:space="0" w:color="auto"/>
      </w:divBdr>
    </w:div>
    <w:div w:id="646398672">
      <w:bodyDiv w:val="1"/>
      <w:marLeft w:val="0"/>
      <w:marRight w:val="0"/>
      <w:marTop w:val="0"/>
      <w:marBottom w:val="0"/>
      <w:divBdr>
        <w:top w:val="none" w:sz="0" w:space="0" w:color="auto"/>
        <w:left w:val="none" w:sz="0" w:space="0" w:color="auto"/>
        <w:bottom w:val="none" w:sz="0" w:space="0" w:color="auto"/>
        <w:right w:val="none" w:sz="0" w:space="0" w:color="auto"/>
      </w:divBdr>
    </w:div>
    <w:div w:id="673193773">
      <w:bodyDiv w:val="1"/>
      <w:marLeft w:val="0"/>
      <w:marRight w:val="0"/>
      <w:marTop w:val="0"/>
      <w:marBottom w:val="0"/>
      <w:divBdr>
        <w:top w:val="none" w:sz="0" w:space="0" w:color="auto"/>
        <w:left w:val="none" w:sz="0" w:space="0" w:color="auto"/>
        <w:bottom w:val="none" w:sz="0" w:space="0" w:color="auto"/>
        <w:right w:val="none" w:sz="0" w:space="0" w:color="auto"/>
      </w:divBdr>
    </w:div>
    <w:div w:id="695928246">
      <w:bodyDiv w:val="1"/>
      <w:marLeft w:val="0"/>
      <w:marRight w:val="0"/>
      <w:marTop w:val="0"/>
      <w:marBottom w:val="0"/>
      <w:divBdr>
        <w:top w:val="none" w:sz="0" w:space="0" w:color="auto"/>
        <w:left w:val="none" w:sz="0" w:space="0" w:color="auto"/>
        <w:bottom w:val="none" w:sz="0" w:space="0" w:color="auto"/>
        <w:right w:val="none" w:sz="0" w:space="0" w:color="auto"/>
      </w:divBdr>
    </w:div>
    <w:div w:id="720638313">
      <w:bodyDiv w:val="1"/>
      <w:marLeft w:val="0"/>
      <w:marRight w:val="0"/>
      <w:marTop w:val="0"/>
      <w:marBottom w:val="0"/>
      <w:divBdr>
        <w:top w:val="none" w:sz="0" w:space="0" w:color="auto"/>
        <w:left w:val="none" w:sz="0" w:space="0" w:color="auto"/>
        <w:bottom w:val="none" w:sz="0" w:space="0" w:color="auto"/>
        <w:right w:val="none" w:sz="0" w:space="0" w:color="auto"/>
      </w:divBdr>
    </w:div>
    <w:div w:id="757212833">
      <w:bodyDiv w:val="1"/>
      <w:marLeft w:val="0"/>
      <w:marRight w:val="0"/>
      <w:marTop w:val="0"/>
      <w:marBottom w:val="0"/>
      <w:divBdr>
        <w:top w:val="none" w:sz="0" w:space="0" w:color="auto"/>
        <w:left w:val="none" w:sz="0" w:space="0" w:color="auto"/>
        <w:bottom w:val="none" w:sz="0" w:space="0" w:color="auto"/>
        <w:right w:val="none" w:sz="0" w:space="0" w:color="auto"/>
      </w:divBdr>
    </w:div>
    <w:div w:id="766077692">
      <w:bodyDiv w:val="1"/>
      <w:marLeft w:val="0"/>
      <w:marRight w:val="0"/>
      <w:marTop w:val="0"/>
      <w:marBottom w:val="0"/>
      <w:divBdr>
        <w:top w:val="none" w:sz="0" w:space="0" w:color="auto"/>
        <w:left w:val="none" w:sz="0" w:space="0" w:color="auto"/>
        <w:bottom w:val="none" w:sz="0" w:space="0" w:color="auto"/>
        <w:right w:val="none" w:sz="0" w:space="0" w:color="auto"/>
      </w:divBdr>
    </w:div>
    <w:div w:id="778066869">
      <w:bodyDiv w:val="1"/>
      <w:marLeft w:val="0"/>
      <w:marRight w:val="0"/>
      <w:marTop w:val="0"/>
      <w:marBottom w:val="0"/>
      <w:divBdr>
        <w:top w:val="none" w:sz="0" w:space="0" w:color="auto"/>
        <w:left w:val="none" w:sz="0" w:space="0" w:color="auto"/>
        <w:bottom w:val="none" w:sz="0" w:space="0" w:color="auto"/>
        <w:right w:val="none" w:sz="0" w:space="0" w:color="auto"/>
      </w:divBdr>
    </w:div>
    <w:div w:id="821238171">
      <w:bodyDiv w:val="1"/>
      <w:marLeft w:val="0"/>
      <w:marRight w:val="0"/>
      <w:marTop w:val="0"/>
      <w:marBottom w:val="0"/>
      <w:divBdr>
        <w:top w:val="none" w:sz="0" w:space="0" w:color="auto"/>
        <w:left w:val="none" w:sz="0" w:space="0" w:color="auto"/>
        <w:bottom w:val="none" w:sz="0" w:space="0" w:color="auto"/>
        <w:right w:val="none" w:sz="0" w:space="0" w:color="auto"/>
      </w:divBdr>
    </w:div>
    <w:div w:id="841705385">
      <w:bodyDiv w:val="1"/>
      <w:marLeft w:val="0"/>
      <w:marRight w:val="0"/>
      <w:marTop w:val="0"/>
      <w:marBottom w:val="0"/>
      <w:divBdr>
        <w:top w:val="none" w:sz="0" w:space="0" w:color="auto"/>
        <w:left w:val="none" w:sz="0" w:space="0" w:color="auto"/>
        <w:bottom w:val="none" w:sz="0" w:space="0" w:color="auto"/>
        <w:right w:val="none" w:sz="0" w:space="0" w:color="auto"/>
      </w:divBdr>
    </w:div>
    <w:div w:id="849372341">
      <w:bodyDiv w:val="1"/>
      <w:marLeft w:val="0"/>
      <w:marRight w:val="0"/>
      <w:marTop w:val="0"/>
      <w:marBottom w:val="0"/>
      <w:divBdr>
        <w:top w:val="none" w:sz="0" w:space="0" w:color="auto"/>
        <w:left w:val="none" w:sz="0" w:space="0" w:color="auto"/>
        <w:bottom w:val="none" w:sz="0" w:space="0" w:color="auto"/>
        <w:right w:val="none" w:sz="0" w:space="0" w:color="auto"/>
      </w:divBdr>
    </w:div>
    <w:div w:id="854999542">
      <w:bodyDiv w:val="1"/>
      <w:marLeft w:val="0"/>
      <w:marRight w:val="0"/>
      <w:marTop w:val="0"/>
      <w:marBottom w:val="0"/>
      <w:divBdr>
        <w:top w:val="none" w:sz="0" w:space="0" w:color="auto"/>
        <w:left w:val="none" w:sz="0" w:space="0" w:color="auto"/>
        <w:bottom w:val="none" w:sz="0" w:space="0" w:color="auto"/>
        <w:right w:val="none" w:sz="0" w:space="0" w:color="auto"/>
      </w:divBdr>
    </w:div>
    <w:div w:id="856695781">
      <w:bodyDiv w:val="1"/>
      <w:marLeft w:val="0"/>
      <w:marRight w:val="0"/>
      <w:marTop w:val="0"/>
      <w:marBottom w:val="0"/>
      <w:divBdr>
        <w:top w:val="none" w:sz="0" w:space="0" w:color="auto"/>
        <w:left w:val="none" w:sz="0" w:space="0" w:color="auto"/>
        <w:bottom w:val="none" w:sz="0" w:space="0" w:color="auto"/>
        <w:right w:val="none" w:sz="0" w:space="0" w:color="auto"/>
      </w:divBdr>
    </w:div>
    <w:div w:id="886186231">
      <w:bodyDiv w:val="1"/>
      <w:marLeft w:val="0"/>
      <w:marRight w:val="0"/>
      <w:marTop w:val="0"/>
      <w:marBottom w:val="0"/>
      <w:divBdr>
        <w:top w:val="none" w:sz="0" w:space="0" w:color="auto"/>
        <w:left w:val="none" w:sz="0" w:space="0" w:color="auto"/>
        <w:bottom w:val="none" w:sz="0" w:space="0" w:color="auto"/>
        <w:right w:val="none" w:sz="0" w:space="0" w:color="auto"/>
      </w:divBdr>
    </w:div>
    <w:div w:id="901867073">
      <w:bodyDiv w:val="1"/>
      <w:marLeft w:val="0"/>
      <w:marRight w:val="0"/>
      <w:marTop w:val="0"/>
      <w:marBottom w:val="0"/>
      <w:divBdr>
        <w:top w:val="none" w:sz="0" w:space="0" w:color="auto"/>
        <w:left w:val="none" w:sz="0" w:space="0" w:color="auto"/>
        <w:bottom w:val="none" w:sz="0" w:space="0" w:color="auto"/>
        <w:right w:val="none" w:sz="0" w:space="0" w:color="auto"/>
      </w:divBdr>
    </w:div>
    <w:div w:id="902640595">
      <w:bodyDiv w:val="1"/>
      <w:marLeft w:val="0"/>
      <w:marRight w:val="0"/>
      <w:marTop w:val="0"/>
      <w:marBottom w:val="0"/>
      <w:divBdr>
        <w:top w:val="none" w:sz="0" w:space="0" w:color="auto"/>
        <w:left w:val="none" w:sz="0" w:space="0" w:color="auto"/>
        <w:bottom w:val="none" w:sz="0" w:space="0" w:color="auto"/>
        <w:right w:val="none" w:sz="0" w:space="0" w:color="auto"/>
      </w:divBdr>
    </w:div>
    <w:div w:id="965429754">
      <w:bodyDiv w:val="1"/>
      <w:marLeft w:val="0"/>
      <w:marRight w:val="0"/>
      <w:marTop w:val="0"/>
      <w:marBottom w:val="0"/>
      <w:divBdr>
        <w:top w:val="none" w:sz="0" w:space="0" w:color="auto"/>
        <w:left w:val="none" w:sz="0" w:space="0" w:color="auto"/>
        <w:bottom w:val="none" w:sz="0" w:space="0" w:color="auto"/>
        <w:right w:val="none" w:sz="0" w:space="0" w:color="auto"/>
      </w:divBdr>
    </w:div>
    <w:div w:id="997608300">
      <w:bodyDiv w:val="1"/>
      <w:marLeft w:val="0"/>
      <w:marRight w:val="0"/>
      <w:marTop w:val="0"/>
      <w:marBottom w:val="0"/>
      <w:divBdr>
        <w:top w:val="none" w:sz="0" w:space="0" w:color="auto"/>
        <w:left w:val="none" w:sz="0" w:space="0" w:color="auto"/>
        <w:bottom w:val="none" w:sz="0" w:space="0" w:color="auto"/>
        <w:right w:val="none" w:sz="0" w:space="0" w:color="auto"/>
      </w:divBdr>
    </w:div>
    <w:div w:id="1084643284">
      <w:bodyDiv w:val="1"/>
      <w:marLeft w:val="0"/>
      <w:marRight w:val="0"/>
      <w:marTop w:val="0"/>
      <w:marBottom w:val="0"/>
      <w:divBdr>
        <w:top w:val="none" w:sz="0" w:space="0" w:color="auto"/>
        <w:left w:val="none" w:sz="0" w:space="0" w:color="auto"/>
        <w:bottom w:val="none" w:sz="0" w:space="0" w:color="auto"/>
        <w:right w:val="none" w:sz="0" w:space="0" w:color="auto"/>
      </w:divBdr>
    </w:div>
    <w:div w:id="1085762420">
      <w:bodyDiv w:val="1"/>
      <w:marLeft w:val="0"/>
      <w:marRight w:val="0"/>
      <w:marTop w:val="0"/>
      <w:marBottom w:val="0"/>
      <w:divBdr>
        <w:top w:val="none" w:sz="0" w:space="0" w:color="auto"/>
        <w:left w:val="none" w:sz="0" w:space="0" w:color="auto"/>
        <w:bottom w:val="none" w:sz="0" w:space="0" w:color="auto"/>
        <w:right w:val="none" w:sz="0" w:space="0" w:color="auto"/>
      </w:divBdr>
    </w:div>
    <w:div w:id="1104112769">
      <w:bodyDiv w:val="1"/>
      <w:marLeft w:val="0"/>
      <w:marRight w:val="0"/>
      <w:marTop w:val="0"/>
      <w:marBottom w:val="0"/>
      <w:divBdr>
        <w:top w:val="none" w:sz="0" w:space="0" w:color="auto"/>
        <w:left w:val="none" w:sz="0" w:space="0" w:color="auto"/>
        <w:bottom w:val="none" w:sz="0" w:space="0" w:color="auto"/>
        <w:right w:val="none" w:sz="0" w:space="0" w:color="auto"/>
      </w:divBdr>
    </w:div>
    <w:div w:id="1117676621">
      <w:bodyDiv w:val="1"/>
      <w:marLeft w:val="0"/>
      <w:marRight w:val="0"/>
      <w:marTop w:val="0"/>
      <w:marBottom w:val="0"/>
      <w:divBdr>
        <w:top w:val="none" w:sz="0" w:space="0" w:color="auto"/>
        <w:left w:val="none" w:sz="0" w:space="0" w:color="auto"/>
        <w:bottom w:val="none" w:sz="0" w:space="0" w:color="auto"/>
        <w:right w:val="none" w:sz="0" w:space="0" w:color="auto"/>
      </w:divBdr>
    </w:div>
    <w:div w:id="1139107724">
      <w:bodyDiv w:val="1"/>
      <w:marLeft w:val="0"/>
      <w:marRight w:val="0"/>
      <w:marTop w:val="0"/>
      <w:marBottom w:val="0"/>
      <w:divBdr>
        <w:top w:val="none" w:sz="0" w:space="0" w:color="auto"/>
        <w:left w:val="none" w:sz="0" w:space="0" w:color="auto"/>
        <w:bottom w:val="none" w:sz="0" w:space="0" w:color="auto"/>
        <w:right w:val="none" w:sz="0" w:space="0" w:color="auto"/>
      </w:divBdr>
    </w:div>
    <w:div w:id="1140535666">
      <w:bodyDiv w:val="1"/>
      <w:marLeft w:val="0"/>
      <w:marRight w:val="0"/>
      <w:marTop w:val="0"/>
      <w:marBottom w:val="0"/>
      <w:divBdr>
        <w:top w:val="none" w:sz="0" w:space="0" w:color="auto"/>
        <w:left w:val="none" w:sz="0" w:space="0" w:color="auto"/>
        <w:bottom w:val="none" w:sz="0" w:space="0" w:color="auto"/>
        <w:right w:val="none" w:sz="0" w:space="0" w:color="auto"/>
      </w:divBdr>
    </w:div>
    <w:div w:id="1148090080">
      <w:bodyDiv w:val="1"/>
      <w:marLeft w:val="0"/>
      <w:marRight w:val="0"/>
      <w:marTop w:val="0"/>
      <w:marBottom w:val="0"/>
      <w:divBdr>
        <w:top w:val="none" w:sz="0" w:space="0" w:color="auto"/>
        <w:left w:val="none" w:sz="0" w:space="0" w:color="auto"/>
        <w:bottom w:val="none" w:sz="0" w:space="0" w:color="auto"/>
        <w:right w:val="none" w:sz="0" w:space="0" w:color="auto"/>
      </w:divBdr>
    </w:div>
    <w:div w:id="1157066793">
      <w:bodyDiv w:val="1"/>
      <w:marLeft w:val="0"/>
      <w:marRight w:val="0"/>
      <w:marTop w:val="0"/>
      <w:marBottom w:val="0"/>
      <w:divBdr>
        <w:top w:val="none" w:sz="0" w:space="0" w:color="auto"/>
        <w:left w:val="none" w:sz="0" w:space="0" w:color="auto"/>
        <w:bottom w:val="none" w:sz="0" w:space="0" w:color="auto"/>
        <w:right w:val="none" w:sz="0" w:space="0" w:color="auto"/>
      </w:divBdr>
    </w:div>
    <w:div w:id="1160730943">
      <w:bodyDiv w:val="1"/>
      <w:marLeft w:val="0"/>
      <w:marRight w:val="0"/>
      <w:marTop w:val="0"/>
      <w:marBottom w:val="0"/>
      <w:divBdr>
        <w:top w:val="none" w:sz="0" w:space="0" w:color="auto"/>
        <w:left w:val="none" w:sz="0" w:space="0" w:color="auto"/>
        <w:bottom w:val="none" w:sz="0" w:space="0" w:color="auto"/>
        <w:right w:val="none" w:sz="0" w:space="0" w:color="auto"/>
      </w:divBdr>
    </w:div>
    <w:div w:id="1169173856">
      <w:bodyDiv w:val="1"/>
      <w:marLeft w:val="0"/>
      <w:marRight w:val="0"/>
      <w:marTop w:val="0"/>
      <w:marBottom w:val="0"/>
      <w:divBdr>
        <w:top w:val="none" w:sz="0" w:space="0" w:color="auto"/>
        <w:left w:val="none" w:sz="0" w:space="0" w:color="auto"/>
        <w:bottom w:val="none" w:sz="0" w:space="0" w:color="auto"/>
        <w:right w:val="none" w:sz="0" w:space="0" w:color="auto"/>
      </w:divBdr>
    </w:div>
    <w:div w:id="1198473328">
      <w:bodyDiv w:val="1"/>
      <w:marLeft w:val="0"/>
      <w:marRight w:val="0"/>
      <w:marTop w:val="0"/>
      <w:marBottom w:val="0"/>
      <w:divBdr>
        <w:top w:val="none" w:sz="0" w:space="0" w:color="auto"/>
        <w:left w:val="none" w:sz="0" w:space="0" w:color="auto"/>
        <w:bottom w:val="none" w:sz="0" w:space="0" w:color="auto"/>
        <w:right w:val="none" w:sz="0" w:space="0" w:color="auto"/>
      </w:divBdr>
    </w:div>
    <w:div w:id="1203206452">
      <w:bodyDiv w:val="1"/>
      <w:marLeft w:val="0"/>
      <w:marRight w:val="0"/>
      <w:marTop w:val="0"/>
      <w:marBottom w:val="0"/>
      <w:divBdr>
        <w:top w:val="none" w:sz="0" w:space="0" w:color="auto"/>
        <w:left w:val="none" w:sz="0" w:space="0" w:color="auto"/>
        <w:bottom w:val="none" w:sz="0" w:space="0" w:color="auto"/>
        <w:right w:val="none" w:sz="0" w:space="0" w:color="auto"/>
      </w:divBdr>
    </w:div>
    <w:div w:id="1226139303">
      <w:bodyDiv w:val="1"/>
      <w:marLeft w:val="0"/>
      <w:marRight w:val="0"/>
      <w:marTop w:val="0"/>
      <w:marBottom w:val="0"/>
      <w:divBdr>
        <w:top w:val="none" w:sz="0" w:space="0" w:color="auto"/>
        <w:left w:val="none" w:sz="0" w:space="0" w:color="auto"/>
        <w:bottom w:val="none" w:sz="0" w:space="0" w:color="auto"/>
        <w:right w:val="none" w:sz="0" w:space="0" w:color="auto"/>
      </w:divBdr>
    </w:div>
    <w:div w:id="1269505876">
      <w:bodyDiv w:val="1"/>
      <w:marLeft w:val="0"/>
      <w:marRight w:val="0"/>
      <w:marTop w:val="0"/>
      <w:marBottom w:val="0"/>
      <w:divBdr>
        <w:top w:val="none" w:sz="0" w:space="0" w:color="auto"/>
        <w:left w:val="none" w:sz="0" w:space="0" w:color="auto"/>
        <w:bottom w:val="none" w:sz="0" w:space="0" w:color="auto"/>
        <w:right w:val="none" w:sz="0" w:space="0" w:color="auto"/>
      </w:divBdr>
    </w:div>
    <w:div w:id="1301418861">
      <w:bodyDiv w:val="1"/>
      <w:marLeft w:val="0"/>
      <w:marRight w:val="0"/>
      <w:marTop w:val="0"/>
      <w:marBottom w:val="0"/>
      <w:divBdr>
        <w:top w:val="none" w:sz="0" w:space="0" w:color="auto"/>
        <w:left w:val="none" w:sz="0" w:space="0" w:color="auto"/>
        <w:bottom w:val="none" w:sz="0" w:space="0" w:color="auto"/>
        <w:right w:val="none" w:sz="0" w:space="0" w:color="auto"/>
      </w:divBdr>
    </w:div>
    <w:div w:id="1325161094">
      <w:bodyDiv w:val="1"/>
      <w:marLeft w:val="0"/>
      <w:marRight w:val="0"/>
      <w:marTop w:val="0"/>
      <w:marBottom w:val="0"/>
      <w:divBdr>
        <w:top w:val="none" w:sz="0" w:space="0" w:color="auto"/>
        <w:left w:val="none" w:sz="0" w:space="0" w:color="auto"/>
        <w:bottom w:val="none" w:sz="0" w:space="0" w:color="auto"/>
        <w:right w:val="none" w:sz="0" w:space="0" w:color="auto"/>
      </w:divBdr>
    </w:div>
    <w:div w:id="1347169971">
      <w:bodyDiv w:val="1"/>
      <w:marLeft w:val="0"/>
      <w:marRight w:val="0"/>
      <w:marTop w:val="0"/>
      <w:marBottom w:val="0"/>
      <w:divBdr>
        <w:top w:val="none" w:sz="0" w:space="0" w:color="auto"/>
        <w:left w:val="none" w:sz="0" w:space="0" w:color="auto"/>
        <w:bottom w:val="none" w:sz="0" w:space="0" w:color="auto"/>
        <w:right w:val="none" w:sz="0" w:space="0" w:color="auto"/>
      </w:divBdr>
    </w:div>
    <w:div w:id="1348751091">
      <w:bodyDiv w:val="1"/>
      <w:marLeft w:val="0"/>
      <w:marRight w:val="0"/>
      <w:marTop w:val="0"/>
      <w:marBottom w:val="0"/>
      <w:divBdr>
        <w:top w:val="none" w:sz="0" w:space="0" w:color="auto"/>
        <w:left w:val="none" w:sz="0" w:space="0" w:color="auto"/>
        <w:bottom w:val="none" w:sz="0" w:space="0" w:color="auto"/>
        <w:right w:val="none" w:sz="0" w:space="0" w:color="auto"/>
      </w:divBdr>
    </w:div>
    <w:div w:id="1359158596">
      <w:bodyDiv w:val="1"/>
      <w:marLeft w:val="0"/>
      <w:marRight w:val="0"/>
      <w:marTop w:val="0"/>
      <w:marBottom w:val="0"/>
      <w:divBdr>
        <w:top w:val="none" w:sz="0" w:space="0" w:color="auto"/>
        <w:left w:val="none" w:sz="0" w:space="0" w:color="auto"/>
        <w:bottom w:val="none" w:sz="0" w:space="0" w:color="auto"/>
        <w:right w:val="none" w:sz="0" w:space="0" w:color="auto"/>
      </w:divBdr>
    </w:div>
    <w:div w:id="1377853470">
      <w:bodyDiv w:val="1"/>
      <w:marLeft w:val="0"/>
      <w:marRight w:val="0"/>
      <w:marTop w:val="0"/>
      <w:marBottom w:val="0"/>
      <w:divBdr>
        <w:top w:val="none" w:sz="0" w:space="0" w:color="auto"/>
        <w:left w:val="none" w:sz="0" w:space="0" w:color="auto"/>
        <w:bottom w:val="none" w:sz="0" w:space="0" w:color="auto"/>
        <w:right w:val="none" w:sz="0" w:space="0" w:color="auto"/>
      </w:divBdr>
    </w:div>
    <w:div w:id="1391806027">
      <w:bodyDiv w:val="1"/>
      <w:marLeft w:val="0"/>
      <w:marRight w:val="0"/>
      <w:marTop w:val="0"/>
      <w:marBottom w:val="0"/>
      <w:divBdr>
        <w:top w:val="none" w:sz="0" w:space="0" w:color="auto"/>
        <w:left w:val="none" w:sz="0" w:space="0" w:color="auto"/>
        <w:bottom w:val="none" w:sz="0" w:space="0" w:color="auto"/>
        <w:right w:val="none" w:sz="0" w:space="0" w:color="auto"/>
      </w:divBdr>
    </w:div>
    <w:div w:id="1407536251">
      <w:bodyDiv w:val="1"/>
      <w:marLeft w:val="0"/>
      <w:marRight w:val="0"/>
      <w:marTop w:val="0"/>
      <w:marBottom w:val="0"/>
      <w:divBdr>
        <w:top w:val="none" w:sz="0" w:space="0" w:color="auto"/>
        <w:left w:val="none" w:sz="0" w:space="0" w:color="auto"/>
        <w:bottom w:val="none" w:sz="0" w:space="0" w:color="auto"/>
        <w:right w:val="none" w:sz="0" w:space="0" w:color="auto"/>
      </w:divBdr>
    </w:div>
    <w:div w:id="1413815803">
      <w:bodyDiv w:val="1"/>
      <w:marLeft w:val="0"/>
      <w:marRight w:val="0"/>
      <w:marTop w:val="0"/>
      <w:marBottom w:val="0"/>
      <w:divBdr>
        <w:top w:val="none" w:sz="0" w:space="0" w:color="auto"/>
        <w:left w:val="none" w:sz="0" w:space="0" w:color="auto"/>
        <w:bottom w:val="none" w:sz="0" w:space="0" w:color="auto"/>
        <w:right w:val="none" w:sz="0" w:space="0" w:color="auto"/>
      </w:divBdr>
    </w:div>
    <w:div w:id="1456362502">
      <w:bodyDiv w:val="1"/>
      <w:marLeft w:val="0"/>
      <w:marRight w:val="0"/>
      <w:marTop w:val="0"/>
      <w:marBottom w:val="0"/>
      <w:divBdr>
        <w:top w:val="none" w:sz="0" w:space="0" w:color="auto"/>
        <w:left w:val="none" w:sz="0" w:space="0" w:color="auto"/>
        <w:bottom w:val="none" w:sz="0" w:space="0" w:color="auto"/>
        <w:right w:val="none" w:sz="0" w:space="0" w:color="auto"/>
      </w:divBdr>
    </w:div>
    <w:div w:id="1468160828">
      <w:bodyDiv w:val="1"/>
      <w:marLeft w:val="0"/>
      <w:marRight w:val="0"/>
      <w:marTop w:val="0"/>
      <w:marBottom w:val="0"/>
      <w:divBdr>
        <w:top w:val="none" w:sz="0" w:space="0" w:color="auto"/>
        <w:left w:val="none" w:sz="0" w:space="0" w:color="auto"/>
        <w:bottom w:val="none" w:sz="0" w:space="0" w:color="auto"/>
        <w:right w:val="none" w:sz="0" w:space="0" w:color="auto"/>
      </w:divBdr>
    </w:div>
    <w:div w:id="1472595147">
      <w:bodyDiv w:val="1"/>
      <w:marLeft w:val="0"/>
      <w:marRight w:val="0"/>
      <w:marTop w:val="0"/>
      <w:marBottom w:val="0"/>
      <w:divBdr>
        <w:top w:val="none" w:sz="0" w:space="0" w:color="auto"/>
        <w:left w:val="none" w:sz="0" w:space="0" w:color="auto"/>
        <w:bottom w:val="none" w:sz="0" w:space="0" w:color="auto"/>
        <w:right w:val="none" w:sz="0" w:space="0" w:color="auto"/>
      </w:divBdr>
    </w:div>
    <w:div w:id="1495294317">
      <w:bodyDiv w:val="1"/>
      <w:marLeft w:val="0"/>
      <w:marRight w:val="0"/>
      <w:marTop w:val="0"/>
      <w:marBottom w:val="0"/>
      <w:divBdr>
        <w:top w:val="none" w:sz="0" w:space="0" w:color="auto"/>
        <w:left w:val="none" w:sz="0" w:space="0" w:color="auto"/>
        <w:bottom w:val="none" w:sz="0" w:space="0" w:color="auto"/>
        <w:right w:val="none" w:sz="0" w:space="0" w:color="auto"/>
      </w:divBdr>
    </w:div>
    <w:div w:id="1508641613">
      <w:bodyDiv w:val="1"/>
      <w:marLeft w:val="0"/>
      <w:marRight w:val="0"/>
      <w:marTop w:val="0"/>
      <w:marBottom w:val="0"/>
      <w:divBdr>
        <w:top w:val="none" w:sz="0" w:space="0" w:color="auto"/>
        <w:left w:val="none" w:sz="0" w:space="0" w:color="auto"/>
        <w:bottom w:val="none" w:sz="0" w:space="0" w:color="auto"/>
        <w:right w:val="none" w:sz="0" w:space="0" w:color="auto"/>
      </w:divBdr>
    </w:div>
    <w:div w:id="1529373089">
      <w:bodyDiv w:val="1"/>
      <w:marLeft w:val="0"/>
      <w:marRight w:val="0"/>
      <w:marTop w:val="0"/>
      <w:marBottom w:val="0"/>
      <w:divBdr>
        <w:top w:val="none" w:sz="0" w:space="0" w:color="auto"/>
        <w:left w:val="none" w:sz="0" w:space="0" w:color="auto"/>
        <w:bottom w:val="none" w:sz="0" w:space="0" w:color="auto"/>
        <w:right w:val="none" w:sz="0" w:space="0" w:color="auto"/>
      </w:divBdr>
      <w:divsChild>
        <w:div w:id="449860620">
          <w:marLeft w:val="0"/>
          <w:marRight w:val="0"/>
          <w:marTop w:val="0"/>
          <w:marBottom w:val="0"/>
          <w:divBdr>
            <w:top w:val="none" w:sz="0" w:space="0" w:color="auto"/>
            <w:left w:val="none" w:sz="0" w:space="0" w:color="auto"/>
            <w:bottom w:val="none" w:sz="0" w:space="0" w:color="auto"/>
            <w:right w:val="none" w:sz="0" w:space="0" w:color="auto"/>
          </w:divBdr>
        </w:div>
        <w:div w:id="662975450">
          <w:marLeft w:val="0"/>
          <w:marRight w:val="0"/>
          <w:marTop w:val="0"/>
          <w:marBottom w:val="0"/>
          <w:divBdr>
            <w:top w:val="none" w:sz="0" w:space="0" w:color="auto"/>
            <w:left w:val="none" w:sz="0" w:space="0" w:color="auto"/>
            <w:bottom w:val="none" w:sz="0" w:space="0" w:color="auto"/>
            <w:right w:val="none" w:sz="0" w:space="0" w:color="auto"/>
          </w:divBdr>
        </w:div>
        <w:div w:id="937643968">
          <w:marLeft w:val="0"/>
          <w:marRight w:val="0"/>
          <w:marTop w:val="0"/>
          <w:marBottom w:val="0"/>
          <w:divBdr>
            <w:top w:val="none" w:sz="0" w:space="0" w:color="auto"/>
            <w:left w:val="none" w:sz="0" w:space="0" w:color="auto"/>
            <w:bottom w:val="none" w:sz="0" w:space="0" w:color="auto"/>
            <w:right w:val="none" w:sz="0" w:space="0" w:color="auto"/>
          </w:divBdr>
        </w:div>
        <w:div w:id="1335647551">
          <w:marLeft w:val="0"/>
          <w:marRight w:val="0"/>
          <w:marTop w:val="0"/>
          <w:marBottom w:val="0"/>
          <w:divBdr>
            <w:top w:val="none" w:sz="0" w:space="0" w:color="auto"/>
            <w:left w:val="none" w:sz="0" w:space="0" w:color="auto"/>
            <w:bottom w:val="none" w:sz="0" w:space="0" w:color="auto"/>
            <w:right w:val="none" w:sz="0" w:space="0" w:color="auto"/>
          </w:divBdr>
        </w:div>
        <w:div w:id="1613243619">
          <w:marLeft w:val="0"/>
          <w:marRight w:val="0"/>
          <w:marTop w:val="0"/>
          <w:marBottom w:val="0"/>
          <w:divBdr>
            <w:top w:val="none" w:sz="0" w:space="0" w:color="auto"/>
            <w:left w:val="none" w:sz="0" w:space="0" w:color="auto"/>
            <w:bottom w:val="none" w:sz="0" w:space="0" w:color="auto"/>
            <w:right w:val="none" w:sz="0" w:space="0" w:color="auto"/>
          </w:divBdr>
        </w:div>
        <w:div w:id="1848977057">
          <w:marLeft w:val="0"/>
          <w:marRight w:val="0"/>
          <w:marTop w:val="0"/>
          <w:marBottom w:val="0"/>
          <w:divBdr>
            <w:top w:val="none" w:sz="0" w:space="0" w:color="auto"/>
            <w:left w:val="none" w:sz="0" w:space="0" w:color="auto"/>
            <w:bottom w:val="none" w:sz="0" w:space="0" w:color="auto"/>
            <w:right w:val="none" w:sz="0" w:space="0" w:color="auto"/>
          </w:divBdr>
        </w:div>
        <w:div w:id="1890606635">
          <w:marLeft w:val="0"/>
          <w:marRight w:val="0"/>
          <w:marTop w:val="0"/>
          <w:marBottom w:val="0"/>
          <w:divBdr>
            <w:top w:val="none" w:sz="0" w:space="0" w:color="auto"/>
            <w:left w:val="none" w:sz="0" w:space="0" w:color="auto"/>
            <w:bottom w:val="none" w:sz="0" w:space="0" w:color="auto"/>
            <w:right w:val="none" w:sz="0" w:space="0" w:color="auto"/>
          </w:divBdr>
        </w:div>
        <w:div w:id="1931621021">
          <w:marLeft w:val="0"/>
          <w:marRight w:val="0"/>
          <w:marTop w:val="0"/>
          <w:marBottom w:val="0"/>
          <w:divBdr>
            <w:top w:val="none" w:sz="0" w:space="0" w:color="auto"/>
            <w:left w:val="none" w:sz="0" w:space="0" w:color="auto"/>
            <w:bottom w:val="none" w:sz="0" w:space="0" w:color="auto"/>
            <w:right w:val="none" w:sz="0" w:space="0" w:color="auto"/>
          </w:divBdr>
        </w:div>
      </w:divsChild>
    </w:div>
    <w:div w:id="1559894787">
      <w:bodyDiv w:val="1"/>
      <w:marLeft w:val="0"/>
      <w:marRight w:val="0"/>
      <w:marTop w:val="0"/>
      <w:marBottom w:val="0"/>
      <w:divBdr>
        <w:top w:val="none" w:sz="0" w:space="0" w:color="auto"/>
        <w:left w:val="none" w:sz="0" w:space="0" w:color="auto"/>
        <w:bottom w:val="none" w:sz="0" w:space="0" w:color="auto"/>
        <w:right w:val="none" w:sz="0" w:space="0" w:color="auto"/>
      </w:divBdr>
    </w:div>
    <w:div w:id="1565792577">
      <w:bodyDiv w:val="1"/>
      <w:marLeft w:val="0"/>
      <w:marRight w:val="0"/>
      <w:marTop w:val="0"/>
      <w:marBottom w:val="0"/>
      <w:divBdr>
        <w:top w:val="none" w:sz="0" w:space="0" w:color="auto"/>
        <w:left w:val="none" w:sz="0" w:space="0" w:color="auto"/>
        <w:bottom w:val="none" w:sz="0" w:space="0" w:color="auto"/>
        <w:right w:val="none" w:sz="0" w:space="0" w:color="auto"/>
      </w:divBdr>
      <w:divsChild>
        <w:div w:id="1159006281">
          <w:marLeft w:val="0"/>
          <w:marRight w:val="0"/>
          <w:marTop w:val="0"/>
          <w:marBottom w:val="0"/>
          <w:divBdr>
            <w:top w:val="none" w:sz="0" w:space="0" w:color="auto"/>
            <w:left w:val="none" w:sz="0" w:space="0" w:color="auto"/>
            <w:bottom w:val="none" w:sz="0" w:space="0" w:color="auto"/>
            <w:right w:val="none" w:sz="0" w:space="0" w:color="auto"/>
          </w:divBdr>
        </w:div>
      </w:divsChild>
    </w:div>
    <w:div w:id="1609922832">
      <w:bodyDiv w:val="1"/>
      <w:marLeft w:val="0"/>
      <w:marRight w:val="0"/>
      <w:marTop w:val="0"/>
      <w:marBottom w:val="0"/>
      <w:divBdr>
        <w:top w:val="none" w:sz="0" w:space="0" w:color="auto"/>
        <w:left w:val="none" w:sz="0" w:space="0" w:color="auto"/>
        <w:bottom w:val="none" w:sz="0" w:space="0" w:color="auto"/>
        <w:right w:val="none" w:sz="0" w:space="0" w:color="auto"/>
      </w:divBdr>
    </w:div>
    <w:div w:id="1677532434">
      <w:bodyDiv w:val="1"/>
      <w:marLeft w:val="0"/>
      <w:marRight w:val="0"/>
      <w:marTop w:val="0"/>
      <w:marBottom w:val="0"/>
      <w:divBdr>
        <w:top w:val="none" w:sz="0" w:space="0" w:color="auto"/>
        <w:left w:val="none" w:sz="0" w:space="0" w:color="auto"/>
        <w:bottom w:val="none" w:sz="0" w:space="0" w:color="auto"/>
        <w:right w:val="none" w:sz="0" w:space="0" w:color="auto"/>
      </w:divBdr>
    </w:div>
    <w:div w:id="1683579945">
      <w:bodyDiv w:val="1"/>
      <w:marLeft w:val="0"/>
      <w:marRight w:val="0"/>
      <w:marTop w:val="0"/>
      <w:marBottom w:val="0"/>
      <w:divBdr>
        <w:top w:val="none" w:sz="0" w:space="0" w:color="auto"/>
        <w:left w:val="none" w:sz="0" w:space="0" w:color="auto"/>
        <w:bottom w:val="none" w:sz="0" w:space="0" w:color="auto"/>
        <w:right w:val="none" w:sz="0" w:space="0" w:color="auto"/>
      </w:divBdr>
    </w:div>
    <w:div w:id="1690330287">
      <w:bodyDiv w:val="1"/>
      <w:marLeft w:val="0"/>
      <w:marRight w:val="0"/>
      <w:marTop w:val="0"/>
      <w:marBottom w:val="0"/>
      <w:divBdr>
        <w:top w:val="none" w:sz="0" w:space="0" w:color="auto"/>
        <w:left w:val="none" w:sz="0" w:space="0" w:color="auto"/>
        <w:bottom w:val="none" w:sz="0" w:space="0" w:color="auto"/>
        <w:right w:val="none" w:sz="0" w:space="0" w:color="auto"/>
      </w:divBdr>
    </w:div>
    <w:div w:id="1701011343">
      <w:bodyDiv w:val="1"/>
      <w:marLeft w:val="0"/>
      <w:marRight w:val="0"/>
      <w:marTop w:val="0"/>
      <w:marBottom w:val="0"/>
      <w:divBdr>
        <w:top w:val="none" w:sz="0" w:space="0" w:color="auto"/>
        <w:left w:val="none" w:sz="0" w:space="0" w:color="auto"/>
        <w:bottom w:val="none" w:sz="0" w:space="0" w:color="auto"/>
        <w:right w:val="none" w:sz="0" w:space="0" w:color="auto"/>
      </w:divBdr>
    </w:div>
    <w:div w:id="1707365262">
      <w:bodyDiv w:val="1"/>
      <w:marLeft w:val="0"/>
      <w:marRight w:val="0"/>
      <w:marTop w:val="0"/>
      <w:marBottom w:val="0"/>
      <w:divBdr>
        <w:top w:val="none" w:sz="0" w:space="0" w:color="auto"/>
        <w:left w:val="none" w:sz="0" w:space="0" w:color="auto"/>
        <w:bottom w:val="none" w:sz="0" w:space="0" w:color="auto"/>
        <w:right w:val="none" w:sz="0" w:space="0" w:color="auto"/>
      </w:divBdr>
    </w:div>
    <w:div w:id="1738045074">
      <w:bodyDiv w:val="1"/>
      <w:marLeft w:val="0"/>
      <w:marRight w:val="0"/>
      <w:marTop w:val="0"/>
      <w:marBottom w:val="0"/>
      <w:divBdr>
        <w:top w:val="none" w:sz="0" w:space="0" w:color="auto"/>
        <w:left w:val="none" w:sz="0" w:space="0" w:color="auto"/>
        <w:bottom w:val="none" w:sz="0" w:space="0" w:color="auto"/>
        <w:right w:val="none" w:sz="0" w:space="0" w:color="auto"/>
      </w:divBdr>
    </w:div>
    <w:div w:id="1752387019">
      <w:bodyDiv w:val="1"/>
      <w:marLeft w:val="0"/>
      <w:marRight w:val="0"/>
      <w:marTop w:val="0"/>
      <w:marBottom w:val="0"/>
      <w:divBdr>
        <w:top w:val="none" w:sz="0" w:space="0" w:color="auto"/>
        <w:left w:val="none" w:sz="0" w:space="0" w:color="auto"/>
        <w:bottom w:val="none" w:sz="0" w:space="0" w:color="auto"/>
        <w:right w:val="none" w:sz="0" w:space="0" w:color="auto"/>
      </w:divBdr>
    </w:div>
    <w:div w:id="1778677552">
      <w:bodyDiv w:val="1"/>
      <w:marLeft w:val="0"/>
      <w:marRight w:val="0"/>
      <w:marTop w:val="0"/>
      <w:marBottom w:val="0"/>
      <w:divBdr>
        <w:top w:val="none" w:sz="0" w:space="0" w:color="auto"/>
        <w:left w:val="none" w:sz="0" w:space="0" w:color="auto"/>
        <w:bottom w:val="none" w:sz="0" w:space="0" w:color="auto"/>
        <w:right w:val="none" w:sz="0" w:space="0" w:color="auto"/>
      </w:divBdr>
    </w:div>
    <w:div w:id="1834250613">
      <w:bodyDiv w:val="1"/>
      <w:marLeft w:val="0"/>
      <w:marRight w:val="0"/>
      <w:marTop w:val="0"/>
      <w:marBottom w:val="0"/>
      <w:divBdr>
        <w:top w:val="none" w:sz="0" w:space="0" w:color="auto"/>
        <w:left w:val="none" w:sz="0" w:space="0" w:color="auto"/>
        <w:bottom w:val="none" w:sz="0" w:space="0" w:color="auto"/>
        <w:right w:val="none" w:sz="0" w:space="0" w:color="auto"/>
      </w:divBdr>
    </w:div>
    <w:div w:id="1851024150">
      <w:bodyDiv w:val="1"/>
      <w:marLeft w:val="0"/>
      <w:marRight w:val="0"/>
      <w:marTop w:val="0"/>
      <w:marBottom w:val="0"/>
      <w:divBdr>
        <w:top w:val="none" w:sz="0" w:space="0" w:color="auto"/>
        <w:left w:val="none" w:sz="0" w:space="0" w:color="auto"/>
        <w:bottom w:val="none" w:sz="0" w:space="0" w:color="auto"/>
        <w:right w:val="none" w:sz="0" w:space="0" w:color="auto"/>
      </w:divBdr>
    </w:div>
    <w:div w:id="1934435876">
      <w:bodyDiv w:val="1"/>
      <w:marLeft w:val="0"/>
      <w:marRight w:val="0"/>
      <w:marTop w:val="0"/>
      <w:marBottom w:val="0"/>
      <w:divBdr>
        <w:top w:val="none" w:sz="0" w:space="0" w:color="auto"/>
        <w:left w:val="none" w:sz="0" w:space="0" w:color="auto"/>
        <w:bottom w:val="none" w:sz="0" w:space="0" w:color="auto"/>
        <w:right w:val="none" w:sz="0" w:space="0" w:color="auto"/>
      </w:divBdr>
    </w:div>
    <w:div w:id="1950695779">
      <w:bodyDiv w:val="1"/>
      <w:marLeft w:val="0"/>
      <w:marRight w:val="0"/>
      <w:marTop w:val="0"/>
      <w:marBottom w:val="0"/>
      <w:divBdr>
        <w:top w:val="none" w:sz="0" w:space="0" w:color="auto"/>
        <w:left w:val="none" w:sz="0" w:space="0" w:color="auto"/>
        <w:bottom w:val="none" w:sz="0" w:space="0" w:color="auto"/>
        <w:right w:val="none" w:sz="0" w:space="0" w:color="auto"/>
      </w:divBdr>
    </w:div>
    <w:div w:id="1970865368">
      <w:marLeft w:val="0"/>
      <w:marRight w:val="0"/>
      <w:marTop w:val="0"/>
      <w:marBottom w:val="0"/>
      <w:divBdr>
        <w:top w:val="none" w:sz="0" w:space="0" w:color="auto"/>
        <w:left w:val="none" w:sz="0" w:space="0" w:color="auto"/>
        <w:bottom w:val="none" w:sz="0" w:space="0" w:color="auto"/>
        <w:right w:val="none" w:sz="0" w:space="0" w:color="auto"/>
      </w:divBdr>
    </w:div>
    <w:div w:id="1976444159">
      <w:bodyDiv w:val="1"/>
      <w:marLeft w:val="0"/>
      <w:marRight w:val="0"/>
      <w:marTop w:val="0"/>
      <w:marBottom w:val="0"/>
      <w:divBdr>
        <w:top w:val="none" w:sz="0" w:space="0" w:color="auto"/>
        <w:left w:val="none" w:sz="0" w:space="0" w:color="auto"/>
        <w:bottom w:val="none" w:sz="0" w:space="0" w:color="auto"/>
        <w:right w:val="none" w:sz="0" w:space="0" w:color="auto"/>
      </w:divBdr>
    </w:div>
    <w:div w:id="1984119022">
      <w:bodyDiv w:val="1"/>
      <w:marLeft w:val="0"/>
      <w:marRight w:val="0"/>
      <w:marTop w:val="0"/>
      <w:marBottom w:val="0"/>
      <w:divBdr>
        <w:top w:val="none" w:sz="0" w:space="0" w:color="auto"/>
        <w:left w:val="none" w:sz="0" w:space="0" w:color="auto"/>
        <w:bottom w:val="none" w:sz="0" w:space="0" w:color="auto"/>
        <w:right w:val="none" w:sz="0" w:space="0" w:color="auto"/>
      </w:divBdr>
    </w:div>
    <w:div w:id="2004091298">
      <w:bodyDiv w:val="1"/>
      <w:marLeft w:val="0"/>
      <w:marRight w:val="0"/>
      <w:marTop w:val="0"/>
      <w:marBottom w:val="0"/>
      <w:divBdr>
        <w:top w:val="none" w:sz="0" w:space="0" w:color="auto"/>
        <w:left w:val="none" w:sz="0" w:space="0" w:color="auto"/>
        <w:bottom w:val="none" w:sz="0" w:space="0" w:color="auto"/>
        <w:right w:val="none" w:sz="0" w:space="0" w:color="auto"/>
      </w:divBdr>
    </w:div>
    <w:div w:id="2023824183">
      <w:bodyDiv w:val="1"/>
      <w:marLeft w:val="0"/>
      <w:marRight w:val="0"/>
      <w:marTop w:val="0"/>
      <w:marBottom w:val="0"/>
      <w:divBdr>
        <w:top w:val="none" w:sz="0" w:space="0" w:color="auto"/>
        <w:left w:val="none" w:sz="0" w:space="0" w:color="auto"/>
        <w:bottom w:val="none" w:sz="0" w:space="0" w:color="auto"/>
        <w:right w:val="none" w:sz="0" w:space="0" w:color="auto"/>
      </w:divBdr>
    </w:div>
    <w:div w:id="2035492511">
      <w:bodyDiv w:val="1"/>
      <w:marLeft w:val="0"/>
      <w:marRight w:val="0"/>
      <w:marTop w:val="0"/>
      <w:marBottom w:val="0"/>
      <w:divBdr>
        <w:top w:val="none" w:sz="0" w:space="0" w:color="auto"/>
        <w:left w:val="none" w:sz="0" w:space="0" w:color="auto"/>
        <w:bottom w:val="none" w:sz="0" w:space="0" w:color="auto"/>
        <w:right w:val="none" w:sz="0" w:space="0" w:color="auto"/>
      </w:divBdr>
      <w:divsChild>
        <w:div w:id="251477586">
          <w:marLeft w:val="0"/>
          <w:marRight w:val="0"/>
          <w:marTop w:val="0"/>
          <w:marBottom w:val="0"/>
          <w:divBdr>
            <w:top w:val="none" w:sz="0" w:space="0" w:color="auto"/>
            <w:left w:val="none" w:sz="0" w:space="0" w:color="auto"/>
            <w:bottom w:val="none" w:sz="0" w:space="0" w:color="auto"/>
            <w:right w:val="none" w:sz="0" w:space="0" w:color="auto"/>
          </w:divBdr>
          <w:divsChild>
            <w:div w:id="1631784528">
              <w:marLeft w:val="0"/>
              <w:marRight w:val="0"/>
              <w:marTop w:val="0"/>
              <w:marBottom w:val="0"/>
              <w:divBdr>
                <w:top w:val="none" w:sz="0" w:space="0" w:color="auto"/>
                <w:left w:val="none" w:sz="0" w:space="0" w:color="auto"/>
                <w:bottom w:val="none" w:sz="0" w:space="0" w:color="auto"/>
                <w:right w:val="none" w:sz="0" w:space="0" w:color="auto"/>
              </w:divBdr>
              <w:divsChild>
                <w:div w:id="259222481">
                  <w:marLeft w:val="300"/>
                  <w:marRight w:val="300"/>
                  <w:marTop w:val="0"/>
                  <w:marBottom w:val="0"/>
                  <w:divBdr>
                    <w:top w:val="none" w:sz="0" w:space="0" w:color="auto"/>
                    <w:left w:val="none" w:sz="0" w:space="0" w:color="auto"/>
                    <w:bottom w:val="none" w:sz="0" w:space="0" w:color="auto"/>
                    <w:right w:val="none" w:sz="0" w:space="0" w:color="auto"/>
                  </w:divBdr>
                  <w:divsChild>
                    <w:div w:id="16869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60378">
      <w:bodyDiv w:val="1"/>
      <w:marLeft w:val="0"/>
      <w:marRight w:val="0"/>
      <w:marTop w:val="0"/>
      <w:marBottom w:val="0"/>
      <w:divBdr>
        <w:top w:val="none" w:sz="0" w:space="0" w:color="auto"/>
        <w:left w:val="none" w:sz="0" w:space="0" w:color="auto"/>
        <w:bottom w:val="none" w:sz="0" w:space="0" w:color="auto"/>
        <w:right w:val="none" w:sz="0" w:space="0" w:color="auto"/>
      </w:divBdr>
    </w:div>
    <w:div w:id="2040080233">
      <w:bodyDiv w:val="1"/>
      <w:marLeft w:val="0"/>
      <w:marRight w:val="0"/>
      <w:marTop w:val="0"/>
      <w:marBottom w:val="0"/>
      <w:divBdr>
        <w:top w:val="none" w:sz="0" w:space="0" w:color="auto"/>
        <w:left w:val="none" w:sz="0" w:space="0" w:color="auto"/>
        <w:bottom w:val="none" w:sz="0" w:space="0" w:color="auto"/>
        <w:right w:val="none" w:sz="0" w:space="0" w:color="auto"/>
      </w:divBdr>
    </w:div>
    <w:div w:id="2054886429">
      <w:bodyDiv w:val="1"/>
      <w:marLeft w:val="0"/>
      <w:marRight w:val="0"/>
      <w:marTop w:val="0"/>
      <w:marBottom w:val="0"/>
      <w:divBdr>
        <w:top w:val="none" w:sz="0" w:space="0" w:color="auto"/>
        <w:left w:val="none" w:sz="0" w:space="0" w:color="auto"/>
        <w:bottom w:val="none" w:sz="0" w:space="0" w:color="auto"/>
        <w:right w:val="none" w:sz="0" w:space="0" w:color="auto"/>
      </w:divBdr>
    </w:div>
    <w:div w:id="207697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au/Details/F2005B02402" TargetMode="External"/><Relationship Id="rId21" Type="http://schemas.openxmlformats.org/officeDocument/2006/relationships/hyperlink" Target="http://elibrary.gbrmpa.gov.au/jspui/handle/11017/541" TargetMode="External"/><Relationship Id="rId42" Type="http://schemas.openxmlformats.org/officeDocument/2006/relationships/hyperlink" Target="http://elibrary.gbrmpa.gov.au/jspui/handle/11017/970" TargetMode="External"/><Relationship Id="rId47" Type="http://schemas.openxmlformats.org/officeDocument/2006/relationships/hyperlink" Target="http://www.gbrmpa.gov.au/managing-the-reef/how-the-reefs-managed/reef-2050-marine-monitoring-program/marine-monitoring-program-publications" TargetMode="External"/><Relationship Id="rId63" Type="http://schemas.openxmlformats.org/officeDocument/2006/relationships/hyperlink" Target="http://www.environment.gov.au/marine/publications/national-assessment-guidelines-dredging-2009" TargetMode="External"/><Relationship Id="rId68" Type="http://schemas.openxmlformats.org/officeDocument/2006/relationships/hyperlink" Target="http://elibrary.gbrmpa.gov.au/jspui/handle/11017/3229" TargetMode="External"/><Relationship Id="rId84" Type="http://schemas.openxmlformats.org/officeDocument/2006/relationships/hyperlink" Target="https://www.ehp.qld.gov.au/water/monitoring/sampling-manual/" TargetMode="External"/><Relationship Id="rId89" Type="http://schemas.openxmlformats.org/officeDocument/2006/relationships/hyperlink" Target="http://theconversation.com/seagrass-is-a-huge-carbon-store-but-will-government-value-it-17878?utm_medium=email&amp;utm_campaign=Latest+from+The+Conversation+for+6+September+2013&amp;utm_content=Latest+from+The+Conversation+for+6+September+2013+CID_0b9a89f55969c9435c955efdb5e9d379&amp;utm_source=campaign_monitor&amp;utm_term=Seagrass%20is%20a%20huge%20carbon%20store%20but%20will%20government%20value%20it" TargetMode="External"/><Relationship Id="rId16" Type="http://schemas.openxmlformats.org/officeDocument/2006/relationships/hyperlink" Target="http://elibrary.gbrmpa.gov.au/jspui/handle/11017/3012" TargetMode="External"/><Relationship Id="rId11" Type="http://schemas.openxmlformats.org/officeDocument/2006/relationships/endnotes" Target="endnotes.xml"/><Relationship Id="rId32" Type="http://schemas.openxmlformats.org/officeDocument/2006/relationships/hyperlink" Target="https://www.legislation.gov.au/Series/C2004A02478" TargetMode="External"/><Relationship Id="rId37" Type="http://schemas.openxmlformats.org/officeDocument/2006/relationships/hyperlink" Target="http://www.gbrmpa.gov.au/managing-the-reef/reef-2050/reef-2050-plan-draft-policies-and-guideline-consultation" TargetMode="External"/><Relationship Id="rId53" Type="http://schemas.openxmlformats.org/officeDocument/2006/relationships/hyperlink" Target="http://www.gbrmpa.gov.au/managing-the-reef/how-the-reefs-managed/Managing-multiple-uses/traditional-use" TargetMode="External"/><Relationship Id="rId58" Type="http://schemas.openxmlformats.org/officeDocument/2006/relationships/header" Target="header1.xml"/><Relationship Id="rId74" Type="http://schemas.openxmlformats.org/officeDocument/2006/relationships/hyperlink" Target="http://www.environment.gov.au/marine/publications/national-assessment-guidelines-dredging-2009" TargetMode="External"/><Relationship Id="rId79" Type="http://schemas.openxmlformats.org/officeDocument/2006/relationships/hyperlink" Target="http://www.gbrmpa.gov.au/__data/assets/pdf_file/0004/248989/Risk-assessment-procedure.pdf" TargetMode="External"/><Relationship Id="rId5" Type="http://schemas.openxmlformats.org/officeDocument/2006/relationships/customXml" Target="../customXml/item5.xml"/><Relationship Id="rId90" Type="http://schemas.openxmlformats.org/officeDocument/2006/relationships/hyperlink" Target="https://www.ehp.qld.gov.au/coastal/ecology/marine-habitats/seagrass.html" TargetMode="External"/><Relationship Id="rId95" Type="http://schemas.openxmlformats.org/officeDocument/2006/relationships/fontTable" Target="fontTable.xml"/><Relationship Id="rId22" Type="http://schemas.openxmlformats.org/officeDocument/2006/relationships/hyperlink" Target="https://www.environment.gov.au/cgi-bin/wetlands/ramsardetails.pl?refcode=42" TargetMode="External"/><Relationship Id="rId27" Type="http://schemas.openxmlformats.org/officeDocument/2006/relationships/hyperlink" Target="https://www.legislation.qld.gov.au/view/html/inforce/current/sl-2004-0240" TargetMode="External"/><Relationship Id="rId43" Type="http://schemas.openxmlformats.org/officeDocument/2006/relationships/hyperlink" Target="http://www.environment.gov.au/marine/publications/national-assessment-guidelines-dredging-2009" TargetMode="External"/><Relationship Id="rId48" Type="http://schemas.openxmlformats.org/officeDocument/2006/relationships/hyperlink" Target="http://www.seagrasswatch.org/home.html" TargetMode="External"/><Relationship Id="rId64" Type="http://schemas.openxmlformats.org/officeDocument/2006/relationships/hyperlink" Target="http://elibrary.gbrmpa.gov.au/jspui/handle/11017/3229" TargetMode="External"/><Relationship Id="rId69" Type="http://schemas.openxmlformats.org/officeDocument/2006/relationships/hyperlink" Target="http://elibrary.gbrmpa.gov.au/jspui/handle/11017/3229" TargetMode="External"/><Relationship Id="rId80" Type="http://schemas.openxmlformats.org/officeDocument/2006/relationships/hyperlink" Target="http://elibrary.gbrmpa.gov.au/jspui/handle/11017/3223" TargetMode="External"/><Relationship Id="rId85" Type="http://schemas.openxmlformats.org/officeDocument/2006/relationships/hyperlink" Target="http://www.gbrmpa.gov.au/__data/assets/pdf_file/0018/26532/Guidelines-on-Hydrodynamics-Modelling-15-Aug-2012.pdf" TargetMode="External"/><Relationship Id="rId3" Type="http://schemas.openxmlformats.org/officeDocument/2006/relationships/customXml" Target="../customXml/item3.xml"/><Relationship Id="rId12" Type="http://schemas.openxmlformats.org/officeDocument/2006/relationships/hyperlink" Target="http://elibrary.gbrmpa.gov.au/jspui/handle/11017/541" TargetMode="External"/><Relationship Id="rId17" Type="http://schemas.openxmlformats.org/officeDocument/2006/relationships/hyperlink" Target="http://elibrary.gbrmpa.gov.au/jspui/handle/11017/3048" TargetMode="External"/><Relationship Id="rId25" Type="http://schemas.openxmlformats.org/officeDocument/2006/relationships/hyperlink" Target="https://www.legislation.gov.au/Details/C2017C00279" TargetMode="External"/><Relationship Id="rId33" Type="http://schemas.openxmlformats.org/officeDocument/2006/relationships/hyperlink" Target="https://www.legislation.qld.gov.au/view/html/inforce/current/act-1994-037" TargetMode="External"/><Relationship Id="rId38" Type="http://schemas.openxmlformats.org/officeDocument/2006/relationships/hyperlink" Target="http://www.gbrmpa.gov.au/__data/assets/pdf_file/0017/4526/GBRMPA_WQualityGuidelinesGBRMP_RevEdition_2010.pdf" TargetMode="External"/><Relationship Id="rId46" Type="http://schemas.openxmlformats.org/officeDocument/2006/relationships/hyperlink" Target="http://www.gbrmpa.gov.au/managing-the-reef/reef-2050/reef-2050-plan-draft-policies-and-guideline-consultation" TargetMode="External"/><Relationship Id="rId59" Type="http://schemas.openxmlformats.org/officeDocument/2006/relationships/footer" Target="footer1.xml"/><Relationship Id="rId67" Type="http://schemas.openxmlformats.org/officeDocument/2006/relationships/hyperlink" Target="http://www.gbrmpa.gov.au/managing-the-reef/reef-2050/reef-2050-plan-draft-policies-and-guideline-consultation" TargetMode="External"/><Relationship Id="rId20" Type="http://schemas.openxmlformats.org/officeDocument/2006/relationships/hyperlink" Target="http://www.reefplan.qld.gov.au/measuring-success/report-cards/" TargetMode="External"/><Relationship Id="rId41" Type="http://schemas.openxmlformats.org/officeDocument/2006/relationships/hyperlink" Target="http://elibrary.gbrmpa.gov.au/jspui/handle/11017/595" TargetMode="External"/><Relationship Id="rId54" Type="http://schemas.openxmlformats.org/officeDocument/2006/relationships/hyperlink" Target="http://elibrary.gbrmpa.gov.au/jspui/handle/11017/3241" TargetMode="External"/><Relationship Id="rId62" Type="http://schemas.openxmlformats.org/officeDocument/2006/relationships/hyperlink" Target="http://www.gbrmpa.gov.au/__data/assets/pdf_file/0018/26532/Guidelines-on-Hydrodynamics-Modelling-15-Aug-2012.pdf" TargetMode="External"/><Relationship Id="rId70" Type="http://schemas.openxmlformats.org/officeDocument/2006/relationships/hyperlink" Target="http://elibrary.gbrmpa.gov.au/jspui/handle/11017/3229" TargetMode="External"/><Relationship Id="rId75" Type="http://schemas.openxmlformats.org/officeDocument/2006/relationships/hyperlink" Target="http://www.gbrmpa.gov.au/__data/assets/pdf_file/0017/4526/GBRMPA_WQualityGuidelinesGBRMP_RevEdition_2010.pdf" TargetMode="External"/><Relationship Id="rId83" Type="http://schemas.openxmlformats.org/officeDocument/2006/relationships/hyperlink" Target="http://www.gbrmpa.gov.au/managing-the-reef/reef-2050/reef-2050-plan-draft-policies-and-guideline-consultation" TargetMode="External"/><Relationship Id="rId88" Type="http://schemas.openxmlformats.org/officeDocument/2006/relationships/hyperlink" Target="https://www.iucn.org/resources/issues-briefs/blue-carbon" TargetMode="External"/><Relationship Id="rId91" Type="http://schemas.openxmlformats.org/officeDocument/2006/relationships/hyperlink" Target="mailto:info@gbrmpa.gov.au" TargetMode="Externa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research.jcu.edu.au/tropwater/publications/1716FinalReportDeepwaterseagrassdynamics.pdf" TargetMode="External"/><Relationship Id="rId23" Type="http://schemas.openxmlformats.org/officeDocument/2006/relationships/hyperlink" Target="https://www.environment.gov.au/cgi-bin/wetlands/ramsardetails.pl?refcode=44" TargetMode="External"/><Relationship Id="rId28" Type="http://schemas.openxmlformats.org/officeDocument/2006/relationships/hyperlink" Target="https://www.legislation.gov.au/Details/F2017C00960" TargetMode="External"/><Relationship Id="rId36" Type="http://schemas.openxmlformats.org/officeDocument/2006/relationships/hyperlink" Target="http://www.reefplan.qld.gov.au/" TargetMode="External"/><Relationship Id="rId49" Type="http://schemas.openxmlformats.org/officeDocument/2006/relationships/hyperlink" Target="http://elibrary.gbrmpa.gov.au/jspui/handle/11017/3229" TargetMode="External"/><Relationship Id="rId57" Type="http://schemas.openxmlformats.org/officeDocument/2006/relationships/hyperlink" Target="http://elibrary.gbrmpa.gov.au/jspui/handle/11017/3231" TargetMode="External"/><Relationship Id="rId10" Type="http://schemas.openxmlformats.org/officeDocument/2006/relationships/footnotes" Target="footnotes.xml"/><Relationship Id="rId31" Type="http://schemas.openxmlformats.org/officeDocument/2006/relationships/hyperlink" Target="http://elibrary.gbrmpa.gov.au/jspui/handle/11017/3225" TargetMode="External"/><Relationship Id="rId44" Type="http://schemas.openxmlformats.org/officeDocument/2006/relationships/hyperlink" Target="http://www.environment.gov.au/marine/gbr/long-term-sustainability-plan" TargetMode="External"/><Relationship Id="rId52" Type="http://schemas.openxmlformats.org/officeDocument/2006/relationships/hyperlink" Target="http://elibrary.gbrmpa.gov.au/jspui/handle/11017/1/browse?type=series&amp;order=ASC&amp;rpp=20&amp;value=Permission+system+value+guidelines" TargetMode="External"/><Relationship Id="rId60" Type="http://schemas.openxmlformats.org/officeDocument/2006/relationships/header" Target="header2.xml"/><Relationship Id="rId65" Type="http://schemas.openxmlformats.org/officeDocument/2006/relationships/hyperlink" Target="http://www.gbrmpa.gov.au/__data/assets/pdf_file/0018/26532/Guidelines-on-Hydrodynamics-Modelling-15-Aug-2012.pdf" TargetMode="External"/><Relationship Id="rId73" Type="http://schemas.openxmlformats.org/officeDocument/2006/relationships/hyperlink" Target="http://elibrary.gbrmpa.gov.au/jspui/handle/11017/3229" TargetMode="External"/><Relationship Id="rId78" Type="http://schemas.openxmlformats.org/officeDocument/2006/relationships/hyperlink" Target="http://elibrary.gbrmpa.gov.au/jspui/handle/11017/3229" TargetMode="External"/><Relationship Id="rId81" Type="http://schemas.openxmlformats.org/officeDocument/2006/relationships/hyperlink" Target="http://elibrary.gbrmpa.gov.au/jspui/handle/11017/3229" TargetMode="External"/><Relationship Id="rId86" Type="http://schemas.openxmlformats.org/officeDocument/2006/relationships/hyperlink" Target="http://hdl.handle.net/11017/3224" TargetMode="External"/><Relationship Id="rId9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research.jcu.edu.au/tropwater/research-programs/seagrass-ecology-1/modeling-seagrass-distribution-and-risks-to-seagrass" TargetMode="External"/><Relationship Id="rId18" Type="http://schemas.openxmlformats.org/officeDocument/2006/relationships/hyperlink" Target="http://www.gbrmpa.gov.au/managing-the-reef/great-barrier-reef-outlook-report" TargetMode="External"/><Relationship Id="rId39" Type="http://schemas.openxmlformats.org/officeDocument/2006/relationships/hyperlink" Target="http://www.agriculture.gov.au/water/quality/guidelines" TargetMode="External"/><Relationship Id="rId34" Type="http://schemas.openxmlformats.org/officeDocument/2006/relationships/hyperlink" Target="https://www.legislation.qld.gov.au/view/html/inforce/current/act-1994-062" TargetMode="External"/><Relationship Id="rId50" Type="http://schemas.openxmlformats.org/officeDocument/2006/relationships/hyperlink" Target="https://www.ehp.qld.gov.au/water/monitoring/sampling-manual/" TargetMode="External"/><Relationship Id="rId55" Type="http://schemas.openxmlformats.org/officeDocument/2006/relationships/hyperlink" Target="http://elibrary.gbrmpa.gov.au/jspui/handle/11017/3215" TargetMode="External"/><Relationship Id="rId76" Type="http://schemas.openxmlformats.org/officeDocument/2006/relationships/hyperlink" Target="https://cfpub.epa.gov/ecotox/" TargetMode="External"/><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www.environment.gov.au/marine/publications/national-assessment-guidelines-dredging-2009" TargetMode="External"/><Relationship Id="rId92" Type="http://schemas.openxmlformats.org/officeDocument/2006/relationships/hyperlink" Target="http://www.gbrmpa.gov.au/" TargetMode="External"/><Relationship Id="rId2" Type="http://schemas.openxmlformats.org/officeDocument/2006/relationships/customXml" Target="../customXml/item2.xml"/><Relationship Id="rId29" Type="http://schemas.openxmlformats.org/officeDocument/2006/relationships/hyperlink" Target="http://www.gbrmpa.gov.au/zoning-permits-and-plans/special-management-areas" TargetMode="External"/><Relationship Id="rId24" Type="http://schemas.openxmlformats.org/officeDocument/2006/relationships/hyperlink" Target="http://elibrary.gbrmpa.gov.au/jspui/handle/11017/3224" TargetMode="External"/><Relationship Id="rId40" Type="http://schemas.openxmlformats.org/officeDocument/2006/relationships/hyperlink" Target="https://www.ehp.qld.gov.au/water/policy/" TargetMode="External"/><Relationship Id="rId45" Type="http://schemas.openxmlformats.org/officeDocument/2006/relationships/hyperlink" Target="http://www.gbrmpa.gov.au/managing-the-reef/strategic-assessment" TargetMode="External"/><Relationship Id="rId66" Type="http://schemas.openxmlformats.org/officeDocument/2006/relationships/hyperlink" Target="http://elibrary.gbrmpa.gov.au/jspui/handle/11017/3229" TargetMode="External"/><Relationship Id="rId87" Type="http://schemas.openxmlformats.org/officeDocument/2006/relationships/hyperlink" Target="http://hdl.handle.net/11017/3224" TargetMode="External"/><Relationship Id="rId61" Type="http://schemas.openxmlformats.org/officeDocument/2006/relationships/footer" Target="footer2.xml"/><Relationship Id="rId82" Type="http://schemas.openxmlformats.org/officeDocument/2006/relationships/hyperlink" Target="http://elibrary.gbrmpa.gov.au/jspui/handle/11017/3224" TargetMode="External"/><Relationship Id="rId19" Type="http://schemas.openxmlformats.org/officeDocument/2006/relationships/hyperlink" Target="http://www.reefplan.qld.gov.au/measuring-success/report-cards/2016/" TargetMode="External"/><Relationship Id="rId14" Type="http://schemas.openxmlformats.org/officeDocument/2006/relationships/hyperlink" Target="https://research.jcu.edu.au/tropwater/publications/1628Seagrassmappingsynthesis.pdf" TargetMode="External"/><Relationship Id="rId30" Type="http://schemas.openxmlformats.org/officeDocument/2006/relationships/hyperlink" Target="https://www.legislation.gov.au/Details/C2016C00777" TargetMode="External"/><Relationship Id="rId35" Type="http://schemas.openxmlformats.org/officeDocument/2006/relationships/hyperlink" Target="https://www.legislation.qld.gov.au/view/html/inforce/current/act-2004-031" TargetMode="External"/><Relationship Id="rId56" Type="http://schemas.openxmlformats.org/officeDocument/2006/relationships/hyperlink" Target="http://elibrary.gbrmpa.gov.au/jspui/handle/11017/3228" TargetMode="External"/><Relationship Id="rId77" Type="http://schemas.openxmlformats.org/officeDocument/2006/relationships/hyperlink" Target="https://apvma.gov.au/" TargetMode="External"/><Relationship Id="rId8" Type="http://schemas.openxmlformats.org/officeDocument/2006/relationships/settings" Target="settings.xml"/><Relationship Id="rId51" Type="http://schemas.openxmlformats.org/officeDocument/2006/relationships/hyperlink" Target="http://elibrary.gbrmpa.gov.au/jspui/handle/11017/3232" TargetMode="External"/><Relationship Id="rId72" Type="http://schemas.openxmlformats.org/officeDocument/2006/relationships/hyperlink" Target="http://www.gbrmpa.gov.au/__data/assets/pdf_file/0018/26532/Guidelines-on-Hydrodynamics-Modelling-15-Aug-2012.pdf" TargetMode="External"/><Relationship Id="rId93"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ind\Desktop\Budget\Offsets%20Policy\Draft%20policy%20and%20procedures\EXTERNAL%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723C61BCAE4C8DA5A0398A6D75976F"/>
        <w:category>
          <w:name w:val="General"/>
          <w:gallery w:val="placeholder"/>
        </w:category>
        <w:types>
          <w:type w:val="bbPlcHdr"/>
        </w:types>
        <w:behaviors>
          <w:behavior w:val="content"/>
        </w:behaviors>
        <w:guid w:val="{54CC8FC4-3CCF-433D-9019-D170315CC50D}"/>
      </w:docPartPr>
      <w:docPartBody>
        <w:p w:rsidR="00EF6172" w:rsidRDefault="00CB0B28" w:rsidP="00CB0B28">
          <w:pPr>
            <w:pStyle w:val="19723C61BCAE4C8DA5A0398A6D75976F"/>
          </w:pPr>
          <w:r w:rsidRPr="007C4BCE">
            <w:rPr>
              <w:rStyle w:val="PlaceholderText"/>
              <w:rFonts w:cs="Arial"/>
              <w:i/>
              <w:color w:val="808080" w:themeColor="background1" w:themeShade="80"/>
              <w:sz w:val="18"/>
              <w:szCs w:val="18"/>
            </w:rPr>
            <w:t>Click for date</w:t>
          </w:r>
        </w:p>
      </w:docPartBody>
    </w:docPart>
    <w:docPart>
      <w:docPartPr>
        <w:name w:val="9BCECF8042F24CC1B4684089EE377ADF"/>
        <w:category>
          <w:name w:val="General"/>
          <w:gallery w:val="placeholder"/>
        </w:category>
        <w:types>
          <w:type w:val="bbPlcHdr"/>
        </w:types>
        <w:behaviors>
          <w:behavior w:val="content"/>
        </w:behaviors>
        <w:guid w:val="{53E7E99F-95A0-4FDA-9FDD-6F643E0EC2CA}"/>
      </w:docPartPr>
      <w:docPartBody>
        <w:p w:rsidR="00EF6172" w:rsidRDefault="00CB0B28" w:rsidP="00CB0B28">
          <w:pPr>
            <w:pStyle w:val="9BCECF8042F24CC1B4684089EE377ADF"/>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w:t>
          </w:r>
        </w:p>
      </w:docPartBody>
    </w:docPart>
    <w:docPart>
      <w:docPartPr>
        <w:name w:val="702D9806656C4273A7CC778A9CAA9575"/>
        <w:category>
          <w:name w:val="General"/>
          <w:gallery w:val="placeholder"/>
        </w:category>
        <w:types>
          <w:type w:val="bbPlcHdr"/>
        </w:types>
        <w:behaviors>
          <w:behavior w:val="content"/>
        </w:behaviors>
        <w:guid w:val="{C0FE5F3F-B3E7-4D9B-A949-7D62C799882C}"/>
      </w:docPartPr>
      <w:docPartBody>
        <w:p w:rsidR="00EF6172" w:rsidRDefault="00CB0B28" w:rsidP="00CB0B28">
          <w:pPr>
            <w:pStyle w:val="702D9806656C4273A7CC778A9CAA9575"/>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 Next review </w:t>
          </w:r>
          <w:r>
            <w:rPr>
              <w:rStyle w:val="PlaceholderText"/>
              <w:rFonts w:cs="Arial"/>
              <w:i/>
              <w:color w:val="808080" w:themeColor="background1" w:themeShade="80"/>
              <w:sz w:val="18"/>
              <w:szCs w:val="18"/>
            </w:rPr>
            <w:t xml:space="preserve">date </w:t>
          </w:r>
          <w:r w:rsidRPr="007C4BCE">
            <w:rPr>
              <w:rStyle w:val="PlaceholderText"/>
              <w:rFonts w:cs="Arial"/>
              <w:i/>
              <w:color w:val="808080" w:themeColor="background1" w:themeShade="80"/>
              <w:sz w:val="18"/>
              <w:szCs w:val="18"/>
            </w:rPr>
            <w:t>must not be longer than three years</w:t>
          </w:r>
        </w:p>
      </w:docPartBody>
    </w:docPart>
    <w:docPart>
      <w:docPartPr>
        <w:name w:val="EDBD839DB52B4458A61A570A73340796"/>
        <w:category>
          <w:name w:val="General"/>
          <w:gallery w:val="placeholder"/>
        </w:category>
        <w:types>
          <w:type w:val="bbPlcHdr"/>
        </w:types>
        <w:behaviors>
          <w:behavior w:val="content"/>
        </w:behaviors>
        <w:guid w:val="{8F69A8AF-1746-477D-BBB2-E269BCE70321}"/>
      </w:docPartPr>
      <w:docPartBody>
        <w:p w:rsidR="00EF6172" w:rsidRDefault="00CB0B28" w:rsidP="00CB0B28">
          <w:pPr>
            <w:pStyle w:val="EDBD839DB52B4458A61A570A73340796"/>
          </w:pPr>
          <w:r w:rsidRPr="007C4BCE">
            <w:rPr>
              <w:rStyle w:val="PlaceholderText"/>
              <w:rFonts w:cs="Arial"/>
              <w:i/>
              <w:color w:val="808080" w:themeColor="background1" w:themeShade="80"/>
              <w:sz w:val="18"/>
              <w:szCs w:val="18"/>
            </w:rPr>
            <w:t>Click to insert date (if known). If unknown, state “Unknown”</w:t>
          </w:r>
        </w:p>
      </w:docPartBody>
    </w:docPart>
    <w:docPart>
      <w:docPartPr>
        <w:name w:val="E117F0C7A22244A0B5A71A13C250C428"/>
        <w:category>
          <w:name w:val="General"/>
          <w:gallery w:val="placeholder"/>
        </w:category>
        <w:types>
          <w:type w:val="bbPlcHdr"/>
        </w:types>
        <w:behaviors>
          <w:behavior w:val="content"/>
        </w:behaviors>
        <w:guid w:val="{5E04B54A-999E-4C1D-9934-D7902B301DFF}"/>
      </w:docPartPr>
      <w:docPartBody>
        <w:p w:rsidR="00EF6172" w:rsidRDefault="00CB0B28" w:rsidP="00CB0B28">
          <w:pPr>
            <w:pStyle w:val="E117F0C7A22244A0B5A71A13C250C428"/>
          </w:pPr>
          <w:r w:rsidRPr="007C4BCE">
            <w:rPr>
              <w:rStyle w:val="PlaceholderText"/>
              <w:rFonts w:cs="Arial"/>
              <w:i/>
              <w:color w:val="808080" w:themeColor="background1" w:themeShade="80"/>
              <w:sz w:val="18"/>
              <w:szCs w:val="18"/>
            </w:rPr>
            <w:t>Enter the name (and version) of document</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s</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 xml:space="preserve"> this one supersedes. If new, state “New”</w:t>
          </w:r>
        </w:p>
      </w:docPartBody>
    </w:docPart>
    <w:docPart>
      <w:docPartPr>
        <w:name w:val="6EEAC24CDFBD46EA8F944411D9DD5FD4"/>
        <w:category>
          <w:name w:val="General"/>
          <w:gallery w:val="placeholder"/>
        </w:category>
        <w:types>
          <w:type w:val="bbPlcHdr"/>
        </w:types>
        <w:behaviors>
          <w:behavior w:val="content"/>
        </w:behaviors>
        <w:guid w:val="{E4747A16-FDAD-400E-A17E-0CD58B64CAB3}"/>
      </w:docPartPr>
      <w:docPartBody>
        <w:p w:rsidR="00EF6172" w:rsidRDefault="00CB0B28" w:rsidP="00CB0B28">
          <w:pPr>
            <w:pStyle w:val="6EEAC24CDFBD46EA8F944411D9DD5FD4"/>
          </w:pPr>
          <w:r w:rsidRPr="00326E02">
            <w:rPr>
              <w:rStyle w:val="PlaceholderText"/>
              <w:color w:val="BFBFBF" w:themeColor="background1" w:themeShade="BF"/>
              <w:sz w:val="16"/>
              <w:szCs w:val="16"/>
            </w:rPr>
            <w:t>Click here to enter a date</w:t>
          </w:r>
        </w:p>
      </w:docPartBody>
    </w:docPart>
    <w:docPart>
      <w:docPartPr>
        <w:name w:val="7CAB9215C10440079273A30979D07489"/>
        <w:category>
          <w:name w:val="General"/>
          <w:gallery w:val="placeholder"/>
        </w:category>
        <w:types>
          <w:type w:val="bbPlcHdr"/>
        </w:types>
        <w:behaviors>
          <w:behavior w:val="content"/>
        </w:behaviors>
        <w:guid w:val="{E9A077CC-2DF5-413F-AB35-9666A37896A6}"/>
      </w:docPartPr>
      <w:docPartBody>
        <w:p w:rsidR="00EF6172" w:rsidRDefault="00CB0B28" w:rsidP="00CB0B28">
          <w:pPr>
            <w:pStyle w:val="7CAB9215C10440079273A30979D07489"/>
          </w:pPr>
          <w:r w:rsidRPr="00326E02">
            <w:rPr>
              <w:rStyle w:val="PlaceholderText"/>
              <w:color w:val="BFBFBF" w:themeColor="background1" w:themeShade="BF"/>
              <w:sz w:val="16"/>
              <w:szCs w:val="1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28"/>
    <w:rsid w:val="00320A92"/>
    <w:rsid w:val="00CB0B28"/>
    <w:rsid w:val="00EF61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7BEC4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B28"/>
    <w:rPr>
      <w:color w:val="808080"/>
    </w:rPr>
  </w:style>
  <w:style w:type="paragraph" w:customStyle="1" w:styleId="3584F205D7D845C28A9C76BC7137BED4">
    <w:name w:val="3584F205D7D845C28A9C76BC7137BED4"/>
    <w:rsid w:val="00CB0B28"/>
  </w:style>
  <w:style w:type="paragraph" w:customStyle="1" w:styleId="19723C61BCAE4C8DA5A0398A6D75976F">
    <w:name w:val="19723C61BCAE4C8DA5A0398A6D75976F"/>
    <w:rsid w:val="00CB0B28"/>
  </w:style>
  <w:style w:type="paragraph" w:customStyle="1" w:styleId="9BCECF8042F24CC1B4684089EE377ADF">
    <w:name w:val="9BCECF8042F24CC1B4684089EE377ADF"/>
    <w:rsid w:val="00CB0B28"/>
  </w:style>
  <w:style w:type="paragraph" w:customStyle="1" w:styleId="702D9806656C4273A7CC778A9CAA9575">
    <w:name w:val="702D9806656C4273A7CC778A9CAA9575"/>
    <w:rsid w:val="00CB0B28"/>
  </w:style>
  <w:style w:type="paragraph" w:customStyle="1" w:styleId="EDBD839DB52B4458A61A570A73340796">
    <w:name w:val="EDBD839DB52B4458A61A570A73340796"/>
    <w:rsid w:val="00CB0B28"/>
  </w:style>
  <w:style w:type="paragraph" w:customStyle="1" w:styleId="D51FF433FA29432AA58522252FBA60DD">
    <w:name w:val="D51FF433FA29432AA58522252FBA60DD"/>
    <w:rsid w:val="00CB0B28"/>
  </w:style>
  <w:style w:type="paragraph" w:customStyle="1" w:styleId="E117F0C7A22244A0B5A71A13C250C428">
    <w:name w:val="E117F0C7A22244A0B5A71A13C250C428"/>
    <w:rsid w:val="00CB0B28"/>
  </w:style>
  <w:style w:type="paragraph" w:customStyle="1" w:styleId="6EEAC24CDFBD46EA8F944411D9DD5FD4">
    <w:name w:val="6EEAC24CDFBD46EA8F944411D9DD5FD4"/>
    <w:rsid w:val="00CB0B28"/>
  </w:style>
  <w:style w:type="paragraph" w:customStyle="1" w:styleId="7CAB9215C10440079273A30979D07489">
    <w:name w:val="7CAB9215C10440079273A30979D07489"/>
    <w:rsid w:val="00CB0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STRATMGT-2-1392</_dlc_DocId>
    <_dlc_DocIdUrl xmlns="fbad372e-4450-4be7-aace-d4b0880012f6">
      <Url>http://thedock.gbrmpa.gov.au/sites/SM/CD/_layouts/DocIdRedir.aspx?ID=STRATMGT-2-1392</Url>
      <Description>STRATMGT-2-1392</Description>
    </_dlc_DocIdUrl>
    <NextReview xmlns="fbad372e-4450-4be7-aace-d4b0880012f6">2021-03-21T00:00:00</NextReview>
    <ControlledDocumentCustodian xmlns="fbad372e-4450-4be7-aace-d4b0880012f6">
      <UserInfo>
        <DisplayName>GBRMPA\vickib</DisplayName>
        <AccountId>23</AccountId>
        <AccountType/>
      </UserInfo>
    </ControlledDocumentCustodian>
    <MDLNumber xmlns="fbad372e-4450-4be7-aace-d4b0880012f6">100446</MDLNumber>
    <TaxCatchAll xmlns="fbad372e-4450-4be7-aace-d4b0880012f6">
      <Value>26</Value>
    </TaxCatchAll>
    <ControlledDocumentApprovalDate xmlns="fbad372e-4450-4be7-aace-d4b0880012f6">2018-03-20T14:00:00+00:00</ControlledDocumentApprovalDate>
    <ApprovedBy xmlns="fbad372e-4450-4be7-aace-d4b0880012f6">
      <UserInfo>
        <DisplayName>Simon Banks</DisplayName>
        <AccountId>245</AccountId>
        <AccountType/>
      </UserInfo>
    </ApprovedBy>
    <LastReviewed xmlns="fbad372e-4450-4be7-aace-d4b0880012f6">2018-03-20T14:00:00+00:00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e12bf0ef-f23c-4e6c-a486-0c05777b650a</TermId>
        </TermInfo>
      </Terms>
    </d0191f15c592471c99638c3c034aa03c>
    <ControlledDocumentStatus xmlns="fbad372e-4450-4be7-aace-d4b0880012f6">Approved</ControlledDocumentStatus>
    <MDLVersion xmlns="fbad372e-4450-4be7-aace-d4b0880012f6">0</MDLVersion>
  </documentManagement>
</p:properties>
</file>

<file path=customXml/item3.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06dd4fb2aac85db5a68d771f0a379dd9">
  <xsd:schema xmlns:xsd="http://www.w3.org/2001/XMLSchema" xmlns:xs="http://www.w3.org/2001/XMLSchema" xmlns:p="http://schemas.microsoft.com/office/2006/metadata/properties" xmlns:ns2="fbad372e-4450-4be7-aace-d4b0880012f6" targetNamespace="http://schemas.microsoft.com/office/2006/metadata/properties" ma:root="true" ma:fieldsID="ea2f6e80de1d55b7c25ca62a32294ce5"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4FA8-B1CF-46DF-B83B-AAE706FDBEC4}">
  <ds:schemaRefs>
    <ds:schemaRef ds:uri="http://schemas.microsoft.com/sharepoint/v3/contenttype/forms"/>
  </ds:schemaRefs>
</ds:datastoreItem>
</file>

<file path=customXml/itemProps2.xml><?xml version="1.0" encoding="utf-8"?>
<ds:datastoreItem xmlns:ds="http://schemas.openxmlformats.org/officeDocument/2006/customXml" ds:itemID="{9A264FFA-C573-4EC1-B7A9-3C4301322696}">
  <ds:schemaRefs>
    <ds:schemaRef ds:uri="http://schemas.microsoft.com/office/2006/metadata/properties"/>
    <ds:schemaRef ds:uri="http://schemas.microsoft.com/office/infopath/2007/PartnerControls"/>
    <ds:schemaRef ds:uri="fbad372e-4450-4be7-aace-d4b0880012f6"/>
  </ds:schemaRefs>
</ds:datastoreItem>
</file>

<file path=customXml/itemProps3.xml><?xml version="1.0" encoding="utf-8"?>
<ds:datastoreItem xmlns:ds="http://schemas.openxmlformats.org/officeDocument/2006/customXml" ds:itemID="{5A96ACA0-5BF3-487A-91AE-A12BC17A1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372e-4450-4be7-aace-d4b088001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8B1C9-8C60-4C6D-8516-A39C8FC918B1}">
  <ds:schemaRefs>
    <ds:schemaRef ds:uri="http://schemas.microsoft.com/sharepoint/events"/>
  </ds:schemaRefs>
</ds:datastoreItem>
</file>

<file path=customXml/itemProps5.xml><?xml version="1.0" encoding="utf-8"?>
<ds:datastoreItem xmlns:ds="http://schemas.openxmlformats.org/officeDocument/2006/customXml" ds:itemID="{0E139782-ACD0-4692-96D2-E85FA8CE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Policy template</Template>
  <TotalTime>0</TotalTime>
  <Pages>15</Pages>
  <Words>11122</Words>
  <Characters>63400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Seagrass-Value-guidelines</vt:lpstr>
    </vt:vector>
  </TitlesOfParts>
  <Company>GBRMPA</Company>
  <LinksUpToDate>false</LinksUpToDate>
  <CharactersWithSpaces>74374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Seagrass-Value-guidelines</dc:title>
  <dc:subject/>
  <dc:creator>kirstind;annad</dc:creator>
  <cp:keywords/>
  <dc:description/>
  <cp:lastModifiedBy>Joanna Ruxton</cp:lastModifiedBy>
  <cp:revision>2</cp:revision>
  <cp:lastPrinted>2018-01-07T22:13:00Z</cp:lastPrinted>
  <dcterms:created xsi:type="dcterms:W3CDTF">2018-03-21T23:37:00Z</dcterms:created>
  <dcterms:modified xsi:type="dcterms:W3CDTF">2018-03-21T23:37:00Z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_dlc_DocIdItemGuid">
    <vt:lpwstr>6b17fe02-4d03-460e-9ed9-acd22911fa0f</vt:lpwstr>
  </property>
  <property fmtid="{D5CDD505-2E9C-101B-9397-08002B2CF9AE}" pid="4" name="Order">
    <vt:r8>32500</vt:r8>
  </property>
  <property fmtid="{D5CDD505-2E9C-101B-9397-08002B2CF9AE}" pid="5" name="URL">
    <vt:lpwstr>http://thedock.gbrmpa.gov.au/sites/Projects/P000047/PMF/Forms/GBRMPA%20Document%20Set/docsethomepage.aspx?ID=91&amp;List=2f19f620-d5b8-42d4-b3b6-df0a59a95efd&amp;FolderCTID=0x0120D52000E9B23D596B5B4E6AA2571FCEF888058700D1510DE1E7C5A847ABABA4D3C1359D6D&amp;RootFolder=</vt:lpwstr>
  </property>
  <property fmtid="{D5CDD505-2E9C-101B-9397-08002B2CF9AE}" pid="6" name="TitusGUID">
    <vt:lpwstr>03c2f032-8052-4e73-a905-7bdb74dc2ca4</vt:lpwstr>
  </property>
  <property fmtid="{D5CDD505-2E9C-101B-9397-08002B2CF9AE}" pid="7" name="WnCUserId">
    <vt:lpwstr>47</vt:lpwstr>
  </property>
  <property fmtid="{D5CDD505-2E9C-101B-9397-08002B2CF9AE}" pid="8" name="WnCSubscriberId">
    <vt:lpwstr>1633</vt:lpwstr>
  </property>
  <property fmtid="{D5CDD505-2E9C-101B-9397-08002B2CF9AE}" pid="9" name="WnCOutputStyleId">
    <vt:lpwstr>10032</vt:lpwstr>
  </property>
  <property fmtid="{D5CDD505-2E9C-101B-9397-08002B2CF9AE}" pid="10" name="RWProductId">
    <vt:lpwstr>WnC</vt:lpwstr>
  </property>
  <property fmtid="{D5CDD505-2E9C-101B-9397-08002B2CF9AE}" pid="11" name="WnC4Folder">
    <vt:lpwstr>Documents///Seagrass-Value-Assessment-Guidelines</vt:lpwstr>
  </property>
  <property fmtid="{D5CDD505-2E9C-101B-9397-08002B2CF9AE}" pid="12" name="TaxCatchAll">
    <vt:lpwstr>19;#Unspecified</vt:lpwstr>
  </property>
  <property fmtid="{D5CDD505-2E9C-101B-9397-08002B2CF9AE}" pid="13" name="d0191f15c592471c99638c3c034aa03c">
    <vt:lpwstr>Unspecified|d25150e0-e36e-4b13-b344-36f3a47e63aa</vt:lpwstr>
  </property>
  <property fmtid="{D5CDD505-2E9C-101B-9397-08002B2CF9AE}" pid="14" name="CDType">
    <vt:lpwstr>26;#Guideline|e12bf0ef-f23c-4e6c-a486-0c05777b650a</vt:lpwstr>
  </property>
  <property fmtid="{D5CDD505-2E9C-101B-9397-08002B2CF9AE}" pid="15" name="RecordPoint_WorkflowType">
    <vt:lpwstr>ActiveSubmit</vt:lpwstr>
  </property>
  <property fmtid="{D5CDD505-2E9C-101B-9397-08002B2CF9AE}" pid="16" name="IconOverlay">
    <vt:lpwstr/>
  </property>
  <property fmtid="{D5CDD505-2E9C-101B-9397-08002B2CF9AE}" pid="17" name="RecordPoint_ActiveItemWebId">
    <vt:lpwstr>{63014b5d-9133-4ea9-ae73-ec2e1788038e}</vt:lpwstr>
  </property>
  <property fmtid="{D5CDD505-2E9C-101B-9397-08002B2CF9AE}" pid="18" name="RecordPoint_ActiveItemSiteId">
    <vt:lpwstr>{26e726f3-e67c-4652-8ab5-8d159b8d608a}</vt:lpwstr>
  </property>
  <property fmtid="{D5CDD505-2E9C-101B-9397-08002B2CF9AE}" pid="19" name="RecordPoint_ActiveItemListId">
    <vt:lpwstr>{d06ea39e-2103-4b5b-8620-6b6c442cf20c}</vt:lpwstr>
  </property>
  <property fmtid="{D5CDD505-2E9C-101B-9397-08002B2CF9AE}" pid="20" name="RecordPoint_ActiveItemUniqueId">
    <vt:lpwstr>{6b17fe02-4d03-460e-9ed9-acd22911fa0f}</vt:lpwstr>
  </property>
  <property fmtid="{D5CDD505-2E9C-101B-9397-08002B2CF9AE}" pid="21" name="RecordPoint_RecordNumberSubmitted">
    <vt:lpwstr>R0000503333</vt:lpwstr>
  </property>
  <property fmtid="{D5CDD505-2E9C-101B-9397-08002B2CF9AE}" pid="22" name="RecordPoint_SubmissionCompleted">
    <vt:lpwstr>2018-03-06T16:01:04.7385557+10:00</vt:lpwstr>
  </property>
  <property fmtid="{D5CDD505-2E9C-101B-9397-08002B2CF9AE}" pid="23" name="AusStandardSEC">
    <vt:lpwstr>UNCLASSIFIED</vt:lpwstr>
  </property>
  <property fmtid="{D5CDD505-2E9C-101B-9397-08002B2CF9AE}" pid="24" name="Classification">
    <vt:lpwstr>UNCLASSIFIED</vt:lpwstr>
  </property>
</Properties>
</file>