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BACDD" w14:textId="6D6167A0" w:rsidR="00E629CE" w:rsidRPr="00C52DC0" w:rsidRDefault="0002370A" w:rsidP="00C52DC0">
      <w:pPr>
        <w:spacing w:after="0" w:line="240" w:lineRule="auto"/>
        <w:ind w:left="-851" w:right="-852"/>
        <w:jc w:val="center"/>
        <w:rPr>
          <w:rFonts w:ascii="Arial" w:hAnsi="Arial" w:cs="Arial"/>
          <w:b/>
          <w:color w:val="244061" w:themeColor="accent1" w:themeShade="80"/>
          <w:sz w:val="16"/>
          <w:szCs w:val="17"/>
        </w:rPr>
      </w:pPr>
      <w:bookmarkStart w:id="0" w:name="_GoBack"/>
      <w:bookmarkEnd w:id="0"/>
      <w:r w:rsidRPr="00C52DC0">
        <w:rPr>
          <w:i/>
          <w:color w:val="1F497D" w:themeColor="text2"/>
          <w:sz w:val="16"/>
          <w:szCs w:val="17"/>
        </w:rPr>
        <w:t>Aboriginal and Torres Strait Islander peoples are the Traditional Owners</w:t>
      </w:r>
      <w:r w:rsidR="00C52DC0" w:rsidRPr="00C52DC0">
        <w:rPr>
          <w:i/>
          <w:color w:val="1F497D" w:themeColor="text2"/>
          <w:sz w:val="16"/>
          <w:szCs w:val="17"/>
        </w:rPr>
        <w:t xml:space="preserve"> </w:t>
      </w:r>
      <w:r w:rsidRPr="00C52DC0">
        <w:rPr>
          <w:i/>
          <w:color w:val="1F497D" w:themeColor="text2"/>
          <w:sz w:val="16"/>
          <w:szCs w:val="17"/>
        </w:rPr>
        <w:t>of the Great Barrier Reef area and have a continuing connection to their land and sea country</w:t>
      </w:r>
    </w:p>
    <w:tbl>
      <w:tblPr>
        <w:tblStyle w:val="TableGrid"/>
        <w:tblW w:w="116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1625"/>
      </w:tblGrid>
      <w:tr w:rsidR="0007113E" w:rsidRPr="0007113E" w14:paraId="2D01D0B7" w14:textId="77777777" w:rsidTr="00994BB9">
        <w:tc>
          <w:tcPr>
            <w:tcW w:w="11625" w:type="dxa"/>
            <w:shd w:val="clear" w:color="auto" w:fill="ACF2F0"/>
          </w:tcPr>
          <w:p w14:paraId="376659A1" w14:textId="519D3202" w:rsidR="00E629CE" w:rsidRPr="00994BB9" w:rsidRDefault="00981F9E" w:rsidP="008C7EDF">
            <w:pPr>
              <w:spacing w:before="120"/>
              <w:jc w:val="center"/>
              <w:rPr>
                <w:rFonts w:ascii="Century Gothic" w:hAnsi="Century Gothic"/>
                <w:smallCaps/>
                <w:color w:val="365F91" w:themeColor="accent1" w:themeShade="BF"/>
                <w:sz w:val="52"/>
                <w:szCs w:val="52"/>
              </w:rPr>
            </w:pPr>
            <w:r w:rsidRPr="00994BB9">
              <w:rPr>
                <w:rFonts w:ascii="Century Gothic" w:hAnsi="Century Gothic"/>
                <w:smallCaps/>
                <w:color w:val="365F91" w:themeColor="accent1" w:themeShade="BF"/>
                <w:sz w:val="52"/>
                <w:szCs w:val="52"/>
              </w:rPr>
              <w:t>Implementing the Reef</w:t>
            </w:r>
            <w:r w:rsidR="0043432D" w:rsidRPr="00994BB9">
              <w:rPr>
                <w:rFonts w:ascii="Century Gothic" w:hAnsi="Century Gothic"/>
                <w:smallCaps/>
                <w:color w:val="365F91" w:themeColor="accent1" w:themeShade="BF"/>
                <w:sz w:val="52"/>
                <w:szCs w:val="52"/>
              </w:rPr>
              <w:t xml:space="preserve"> </w:t>
            </w:r>
            <w:r w:rsidRPr="00994BB9">
              <w:rPr>
                <w:rFonts w:ascii="Century Gothic" w:hAnsi="Century Gothic"/>
                <w:smallCaps/>
                <w:color w:val="365F91" w:themeColor="accent1" w:themeShade="BF"/>
                <w:sz w:val="52"/>
                <w:szCs w:val="52"/>
              </w:rPr>
              <w:t xml:space="preserve">2050 </w:t>
            </w:r>
            <w:r w:rsidR="000B4211" w:rsidRPr="00994BB9">
              <w:rPr>
                <w:rFonts w:ascii="Century Gothic" w:hAnsi="Century Gothic"/>
                <w:smallCaps/>
                <w:color w:val="365F91" w:themeColor="accent1" w:themeShade="BF"/>
                <w:sz w:val="52"/>
                <w:szCs w:val="52"/>
              </w:rPr>
              <w:t>policies</w:t>
            </w:r>
            <w:r w:rsidRPr="00994BB9">
              <w:rPr>
                <w:rFonts w:ascii="Century Gothic" w:hAnsi="Century Gothic"/>
                <w:smallCaps/>
                <w:color w:val="365F91" w:themeColor="accent1" w:themeShade="BF"/>
                <w:sz w:val="52"/>
                <w:szCs w:val="52"/>
              </w:rPr>
              <w:t xml:space="preserve"> in the </w:t>
            </w:r>
            <w:r w:rsidR="009C44A9" w:rsidRPr="00994BB9">
              <w:rPr>
                <w:rFonts w:ascii="Century Gothic" w:hAnsi="Century Gothic"/>
                <w:smallCaps/>
                <w:color w:val="365F91" w:themeColor="accent1" w:themeShade="BF"/>
                <w:sz w:val="52"/>
                <w:szCs w:val="52"/>
              </w:rPr>
              <w:t>Great Barrier Reef Marine Park</w:t>
            </w:r>
            <w:r w:rsidRPr="00994BB9">
              <w:rPr>
                <w:rFonts w:ascii="Century Gothic" w:hAnsi="Century Gothic"/>
                <w:smallCaps/>
                <w:color w:val="365F91" w:themeColor="accent1" w:themeShade="BF"/>
                <w:sz w:val="52"/>
                <w:szCs w:val="52"/>
              </w:rPr>
              <w:t xml:space="preserve"> Permission System</w:t>
            </w:r>
          </w:p>
          <w:p w14:paraId="77810DF8" w14:textId="13F0A378" w:rsidR="00F02662" w:rsidRPr="0007113E" w:rsidRDefault="00F02662" w:rsidP="00994BB9">
            <w:pPr>
              <w:jc w:val="right"/>
              <w:rPr>
                <w:rFonts w:ascii="Calibri" w:hAnsi="Calibri"/>
                <w:smallCaps/>
                <w:color w:val="FFFFFF" w:themeColor="background1"/>
                <w:sz w:val="20"/>
                <w:szCs w:val="20"/>
              </w:rPr>
            </w:pPr>
          </w:p>
        </w:tc>
      </w:tr>
    </w:tbl>
    <w:p w14:paraId="0C855A51" w14:textId="79720C02" w:rsidR="0002566F" w:rsidRPr="0007113E" w:rsidRDefault="0002566F"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Purpose</w:t>
      </w:r>
    </w:p>
    <w:p w14:paraId="6D4F380B" w14:textId="77777777" w:rsidR="000B4211" w:rsidRPr="00994BB9" w:rsidRDefault="000B4211" w:rsidP="00994BB9">
      <w:pPr>
        <w:pStyle w:val="BodyTextNumbering"/>
        <w:widowControl w:val="0"/>
        <w:spacing w:before="0" w:after="120"/>
        <w:rPr>
          <w:rFonts w:ascii="Century Gothic" w:hAnsi="Century Gothic"/>
          <w:szCs w:val="20"/>
        </w:rPr>
      </w:pPr>
      <w:r w:rsidRPr="00994BB9">
        <w:rPr>
          <w:rFonts w:ascii="Century Gothic" w:hAnsi="Century Gothic"/>
          <w:szCs w:val="20"/>
        </w:rPr>
        <w:t>The term permission system refers to the legislation, policies, guidelines, procedures and systems related to how the agency manages permissions and accreditations that are regulated under the Act, the Regulations and the Zoning Plan; and activities outlined in Part 5 of the Great Barrier Reef Marine Park Zoning Plan 2003.</w:t>
      </w:r>
    </w:p>
    <w:p w14:paraId="2EEF0991" w14:textId="207B60E4" w:rsidR="0007113E" w:rsidRPr="00994BB9" w:rsidRDefault="00981F9E" w:rsidP="006F2E0A">
      <w:pPr>
        <w:pStyle w:val="BodyTextNumbering"/>
        <w:widowControl w:val="0"/>
        <w:shd w:val="clear" w:color="auto" w:fill="ACF2F0"/>
        <w:spacing w:before="0" w:after="120"/>
        <w:ind w:left="720"/>
        <w:jc w:val="center"/>
        <w:rPr>
          <w:rFonts w:ascii="Century Gothic" w:hAnsi="Century Gothic"/>
          <w:i/>
          <w:szCs w:val="20"/>
        </w:rPr>
      </w:pPr>
      <w:r w:rsidRPr="00994BB9">
        <w:rPr>
          <w:rFonts w:ascii="Century Gothic" w:hAnsi="Century Gothic"/>
          <w:i/>
          <w:szCs w:val="20"/>
        </w:rPr>
        <w:t>The purpose of this case study is to outline how the draft Reef</w:t>
      </w:r>
      <w:r w:rsidR="004A1968" w:rsidRPr="00994BB9">
        <w:rPr>
          <w:rFonts w:ascii="Century Gothic" w:hAnsi="Century Gothic"/>
          <w:i/>
          <w:szCs w:val="20"/>
        </w:rPr>
        <w:t xml:space="preserve"> </w:t>
      </w:r>
      <w:r w:rsidRPr="00994BB9">
        <w:rPr>
          <w:rFonts w:ascii="Century Gothic" w:hAnsi="Century Gothic"/>
          <w:i/>
          <w:szCs w:val="20"/>
        </w:rPr>
        <w:t xml:space="preserve">2050 </w:t>
      </w:r>
      <w:r w:rsidR="000478BA" w:rsidRPr="00994BB9">
        <w:rPr>
          <w:rFonts w:ascii="Century Gothic" w:hAnsi="Century Gothic"/>
          <w:i/>
          <w:szCs w:val="20"/>
        </w:rPr>
        <w:t>policy documents</w:t>
      </w:r>
      <w:r w:rsidRPr="00994BB9">
        <w:rPr>
          <w:rFonts w:ascii="Century Gothic" w:hAnsi="Century Gothic"/>
          <w:i/>
          <w:szCs w:val="20"/>
        </w:rPr>
        <w:t xml:space="preserve"> for </w:t>
      </w:r>
      <w:r w:rsidR="006F2E0A">
        <w:rPr>
          <w:rFonts w:ascii="Century Gothic" w:hAnsi="Century Gothic"/>
          <w:i/>
          <w:szCs w:val="20"/>
        </w:rPr>
        <w:br/>
      </w:r>
      <w:r w:rsidR="000478BA" w:rsidRPr="00994BB9">
        <w:rPr>
          <w:rFonts w:ascii="Century Gothic" w:hAnsi="Century Gothic"/>
          <w:i/>
          <w:szCs w:val="20"/>
        </w:rPr>
        <w:t>net benefit</w:t>
      </w:r>
      <w:r w:rsidR="00B46CC3">
        <w:rPr>
          <w:rFonts w:ascii="Century Gothic" w:hAnsi="Century Gothic"/>
          <w:i/>
          <w:szCs w:val="20"/>
        </w:rPr>
        <w:t xml:space="preserve"> and</w:t>
      </w:r>
      <w:r w:rsidR="000478BA" w:rsidRPr="00994BB9">
        <w:rPr>
          <w:rFonts w:ascii="Century Gothic" w:hAnsi="Century Gothic"/>
          <w:i/>
          <w:szCs w:val="20"/>
        </w:rPr>
        <w:t xml:space="preserve"> </w:t>
      </w:r>
      <w:r w:rsidRPr="00994BB9">
        <w:rPr>
          <w:rFonts w:ascii="Century Gothic" w:hAnsi="Century Gothic"/>
          <w:i/>
          <w:szCs w:val="20"/>
        </w:rPr>
        <w:t xml:space="preserve">cumulative impact management apply to the Great Barrier Reef </w:t>
      </w:r>
      <w:r w:rsidR="006F2E0A">
        <w:rPr>
          <w:rFonts w:ascii="Century Gothic" w:hAnsi="Century Gothic"/>
          <w:i/>
          <w:szCs w:val="20"/>
        </w:rPr>
        <w:br/>
      </w:r>
      <w:r w:rsidRPr="00994BB9">
        <w:rPr>
          <w:rFonts w:ascii="Century Gothic" w:hAnsi="Century Gothic"/>
          <w:i/>
          <w:szCs w:val="20"/>
        </w:rPr>
        <w:t>Marine Park permission system.</w:t>
      </w:r>
    </w:p>
    <w:p w14:paraId="0C855A54" w14:textId="35752BFE" w:rsidR="0002566F" w:rsidRPr="0007113E" w:rsidRDefault="0007113E"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Context and scope</w:t>
      </w:r>
    </w:p>
    <w:p w14:paraId="3B378435" w14:textId="1A297BFA" w:rsidR="009C44A9" w:rsidRPr="00994BB9" w:rsidRDefault="009C44A9" w:rsidP="00994BB9">
      <w:pPr>
        <w:pStyle w:val="BodyTextNumbering"/>
        <w:widowControl w:val="0"/>
        <w:spacing w:after="120"/>
        <w:rPr>
          <w:rFonts w:ascii="Century Gothic" w:hAnsi="Century Gothic"/>
          <w:szCs w:val="20"/>
        </w:rPr>
      </w:pPr>
      <w:r w:rsidRPr="00994BB9">
        <w:rPr>
          <w:rFonts w:ascii="Century Gothic" w:hAnsi="Century Gothic"/>
          <w:szCs w:val="20"/>
        </w:rPr>
        <w:t xml:space="preserve">The primary objective of the </w:t>
      </w:r>
      <w:r w:rsidRPr="00994BB9">
        <w:rPr>
          <w:rFonts w:ascii="Century Gothic" w:hAnsi="Century Gothic"/>
          <w:i/>
          <w:szCs w:val="20"/>
        </w:rPr>
        <w:t>Great Barrier Reef Marine Park Act 1975</w:t>
      </w:r>
      <w:r w:rsidRPr="00994BB9">
        <w:rPr>
          <w:rFonts w:ascii="Century Gothic" w:hAnsi="Century Gothic"/>
          <w:szCs w:val="20"/>
        </w:rPr>
        <w:t xml:space="preserve"> </w:t>
      </w:r>
      <w:r w:rsidR="000478BA" w:rsidRPr="00994BB9">
        <w:rPr>
          <w:rFonts w:ascii="Century Gothic" w:hAnsi="Century Gothic"/>
          <w:szCs w:val="20"/>
        </w:rPr>
        <w:t xml:space="preserve">(the Act) </w:t>
      </w:r>
      <w:r w:rsidRPr="00994BB9">
        <w:rPr>
          <w:rFonts w:ascii="Century Gothic" w:hAnsi="Century Gothic"/>
          <w:szCs w:val="20"/>
        </w:rPr>
        <w:t xml:space="preserve">is to provide for the long-term protection and conservation of the environment, biodiversity and heritage values of the Great Barrier Reef Region. The </w:t>
      </w:r>
      <w:hyperlink r:id="rId12" w:history="1">
        <w:r w:rsidR="000478BA" w:rsidRPr="00994BB9">
          <w:rPr>
            <w:rStyle w:val="Hyperlink"/>
            <w:rFonts w:ascii="Century Gothic" w:hAnsi="Century Gothic"/>
            <w:szCs w:val="20"/>
          </w:rPr>
          <w:t xml:space="preserve">Great Barrier Reef Marine Park </w:t>
        </w:r>
        <w:r w:rsidRPr="00994BB9">
          <w:rPr>
            <w:rStyle w:val="Hyperlink"/>
            <w:rFonts w:ascii="Century Gothic" w:hAnsi="Century Gothic"/>
            <w:szCs w:val="20"/>
          </w:rPr>
          <w:t xml:space="preserve">Zoning Plan </w:t>
        </w:r>
        <w:r w:rsidR="000478BA" w:rsidRPr="00994BB9">
          <w:rPr>
            <w:rStyle w:val="Hyperlink"/>
            <w:rFonts w:ascii="Century Gothic" w:hAnsi="Century Gothic"/>
            <w:szCs w:val="20"/>
          </w:rPr>
          <w:t>2003</w:t>
        </w:r>
      </w:hyperlink>
      <w:r w:rsidR="000478BA" w:rsidRPr="00994BB9">
        <w:rPr>
          <w:rFonts w:ascii="Century Gothic" w:hAnsi="Century Gothic"/>
          <w:szCs w:val="20"/>
        </w:rPr>
        <w:t xml:space="preserve"> </w:t>
      </w:r>
      <w:r w:rsidRPr="00994BB9">
        <w:rPr>
          <w:rFonts w:ascii="Century Gothic" w:hAnsi="Century Gothic"/>
          <w:szCs w:val="20"/>
        </w:rPr>
        <w:t xml:space="preserve">is the primary planning instrument for the conservation and management of the Marine Park. The Zoning Plan provides for activities that are ‘as of right’ activities and those activities that require permission </w:t>
      </w:r>
      <w:r w:rsidR="00224B04" w:rsidRPr="00994BB9">
        <w:rPr>
          <w:rFonts w:ascii="Century Gothic" w:hAnsi="Century Gothic"/>
          <w:szCs w:val="20"/>
        </w:rPr>
        <w:t xml:space="preserve">or notification </w:t>
      </w:r>
      <w:r w:rsidRPr="00994BB9">
        <w:rPr>
          <w:rFonts w:ascii="Century Gothic" w:hAnsi="Century Gothic"/>
          <w:szCs w:val="20"/>
        </w:rPr>
        <w:t xml:space="preserve">consistent with the primary object of the Act.  </w:t>
      </w:r>
    </w:p>
    <w:p w14:paraId="5BD7AAF0" w14:textId="582E97CA" w:rsidR="009C44A9" w:rsidRPr="00994BB9" w:rsidRDefault="009C44A9" w:rsidP="00994BB9">
      <w:pPr>
        <w:pStyle w:val="BodyTextNumbering"/>
        <w:widowControl w:val="0"/>
        <w:spacing w:after="120"/>
        <w:rPr>
          <w:rFonts w:ascii="Century Gothic" w:hAnsi="Century Gothic"/>
          <w:szCs w:val="20"/>
        </w:rPr>
      </w:pPr>
      <w:r w:rsidRPr="00994BB9">
        <w:rPr>
          <w:rFonts w:ascii="Century Gothic" w:hAnsi="Century Gothic"/>
          <w:szCs w:val="20"/>
        </w:rPr>
        <w:t xml:space="preserve">The permission system </w:t>
      </w:r>
      <w:r w:rsidR="00801701" w:rsidRPr="00994BB9">
        <w:rPr>
          <w:rFonts w:ascii="Century Gothic" w:hAnsi="Century Gothic"/>
          <w:szCs w:val="20"/>
        </w:rPr>
        <w:t xml:space="preserve">is one management tool available to the Great Barrier Reef Marine Park Authority (the Authority) applying to individual projects within </w:t>
      </w:r>
      <w:r w:rsidR="002433AF" w:rsidRPr="00994BB9">
        <w:rPr>
          <w:rFonts w:ascii="Century Gothic" w:hAnsi="Century Gothic"/>
          <w:szCs w:val="20"/>
        </w:rPr>
        <w:t>the Great Barrier</w:t>
      </w:r>
      <w:r w:rsidR="00801701" w:rsidRPr="00994BB9">
        <w:rPr>
          <w:rFonts w:ascii="Century Gothic" w:hAnsi="Century Gothic"/>
          <w:szCs w:val="20"/>
        </w:rPr>
        <w:t xml:space="preserve"> Reef Marine Park</w:t>
      </w:r>
      <w:r w:rsidRPr="00994BB9">
        <w:rPr>
          <w:rFonts w:ascii="Century Gothic" w:hAnsi="Century Gothic"/>
          <w:szCs w:val="20"/>
        </w:rPr>
        <w:t>. More strategic tools, such as Plans of Management, site plans and issue-specific policies, manage pressures and impacts at a broader scale. The permission system complements these strategic tools and translates their objectives into individual project decisions.</w:t>
      </w:r>
    </w:p>
    <w:p w14:paraId="4586EC11" w14:textId="48C71732" w:rsidR="000478BA" w:rsidRPr="00994BB9" w:rsidRDefault="000478BA" w:rsidP="00994BB9">
      <w:pPr>
        <w:pStyle w:val="BodyTextNumbering"/>
        <w:widowControl w:val="0"/>
        <w:spacing w:after="120"/>
        <w:rPr>
          <w:rFonts w:ascii="Century Gothic" w:hAnsi="Century Gothic"/>
          <w:szCs w:val="20"/>
        </w:rPr>
      </w:pPr>
      <w:r w:rsidRPr="00994BB9">
        <w:rPr>
          <w:rFonts w:ascii="Century Gothic" w:hAnsi="Century Gothic"/>
          <w:szCs w:val="20"/>
        </w:rPr>
        <w:t xml:space="preserve">The Authority works cooperatively to manage the permission system through the delivery of a joint permitting with the Queensland Parks and Wildlife Service and where relevant a coordinated process with the Department of the Environment and Energy when approvals are also required under the </w:t>
      </w:r>
      <w:r w:rsidRPr="00994BB9">
        <w:rPr>
          <w:rFonts w:ascii="Century Gothic" w:hAnsi="Century Gothic"/>
          <w:i/>
          <w:szCs w:val="20"/>
        </w:rPr>
        <w:t>Environment Protection and Biodiversity Conservation Act 1999</w:t>
      </w:r>
      <w:r w:rsidRPr="00994BB9">
        <w:rPr>
          <w:rFonts w:ascii="Century Gothic" w:hAnsi="Century Gothic"/>
          <w:szCs w:val="20"/>
        </w:rPr>
        <w:t>.</w:t>
      </w:r>
    </w:p>
    <w:p w14:paraId="4D8D5EA3" w14:textId="5116AC51" w:rsidR="0007113E" w:rsidRPr="0007113E" w:rsidRDefault="0007113E"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Application</w:t>
      </w:r>
    </w:p>
    <w:p w14:paraId="674483B5" w14:textId="77777777" w:rsidR="00091DEB" w:rsidRPr="00994BB9" w:rsidRDefault="00091DEB" w:rsidP="00091DEB">
      <w:pPr>
        <w:pStyle w:val="BodyTextNumbering"/>
        <w:keepNext/>
        <w:spacing w:after="120"/>
        <w:rPr>
          <w:rFonts w:ascii="Century Gothic" w:eastAsia="MS Mincho" w:hAnsi="Century Gothic"/>
          <w:b/>
          <w:i/>
          <w:color w:val="000000"/>
          <w:szCs w:val="20"/>
        </w:rPr>
      </w:pPr>
      <w:r w:rsidRPr="00994BB9">
        <w:rPr>
          <w:rFonts w:ascii="Century Gothic" w:eastAsia="MS Mincho" w:hAnsi="Century Gothic"/>
          <w:b/>
          <w:i/>
          <w:color w:val="000000"/>
          <w:szCs w:val="20"/>
        </w:rPr>
        <w:t>Cumulative Impact Management</w:t>
      </w:r>
    </w:p>
    <w:p w14:paraId="4A7DA5F2" w14:textId="77777777" w:rsidR="00091DEB" w:rsidRPr="00994BB9" w:rsidRDefault="00091DEB" w:rsidP="00091DEB">
      <w:pPr>
        <w:pStyle w:val="BodyTextNumbering"/>
        <w:widowControl w:val="0"/>
        <w:spacing w:before="0" w:after="120"/>
        <w:rPr>
          <w:rFonts w:ascii="Century Gothic" w:hAnsi="Century Gothic"/>
          <w:szCs w:val="20"/>
        </w:rPr>
      </w:pPr>
      <w:r w:rsidRPr="00994BB9">
        <w:rPr>
          <w:rFonts w:ascii="Century Gothic" w:hAnsi="Century Gothic"/>
          <w:szCs w:val="20"/>
        </w:rPr>
        <w:t>The cumulative impact management policy will not apply to permission applications where cumulative impacts have been considered in existing plans or governing arrangements. For example, level 1 (routine assessment), 2 (tailored assessment) and 3 (public information package) permission applications will not be required to undertake a cumulative impact assessment where cumulative impacts for the proposed activity have been considered under a Plan of Management, site specific management arrangements or class assessment.</w:t>
      </w:r>
    </w:p>
    <w:p w14:paraId="51542408" w14:textId="77777777" w:rsidR="00091DEB" w:rsidRPr="00994BB9" w:rsidRDefault="00091DEB" w:rsidP="00091DEB">
      <w:pPr>
        <w:pStyle w:val="BodyTextNumbering"/>
        <w:widowControl w:val="0"/>
        <w:spacing w:before="0" w:after="120"/>
        <w:rPr>
          <w:rFonts w:ascii="Century Gothic" w:hAnsi="Century Gothic"/>
          <w:szCs w:val="20"/>
        </w:rPr>
      </w:pPr>
      <w:r w:rsidRPr="00994BB9">
        <w:rPr>
          <w:rFonts w:ascii="Century Gothic" w:hAnsi="Century Gothic"/>
          <w:szCs w:val="20"/>
        </w:rPr>
        <w:t>The Authority will require an assessment of cumulative impacts, in accordance with the cumulative impact management policy, for activities that pose a higher risk to the Marine Park. Generally these activities will be the subject of a Public Environment Report (level 4 assessment) or Environmental Impact Statement (level 5 assessment). A Public Information Package (level 3) assessment process may require an assessment of cumulative impacts, depending on the risks identified through the Authority’s risk assessment procedure and whether the activities proposed have been considered in existing plans or governing arrangements.</w:t>
      </w:r>
      <w:r w:rsidRPr="00994BB9">
        <w:rPr>
          <w:szCs w:val="20"/>
        </w:rPr>
        <w:t xml:space="preserve"> </w:t>
      </w:r>
      <w:r w:rsidRPr="00994BB9">
        <w:rPr>
          <w:rFonts w:ascii="Century Gothic" w:hAnsi="Century Gothic"/>
          <w:szCs w:val="20"/>
        </w:rPr>
        <w:t xml:space="preserve">The </w:t>
      </w:r>
      <w:hyperlink r:id="rId13" w:history="1">
        <w:r w:rsidRPr="00994BB9">
          <w:rPr>
            <w:rStyle w:val="Hyperlink"/>
            <w:rFonts w:ascii="Century Gothic" w:hAnsi="Century Gothic"/>
            <w:szCs w:val="20"/>
          </w:rPr>
          <w:t>Environmental Impact Management: Permission system policy</w:t>
        </w:r>
      </w:hyperlink>
      <w:r w:rsidRPr="00994BB9">
        <w:rPr>
          <w:rFonts w:ascii="Century Gothic" w:hAnsi="Century Gothic"/>
          <w:szCs w:val="20"/>
        </w:rPr>
        <w:t>) provides a description of the types of assessment processes under the GBRMP Act for activities requiring a permission.</w:t>
      </w:r>
    </w:p>
    <w:p w14:paraId="5F58BA34" w14:textId="77777777" w:rsidR="00981F9E" w:rsidRPr="00994BB9" w:rsidRDefault="00981F9E" w:rsidP="00994BB9">
      <w:pPr>
        <w:pStyle w:val="BodyTextNumbering"/>
        <w:keepNext/>
        <w:spacing w:after="120"/>
        <w:rPr>
          <w:rFonts w:ascii="Century Gothic" w:eastAsia="MS Mincho" w:hAnsi="Century Gothic"/>
          <w:b/>
          <w:i/>
          <w:color w:val="000000"/>
          <w:szCs w:val="20"/>
        </w:rPr>
      </w:pPr>
      <w:r w:rsidRPr="00994BB9">
        <w:rPr>
          <w:rFonts w:ascii="Century Gothic" w:eastAsia="MS Mincho" w:hAnsi="Century Gothic"/>
          <w:b/>
          <w:i/>
          <w:color w:val="000000"/>
          <w:szCs w:val="20"/>
        </w:rPr>
        <w:lastRenderedPageBreak/>
        <w:t>Net Benefit</w:t>
      </w:r>
    </w:p>
    <w:p w14:paraId="2BEB6BBB" w14:textId="603E4F64" w:rsidR="009C44A9" w:rsidRPr="00994BB9" w:rsidRDefault="009C44A9" w:rsidP="00994BB9">
      <w:pPr>
        <w:pStyle w:val="BodyTextNumbering"/>
        <w:widowControl w:val="0"/>
        <w:spacing w:after="120"/>
        <w:rPr>
          <w:rFonts w:ascii="Century Gothic" w:hAnsi="Century Gothic"/>
          <w:szCs w:val="20"/>
        </w:rPr>
      </w:pPr>
      <w:r w:rsidRPr="00994BB9">
        <w:rPr>
          <w:rFonts w:ascii="Century Gothic" w:hAnsi="Century Gothic"/>
          <w:szCs w:val="20"/>
        </w:rPr>
        <w:t>The Authority does not require net benefit</w:t>
      </w:r>
      <w:r w:rsidR="000478BA" w:rsidRPr="00994BB9">
        <w:rPr>
          <w:rFonts w:ascii="Century Gothic" w:hAnsi="Century Gothic"/>
          <w:szCs w:val="20"/>
        </w:rPr>
        <w:t xml:space="preserve"> action</w:t>
      </w:r>
      <w:r w:rsidRPr="00994BB9">
        <w:rPr>
          <w:rFonts w:ascii="Century Gothic" w:hAnsi="Century Gothic"/>
          <w:szCs w:val="20"/>
        </w:rPr>
        <w:t xml:space="preserve">s from applicants as part of </w:t>
      </w:r>
      <w:r w:rsidR="000478BA" w:rsidRPr="00994BB9">
        <w:rPr>
          <w:rFonts w:ascii="Century Gothic" w:hAnsi="Century Gothic"/>
          <w:szCs w:val="20"/>
        </w:rPr>
        <w:t xml:space="preserve">its permission system. </w:t>
      </w:r>
      <w:r w:rsidRPr="00994BB9">
        <w:rPr>
          <w:rFonts w:ascii="Century Gothic" w:hAnsi="Century Gothic"/>
          <w:szCs w:val="20"/>
        </w:rPr>
        <w:t xml:space="preserve">If an applicant for a </w:t>
      </w:r>
      <w:r w:rsidR="004C5AF0" w:rsidRPr="00994BB9">
        <w:rPr>
          <w:rFonts w:ascii="Century Gothic" w:hAnsi="Century Gothic"/>
          <w:szCs w:val="20"/>
        </w:rPr>
        <w:t xml:space="preserve">Marine Park </w:t>
      </w:r>
      <w:r w:rsidRPr="00994BB9">
        <w:rPr>
          <w:rFonts w:ascii="Century Gothic" w:hAnsi="Century Gothic"/>
          <w:szCs w:val="20"/>
        </w:rPr>
        <w:t>permission</w:t>
      </w:r>
      <w:r w:rsidR="000478BA" w:rsidRPr="00994BB9">
        <w:rPr>
          <w:rFonts w:ascii="Century Gothic" w:hAnsi="Century Gothic"/>
          <w:szCs w:val="20"/>
        </w:rPr>
        <w:t xml:space="preserve"> wants to </w:t>
      </w:r>
      <w:r w:rsidR="00DA7678" w:rsidRPr="00994BB9">
        <w:rPr>
          <w:rFonts w:ascii="Century Gothic" w:hAnsi="Century Gothic"/>
          <w:szCs w:val="20"/>
        </w:rPr>
        <w:t xml:space="preserve">nominate </w:t>
      </w:r>
      <w:r w:rsidR="000478BA" w:rsidRPr="00994BB9">
        <w:rPr>
          <w:rFonts w:ascii="Century Gothic" w:hAnsi="Century Gothic"/>
          <w:szCs w:val="20"/>
        </w:rPr>
        <w:t>a net benefit as part of</w:t>
      </w:r>
      <w:r w:rsidR="00DA7678" w:rsidRPr="00994BB9">
        <w:rPr>
          <w:rFonts w:ascii="Century Gothic" w:hAnsi="Century Gothic"/>
          <w:szCs w:val="20"/>
        </w:rPr>
        <w:t xml:space="preserve"> the</w:t>
      </w:r>
      <w:r w:rsidR="000478BA" w:rsidRPr="00994BB9">
        <w:rPr>
          <w:rFonts w:ascii="Century Gothic" w:hAnsi="Century Gothic"/>
          <w:szCs w:val="20"/>
        </w:rPr>
        <w:t xml:space="preserve"> proposal, the Authority can consider the proposed </w:t>
      </w:r>
      <w:r w:rsidR="00160B69" w:rsidRPr="00994BB9">
        <w:rPr>
          <w:rFonts w:ascii="Century Gothic" w:hAnsi="Century Gothic"/>
          <w:szCs w:val="20"/>
        </w:rPr>
        <w:t xml:space="preserve">net benefit </w:t>
      </w:r>
      <w:r w:rsidR="000478BA" w:rsidRPr="00994BB9">
        <w:rPr>
          <w:rFonts w:ascii="Century Gothic" w:hAnsi="Century Gothic"/>
          <w:szCs w:val="20"/>
        </w:rPr>
        <w:t xml:space="preserve">as part of its </w:t>
      </w:r>
      <w:r w:rsidR="00B841DD" w:rsidRPr="00994BB9">
        <w:rPr>
          <w:rFonts w:ascii="Century Gothic" w:hAnsi="Century Gothic"/>
          <w:szCs w:val="20"/>
        </w:rPr>
        <w:t>assessment</w:t>
      </w:r>
      <w:r w:rsidR="000478BA" w:rsidRPr="00994BB9">
        <w:rPr>
          <w:rFonts w:ascii="Century Gothic" w:hAnsi="Century Gothic"/>
          <w:szCs w:val="20"/>
        </w:rPr>
        <w:t xml:space="preserve">. </w:t>
      </w:r>
      <w:r w:rsidR="00CB2AE4" w:rsidRPr="00994BB9">
        <w:rPr>
          <w:rFonts w:ascii="Century Gothic" w:hAnsi="Century Gothic"/>
          <w:szCs w:val="20"/>
        </w:rPr>
        <w:t>If the net benefit is proposed for within the Marine Park, t</w:t>
      </w:r>
      <w:r w:rsidR="000478BA" w:rsidRPr="00994BB9">
        <w:rPr>
          <w:rFonts w:ascii="Century Gothic" w:hAnsi="Century Gothic"/>
          <w:szCs w:val="20"/>
        </w:rPr>
        <w:t xml:space="preserve">he Authority can </w:t>
      </w:r>
      <w:r w:rsidR="00BB22E0" w:rsidRPr="00994BB9">
        <w:rPr>
          <w:rFonts w:ascii="Century Gothic" w:hAnsi="Century Gothic"/>
          <w:szCs w:val="20"/>
        </w:rPr>
        <w:t xml:space="preserve">decide to </w:t>
      </w:r>
      <w:r w:rsidR="000478BA" w:rsidRPr="00994BB9">
        <w:rPr>
          <w:rFonts w:ascii="Century Gothic" w:hAnsi="Century Gothic"/>
          <w:szCs w:val="20"/>
        </w:rPr>
        <w:t xml:space="preserve">grant permission for the </w:t>
      </w:r>
      <w:r w:rsidR="00160B69" w:rsidRPr="00994BB9">
        <w:rPr>
          <w:rFonts w:ascii="Century Gothic" w:hAnsi="Century Gothic"/>
          <w:szCs w:val="20"/>
        </w:rPr>
        <w:t xml:space="preserve">net benefit </w:t>
      </w:r>
      <w:r w:rsidR="00CB2AE4" w:rsidRPr="00994BB9">
        <w:rPr>
          <w:rFonts w:ascii="Century Gothic" w:hAnsi="Century Gothic"/>
          <w:szCs w:val="20"/>
        </w:rPr>
        <w:t xml:space="preserve">activity.  If work for the net benefit is proposed for outside the Marine Park, the Authority may </w:t>
      </w:r>
      <w:r w:rsidR="000478BA" w:rsidRPr="00994BB9">
        <w:rPr>
          <w:rFonts w:ascii="Century Gothic" w:hAnsi="Century Gothic"/>
          <w:szCs w:val="20"/>
        </w:rPr>
        <w:t>note</w:t>
      </w:r>
      <w:r w:rsidR="00160B69" w:rsidRPr="00994BB9">
        <w:rPr>
          <w:rFonts w:ascii="Century Gothic" w:hAnsi="Century Gothic"/>
          <w:szCs w:val="20"/>
        </w:rPr>
        <w:t xml:space="preserve"> in the assessment</w:t>
      </w:r>
      <w:r w:rsidR="000478BA" w:rsidRPr="00994BB9">
        <w:rPr>
          <w:rFonts w:ascii="Century Gothic" w:hAnsi="Century Gothic"/>
          <w:szCs w:val="20"/>
        </w:rPr>
        <w:t xml:space="preserve"> that an additional action may occur</w:t>
      </w:r>
      <w:r w:rsidR="00F7339C" w:rsidRPr="00994BB9">
        <w:rPr>
          <w:rFonts w:ascii="Century Gothic" w:hAnsi="Century Gothic"/>
          <w:szCs w:val="20"/>
        </w:rPr>
        <w:t xml:space="preserve"> outside the Marine Park</w:t>
      </w:r>
      <w:r w:rsidR="000478BA" w:rsidRPr="00994BB9">
        <w:rPr>
          <w:rFonts w:ascii="Century Gothic" w:hAnsi="Century Gothic"/>
          <w:szCs w:val="20"/>
        </w:rPr>
        <w:t xml:space="preserve"> as part of </w:t>
      </w:r>
      <w:r w:rsidR="006827FE" w:rsidRPr="00994BB9">
        <w:rPr>
          <w:rFonts w:ascii="Century Gothic" w:hAnsi="Century Gothic"/>
          <w:szCs w:val="20"/>
        </w:rPr>
        <w:t>the permitted</w:t>
      </w:r>
      <w:r w:rsidR="000478BA" w:rsidRPr="00994BB9">
        <w:rPr>
          <w:rFonts w:ascii="Century Gothic" w:hAnsi="Century Gothic"/>
          <w:szCs w:val="20"/>
        </w:rPr>
        <w:t xml:space="preserve"> activity.</w:t>
      </w:r>
    </w:p>
    <w:p w14:paraId="477E5BD3" w14:textId="64572DFD" w:rsidR="0007113E" w:rsidRPr="0007113E" w:rsidRDefault="0007113E"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Outcome</w:t>
      </w:r>
    </w:p>
    <w:p w14:paraId="5B26FC1F" w14:textId="28A86634" w:rsidR="00E86696" w:rsidRPr="00994BB9" w:rsidRDefault="006507D3" w:rsidP="00994BB9">
      <w:pPr>
        <w:pStyle w:val="BodyTextNumbering"/>
        <w:widowControl w:val="0"/>
        <w:spacing w:before="0" w:after="120"/>
        <w:rPr>
          <w:rFonts w:ascii="Century Gothic" w:hAnsi="Century Gothic"/>
          <w:szCs w:val="20"/>
        </w:rPr>
      </w:pPr>
      <w:r w:rsidRPr="00994BB9">
        <w:rPr>
          <w:rFonts w:ascii="Century Gothic" w:hAnsi="Century Gothic"/>
          <w:szCs w:val="20"/>
        </w:rPr>
        <w:t xml:space="preserve">The </w:t>
      </w:r>
      <w:r w:rsidR="00F7339C" w:rsidRPr="00994BB9">
        <w:rPr>
          <w:rFonts w:ascii="Century Gothic" w:hAnsi="Century Gothic"/>
          <w:szCs w:val="20"/>
        </w:rPr>
        <w:t>p</w:t>
      </w:r>
      <w:r w:rsidRPr="00994BB9">
        <w:rPr>
          <w:rFonts w:ascii="Century Gothic" w:hAnsi="Century Gothic"/>
          <w:szCs w:val="20"/>
        </w:rPr>
        <w:t xml:space="preserve">ermission </w:t>
      </w:r>
      <w:r w:rsidR="00F7339C" w:rsidRPr="00994BB9">
        <w:rPr>
          <w:rFonts w:ascii="Century Gothic" w:hAnsi="Century Gothic"/>
          <w:szCs w:val="20"/>
        </w:rPr>
        <w:t>s</w:t>
      </w:r>
      <w:r w:rsidRPr="00994BB9">
        <w:rPr>
          <w:rFonts w:ascii="Century Gothic" w:hAnsi="Century Gothic"/>
          <w:szCs w:val="20"/>
        </w:rPr>
        <w:t>ystem does not require net benefit actions from applicants, but it does</w:t>
      </w:r>
      <w:r w:rsidR="00E86696" w:rsidRPr="00994BB9">
        <w:rPr>
          <w:rFonts w:ascii="Century Gothic" w:hAnsi="Century Gothic"/>
          <w:szCs w:val="20"/>
        </w:rPr>
        <w:t xml:space="preserve"> allow applicants to voluntarily propose a net benefit. </w:t>
      </w:r>
      <w:r w:rsidR="00F7339C" w:rsidRPr="00994BB9">
        <w:rPr>
          <w:rFonts w:ascii="Century Gothic" w:hAnsi="Century Gothic"/>
          <w:szCs w:val="20"/>
        </w:rPr>
        <w:t xml:space="preserve">This will be identified in the Authority’s revised </w:t>
      </w:r>
      <w:r w:rsidR="00D90AE3" w:rsidRPr="00994BB9">
        <w:rPr>
          <w:rFonts w:ascii="Century Gothic" w:hAnsi="Century Gothic"/>
          <w:szCs w:val="20"/>
        </w:rPr>
        <w:t>Environmental Impact Management Permission S</w:t>
      </w:r>
      <w:r w:rsidR="00F7339C" w:rsidRPr="00994BB9">
        <w:rPr>
          <w:rFonts w:ascii="Century Gothic" w:hAnsi="Century Gothic"/>
          <w:szCs w:val="20"/>
        </w:rPr>
        <w:t>ystem policy that is currently being finalised.</w:t>
      </w:r>
    </w:p>
    <w:p w14:paraId="7B9791C0" w14:textId="17123472" w:rsidR="008761E2" w:rsidRPr="00994BB9" w:rsidRDefault="005C042C" w:rsidP="00994BB9">
      <w:pPr>
        <w:pStyle w:val="BodyTextNumbering"/>
        <w:widowControl w:val="0"/>
        <w:spacing w:before="0" w:after="120"/>
        <w:rPr>
          <w:rFonts w:ascii="Century Gothic" w:hAnsi="Century Gothic"/>
          <w:szCs w:val="20"/>
        </w:rPr>
      </w:pPr>
      <w:r w:rsidRPr="00994BB9">
        <w:rPr>
          <w:rFonts w:ascii="Century Gothic" w:hAnsi="Century Gothic"/>
          <w:szCs w:val="20"/>
        </w:rPr>
        <w:t>The Authority</w:t>
      </w:r>
      <w:r w:rsidR="00B841DD" w:rsidRPr="00994BB9">
        <w:rPr>
          <w:rFonts w:ascii="Century Gothic" w:hAnsi="Century Gothic"/>
          <w:szCs w:val="20"/>
        </w:rPr>
        <w:t>’s</w:t>
      </w:r>
      <w:r w:rsidR="00F7339C" w:rsidRPr="00994BB9">
        <w:rPr>
          <w:rFonts w:ascii="Century Gothic" w:hAnsi="Century Gothic"/>
          <w:szCs w:val="20"/>
        </w:rPr>
        <w:t xml:space="preserve"> r</w:t>
      </w:r>
      <w:r w:rsidRPr="00994BB9">
        <w:rPr>
          <w:rFonts w:ascii="Century Gothic" w:hAnsi="Century Gothic"/>
          <w:szCs w:val="20"/>
        </w:rPr>
        <w:t>isk assessment procedure</w:t>
      </w:r>
      <w:r w:rsidR="00D90AE3" w:rsidRPr="00994BB9">
        <w:rPr>
          <w:rFonts w:ascii="Century Gothic" w:hAnsi="Century Gothic"/>
          <w:szCs w:val="20"/>
        </w:rPr>
        <w:t>, which informs the assessment of permissions,</w:t>
      </w:r>
      <w:r w:rsidRPr="00994BB9">
        <w:rPr>
          <w:rFonts w:ascii="Century Gothic" w:hAnsi="Century Gothic"/>
          <w:szCs w:val="20"/>
        </w:rPr>
        <w:t xml:space="preserve"> provides a clear and consistent </w:t>
      </w:r>
      <w:r w:rsidR="00D90AE3" w:rsidRPr="00994BB9">
        <w:rPr>
          <w:rFonts w:ascii="Century Gothic" w:hAnsi="Century Gothic"/>
          <w:szCs w:val="20"/>
        </w:rPr>
        <w:t>approach to determining</w:t>
      </w:r>
      <w:r w:rsidRPr="00994BB9">
        <w:rPr>
          <w:rFonts w:ascii="Century Gothic" w:hAnsi="Century Gothic"/>
          <w:szCs w:val="20"/>
        </w:rPr>
        <w:t xml:space="preserve"> when an activity does, or does not, require a cumulative impact assessment.</w:t>
      </w:r>
    </w:p>
    <w:p w14:paraId="00BF6253" w14:textId="43011723" w:rsidR="008761E2" w:rsidRPr="00994BB9" w:rsidRDefault="005C042C" w:rsidP="00994BB9">
      <w:pPr>
        <w:pStyle w:val="BodyTextNumbering"/>
        <w:widowControl w:val="0"/>
        <w:spacing w:before="0" w:after="120"/>
        <w:rPr>
          <w:rFonts w:ascii="Century Gothic" w:hAnsi="Century Gothic"/>
          <w:szCs w:val="20"/>
        </w:rPr>
      </w:pPr>
      <w:r w:rsidRPr="00994BB9">
        <w:rPr>
          <w:rFonts w:ascii="Century Gothic" w:hAnsi="Century Gothic"/>
          <w:szCs w:val="20"/>
        </w:rPr>
        <w:t>Progressive implementation of the Net Benefit and Cumulative Impact Management policies through the Authority’s other management tools</w:t>
      </w:r>
      <w:r w:rsidR="00F7339C" w:rsidRPr="00994BB9">
        <w:rPr>
          <w:rFonts w:ascii="Century Gothic" w:hAnsi="Century Gothic"/>
          <w:szCs w:val="20"/>
        </w:rPr>
        <w:t>,</w:t>
      </w:r>
      <w:r w:rsidRPr="00994BB9">
        <w:rPr>
          <w:rFonts w:ascii="Century Gothic" w:hAnsi="Century Gothic"/>
          <w:szCs w:val="20"/>
        </w:rPr>
        <w:t xml:space="preserve"> </w:t>
      </w:r>
      <w:r w:rsidR="00F7339C" w:rsidRPr="00994BB9">
        <w:rPr>
          <w:rFonts w:ascii="Century Gothic" w:hAnsi="Century Gothic"/>
          <w:szCs w:val="20"/>
        </w:rPr>
        <w:t xml:space="preserve">such as Plans of Management, </w:t>
      </w:r>
      <w:r w:rsidRPr="00994BB9">
        <w:rPr>
          <w:rFonts w:ascii="Century Gothic" w:hAnsi="Century Gothic"/>
          <w:szCs w:val="20"/>
        </w:rPr>
        <w:t xml:space="preserve">will be reflected in the Permission System </w:t>
      </w:r>
      <w:r w:rsidR="00F7339C" w:rsidRPr="00994BB9">
        <w:rPr>
          <w:rFonts w:ascii="Century Gothic" w:hAnsi="Century Gothic"/>
          <w:szCs w:val="20"/>
        </w:rPr>
        <w:t xml:space="preserve">as </w:t>
      </w:r>
      <w:r w:rsidRPr="00994BB9">
        <w:rPr>
          <w:rFonts w:ascii="Century Gothic" w:hAnsi="Century Gothic"/>
          <w:szCs w:val="20"/>
        </w:rPr>
        <w:t>required.</w:t>
      </w:r>
    </w:p>
    <w:p w14:paraId="5C658322" w14:textId="4DAB0CA0" w:rsidR="0007113E" w:rsidRPr="0007113E" w:rsidRDefault="0007113E"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Insights</w:t>
      </w:r>
    </w:p>
    <w:p w14:paraId="55936668" w14:textId="77777777" w:rsidR="00091DEB" w:rsidRDefault="00091DEB" w:rsidP="00994BB9">
      <w:pPr>
        <w:pStyle w:val="BodyTextNumbering"/>
        <w:widowControl w:val="0"/>
        <w:spacing w:before="0" w:after="120"/>
        <w:rPr>
          <w:rFonts w:ascii="Century Gothic" w:hAnsi="Century Gothic"/>
          <w:szCs w:val="20"/>
        </w:rPr>
      </w:pPr>
      <w:r>
        <w:rPr>
          <w:rFonts w:ascii="Century Gothic" w:hAnsi="Century Gothic"/>
          <w:szCs w:val="20"/>
        </w:rPr>
        <w:t xml:space="preserve">Development of Reef 2050 policy documents, designed to apply across Australian and Queensland government jurisdiction, will provide clarity and consistency around the desired outcomes for Great Barrier Reef values.  </w:t>
      </w:r>
    </w:p>
    <w:p w14:paraId="61E01FD3" w14:textId="3726D2B8" w:rsidR="0007113E" w:rsidRPr="006F2E0A" w:rsidRDefault="00E86696" w:rsidP="00994BB9">
      <w:pPr>
        <w:pStyle w:val="BodyTextNumbering"/>
        <w:widowControl w:val="0"/>
        <w:spacing w:before="0" w:after="120"/>
        <w:rPr>
          <w:rFonts w:ascii="Century Gothic" w:hAnsi="Century Gothic"/>
          <w:szCs w:val="20"/>
        </w:rPr>
      </w:pPr>
      <w:r w:rsidRPr="00994BB9">
        <w:rPr>
          <w:rFonts w:ascii="Century Gothic" w:hAnsi="Century Gothic"/>
          <w:szCs w:val="20"/>
        </w:rPr>
        <w:t xml:space="preserve">Formal statutory assessment processes such as the </w:t>
      </w:r>
      <w:r w:rsidR="00F7339C" w:rsidRPr="00994BB9">
        <w:rPr>
          <w:rFonts w:ascii="Century Gothic" w:hAnsi="Century Gothic"/>
          <w:szCs w:val="20"/>
        </w:rPr>
        <w:t xml:space="preserve">permission system </w:t>
      </w:r>
      <w:r w:rsidRPr="00994BB9">
        <w:rPr>
          <w:rFonts w:ascii="Century Gothic" w:hAnsi="Century Gothic"/>
          <w:szCs w:val="20"/>
        </w:rPr>
        <w:t xml:space="preserve">are limited in what they are able to deliver for net environmental benefits, as this is not </w:t>
      </w:r>
      <w:r w:rsidR="00F35159" w:rsidRPr="00994BB9">
        <w:rPr>
          <w:rFonts w:ascii="Century Gothic" w:hAnsi="Century Gothic"/>
          <w:szCs w:val="20"/>
        </w:rPr>
        <w:t>t</w:t>
      </w:r>
      <w:r w:rsidRPr="00994BB9">
        <w:rPr>
          <w:rFonts w:ascii="Century Gothic" w:hAnsi="Century Gothic"/>
          <w:szCs w:val="20"/>
        </w:rPr>
        <w:t>he purpose for which they were designed</w:t>
      </w:r>
      <w:r w:rsidR="00F35159" w:rsidRPr="00994BB9">
        <w:rPr>
          <w:rFonts w:ascii="Century Gothic" w:hAnsi="Century Gothic"/>
          <w:szCs w:val="20"/>
        </w:rPr>
        <w:t>.</w:t>
      </w:r>
      <w:r w:rsidR="00091DEB">
        <w:rPr>
          <w:rFonts w:ascii="Century Gothic" w:hAnsi="Century Gothic"/>
          <w:szCs w:val="20"/>
        </w:rPr>
        <w:t xml:space="preserve"> </w:t>
      </w:r>
      <w:r w:rsidRPr="006F2E0A">
        <w:rPr>
          <w:rFonts w:ascii="Century Gothic" w:hAnsi="Century Gothic"/>
          <w:szCs w:val="20"/>
        </w:rPr>
        <w:t>Opportunities to foster net benefit outcomes are better provided through a diverse range of approaches, working with all stakeholders across the Reef and at local, regional, national and international scales.</w:t>
      </w:r>
    </w:p>
    <w:p w14:paraId="52A3EF0C" w14:textId="3A61295E" w:rsidR="008761E2" w:rsidRPr="0007113E" w:rsidRDefault="008761E2" w:rsidP="00994BB9">
      <w:pPr>
        <w:pStyle w:val="Heading2"/>
        <w:keepNext/>
        <w:tabs>
          <w:tab w:val="left" w:pos="9498"/>
        </w:tabs>
        <w:spacing w:before="240" w:after="120"/>
        <w:rPr>
          <w:color w:val="1F497D" w:themeColor="text2"/>
          <w:u w:val="single" w:color="1F497D" w:themeColor="text2"/>
        </w:rPr>
      </w:pPr>
      <w:r w:rsidRPr="00994BB9">
        <w:rPr>
          <w:rFonts w:ascii="Century Gothic" w:eastAsia="MS Mincho" w:hAnsi="Century Gothic"/>
          <w:b/>
        </w:rPr>
        <w:t>Acknowledgments</w:t>
      </w:r>
    </w:p>
    <w:p w14:paraId="761678D2" w14:textId="76C24541" w:rsidR="008761E2" w:rsidRPr="00994BB9" w:rsidRDefault="008761E2" w:rsidP="00994BB9">
      <w:pPr>
        <w:pStyle w:val="BodyTextNumbering"/>
        <w:widowControl w:val="0"/>
        <w:spacing w:before="0" w:after="0"/>
        <w:rPr>
          <w:rFonts w:ascii="Century Gothic" w:hAnsi="Century Gothic"/>
          <w:szCs w:val="20"/>
        </w:rPr>
      </w:pPr>
      <w:r w:rsidRPr="00994BB9">
        <w:rPr>
          <w:rFonts w:ascii="Century Gothic" w:hAnsi="Century Gothic"/>
          <w:szCs w:val="20"/>
        </w:rPr>
        <w:t xml:space="preserve">The Great Barrier Reef Marine Park Authority greatly appreciates the contributions from our partners in developing this </w:t>
      </w:r>
      <w:r w:rsidR="00E63B50" w:rsidRPr="00994BB9">
        <w:rPr>
          <w:rFonts w:ascii="Century Gothic" w:hAnsi="Century Gothic"/>
          <w:szCs w:val="20"/>
        </w:rPr>
        <w:t>c</w:t>
      </w:r>
      <w:r w:rsidRPr="00994BB9">
        <w:rPr>
          <w:rFonts w:ascii="Century Gothic" w:hAnsi="Century Gothic"/>
          <w:szCs w:val="20"/>
        </w:rPr>
        <w:t xml:space="preserve">ase </w:t>
      </w:r>
      <w:r w:rsidR="00E63B50" w:rsidRPr="00994BB9">
        <w:rPr>
          <w:rFonts w:ascii="Century Gothic" w:hAnsi="Century Gothic"/>
          <w:szCs w:val="20"/>
        </w:rPr>
        <w:t>s</w:t>
      </w:r>
      <w:r w:rsidRPr="00994BB9">
        <w:rPr>
          <w:rFonts w:ascii="Century Gothic" w:hAnsi="Century Gothic"/>
          <w:szCs w:val="20"/>
        </w:rPr>
        <w:t>tudy:</w:t>
      </w:r>
    </w:p>
    <w:p w14:paraId="57260BD8" w14:textId="7B422820" w:rsidR="008761E2" w:rsidRPr="00994BB9" w:rsidRDefault="00981F9E" w:rsidP="006F2E0A">
      <w:pPr>
        <w:pStyle w:val="BodyTextNumbering"/>
        <w:numPr>
          <w:ilvl w:val="0"/>
          <w:numId w:val="56"/>
        </w:numPr>
        <w:spacing w:before="120" w:after="60"/>
        <w:ind w:left="714" w:hanging="357"/>
        <w:rPr>
          <w:rFonts w:ascii="Century Gothic" w:eastAsia="MS Mincho" w:hAnsi="Century Gothic"/>
          <w:color w:val="000000"/>
          <w:szCs w:val="20"/>
        </w:rPr>
      </w:pPr>
      <w:r w:rsidRPr="00994BB9">
        <w:rPr>
          <w:rFonts w:ascii="Century Gothic" w:eastAsia="MS Mincho" w:hAnsi="Century Gothic"/>
          <w:color w:val="000000"/>
          <w:szCs w:val="20"/>
        </w:rPr>
        <w:t>Queensland Parks and Wildlife Service</w:t>
      </w:r>
    </w:p>
    <w:p w14:paraId="69A14B89" w14:textId="455C13D2" w:rsidR="008761E2" w:rsidRPr="00994BB9" w:rsidRDefault="00981F9E" w:rsidP="00994BB9">
      <w:pPr>
        <w:pStyle w:val="BodyTextNumbering"/>
        <w:numPr>
          <w:ilvl w:val="0"/>
          <w:numId w:val="56"/>
        </w:numPr>
        <w:spacing w:before="0" w:after="60"/>
        <w:rPr>
          <w:rFonts w:ascii="Century Gothic" w:eastAsia="MS Mincho" w:hAnsi="Century Gothic"/>
          <w:color w:val="000000"/>
          <w:szCs w:val="20"/>
        </w:rPr>
      </w:pPr>
      <w:r w:rsidRPr="00994BB9">
        <w:rPr>
          <w:rFonts w:ascii="Century Gothic" w:eastAsia="MS Mincho" w:hAnsi="Century Gothic"/>
          <w:color w:val="000000"/>
          <w:szCs w:val="20"/>
        </w:rPr>
        <w:t>Department of the Environment and Energy</w:t>
      </w:r>
    </w:p>
    <w:sectPr w:rsidR="008761E2" w:rsidRPr="00994BB9" w:rsidSect="00C23AAD">
      <w:headerReference w:type="default" r:id="rId14"/>
      <w:footerReference w:type="default" r:id="rId15"/>
      <w:headerReference w:type="first" r:id="rId16"/>
      <w:footerReference w:type="first" r:id="rId17"/>
      <w:pgSz w:w="11906" w:h="16838" w:code="9"/>
      <w:pgMar w:top="470" w:right="1134" w:bottom="1440" w:left="1134" w:header="420" w:footer="4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AD02D" w14:textId="77777777" w:rsidR="00E7145F" w:rsidRDefault="00E7145F" w:rsidP="0002566F">
      <w:pPr>
        <w:spacing w:after="0" w:line="240" w:lineRule="auto"/>
      </w:pPr>
      <w:r>
        <w:separator/>
      </w:r>
    </w:p>
  </w:endnote>
  <w:endnote w:type="continuationSeparator" w:id="0">
    <w:p w14:paraId="08E9F0BB" w14:textId="77777777" w:rsidR="00E7145F" w:rsidRDefault="00E7145F" w:rsidP="0002566F">
      <w:pPr>
        <w:spacing w:after="0" w:line="240" w:lineRule="auto"/>
      </w:pPr>
      <w:r>
        <w:continuationSeparator/>
      </w:r>
    </w:p>
  </w:endnote>
  <w:endnote w:type="continuationNotice" w:id="1">
    <w:p w14:paraId="4AA86DE7" w14:textId="77777777" w:rsidR="00E7145F" w:rsidRDefault="00E71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884570"/>
      <w:docPartObj>
        <w:docPartGallery w:val="Page Numbers (Bottom of Page)"/>
        <w:docPartUnique/>
      </w:docPartObj>
    </w:sdtPr>
    <w:sdtEndPr>
      <w:rPr>
        <w:noProof/>
      </w:rPr>
    </w:sdtEndPr>
    <w:sdtContent>
      <w:p w14:paraId="762E91C0" w14:textId="0413F09A" w:rsidR="00994BB9" w:rsidRDefault="00994BB9">
        <w:pPr>
          <w:pStyle w:val="Footer"/>
          <w:jc w:val="center"/>
        </w:pPr>
        <w:r>
          <w:fldChar w:fldCharType="begin"/>
        </w:r>
        <w:r>
          <w:instrText xml:space="preserve"> PAGE   \* MERGEFORMAT </w:instrText>
        </w:r>
        <w:r>
          <w:fldChar w:fldCharType="separate"/>
        </w:r>
        <w:r w:rsidR="00AD51B0">
          <w:rPr>
            <w:noProof/>
          </w:rPr>
          <w:t>2</w:t>
        </w:r>
        <w:r>
          <w:rPr>
            <w:noProof/>
          </w:rPr>
          <w:fldChar w:fldCharType="end"/>
        </w:r>
      </w:p>
    </w:sdtContent>
  </w:sdt>
  <w:p w14:paraId="0C855D3C" w14:textId="28A8DCAC" w:rsidR="009F7F1C" w:rsidRPr="006F2E0A" w:rsidRDefault="006F2E0A" w:rsidP="00994BB9">
    <w:pPr>
      <w:tabs>
        <w:tab w:val="right" w:pos="9026"/>
        <w:tab w:val="right" w:pos="9639"/>
        <w:tab w:val="right" w:pos="9893"/>
        <w:tab w:val="right" w:pos="14580"/>
      </w:tabs>
      <w:spacing w:after="0" w:line="240" w:lineRule="auto"/>
      <w:jc w:val="center"/>
      <w:rPr>
        <w:rFonts w:ascii="Century Gothic" w:eastAsia="Calibri" w:hAnsi="Century Gothic" w:cs="Arial"/>
        <w:b/>
        <w:smallCaps/>
        <w:color w:val="0F243E" w:themeColor="text2" w:themeShade="80"/>
        <w:spacing w:val="24"/>
        <w:sz w:val="28"/>
        <w:szCs w:val="28"/>
        <w:lang w:val="en-US"/>
      </w:rPr>
    </w:pPr>
    <w:r w:rsidRPr="006F2E0A">
      <w:rPr>
        <w:rFonts w:ascii="Century Gothic" w:eastAsia="Calibri" w:hAnsi="Century Gothic" w:cs="Arial"/>
        <w:b/>
        <w:smallCaps/>
        <w:color w:val="0F243E" w:themeColor="text2" w:themeShade="80"/>
        <w:spacing w:val="24"/>
        <w:sz w:val="28"/>
        <w:szCs w:val="28"/>
        <w:lang w:val="en-US"/>
      </w:rPr>
      <w:t>F</w:t>
    </w:r>
    <w:r w:rsidR="00994BB9" w:rsidRPr="006F2E0A">
      <w:rPr>
        <w:rFonts w:ascii="Century Gothic" w:eastAsia="Calibri" w:hAnsi="Century Gothic" w:cs="Arial"/>
        <w:b/>
        <w:smallCaps/>
        <w:color w:val="0F243E" w:themeColor="text2" w:themeShade="80"/>
        <w:spacing w:val="24"/>
        <w:sz w:val="28"/>
        <w:szCs w:val="28"/>
        <w:lang w:val="en-US"/>
      </w:rPr>
      <w:t>or Public Consultation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1C787" w14:textId="439BCB5F" w:rsidR="009F7F1C" w:rsidRDefault="00994BB9" w:rsidP="00CD3CFF">
    <w:pPr>
      <w:pStyle w:val="Footer"/>
      <w:jc w:val="center"/>
    </w:pPr>
    <w:r>
      <w:rPr>
        <w:noProof/>
        <w:lang w:eastAsia="en-AU"/>
      </w:rPr>
      <mc:AlternateContent>
        <mc:Choice Requires="wps">
          <w:drawing>
            <wp:anchor distT="0" distB="0" distL="114300" distR="114300" simplePos="0" relativeHeight="251658240" behindDoc="0" locked="0" layoutInCell="1" allowOverlap="1" wp14:anchorId="4AD5CF35" wp14:editId="4CAE8A2E">
              <wp:simplePos x="0" y="0"/>
              <wp:positionH relativeFrom="column">
                <wp:posOffset>-586740</wp:posOffset>
              </wp:positionH>
              <wp:positionV relativeFrom="paragraph">
                <wp:posOffset>-346710</wp:posOffset>
              </wp:positionV>
              <wp:extent cx="7311390" cy="838200"/>
              <wp:effectExtent l="0" t="0" r="22860" b="19050"/>
              <wp:wrapNone/>
              <wp:docPr id="8" name="Rectangle 8"/>
              <wp:cNvGraphicFramePr/>
              <a:graphic xmlns:a="http://schemas.openxmlformats.org/drawingml/2006/main">
                <a:graphicData uri="http://schemas.microsoft.com/office/word/2010/wordprocessingShape">
                  <wps:wsp>
                    <wps:cNvSpPr/>
                    <wps:spPr>
                      <a:xfrm>
                        <a:off x="0" y="0"/>
                        <a:ext cx="7311390" cy="838200"/>
                      </a:xfrm>
                      <a:prstGeom prst="rect">
                        <a:avLst/>
                      </a:prstGeom>
                      <a:solidFill>
                        <a:srgbClr val="ACF2F0"/>
                      </a:solidFill>
                      <a:ln>
                        <a:solidFill>
                          <a:srgbClr val="ACF2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7858F" id="Rectangle 8" o:spid="_x0000_s1026" style="position:absolute;margin-left:-46.2pt;margin-top:-27.3pt;width:575.7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" fillcolor="#acf2f0" strokecolor="#acf2f0" strokeweight="2pt"/>
          </w:pict>
        </mc:Fallback>
      </mc:AlternateContent>
    </w:r>
    <w:r w:rsidR="009F7F1C" w:rsidRPr="0002566F">
      <w:rPr>
        <w:rFonts w:ascii="Arial" w:eastAsia="Calibri" w:hAnsi="Arial" w:cs="Times New Roman"/>
        <w:b/>
        <w:color w:val="FF0000"/>
        <w:lang w:val="en-US"/>
      </w:rPr>
      <w:t>Working Draft for Internal Discussion Purposes Only</w:t>
    </w:r>
  </w:p>
  <w:p w14:paraId="145ABFEE" w14:textId="627E3D46" w:rsidR="009F7F1C" w:rsidRDefault="009F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A49DA" w14:textId="77777777" w:rsidR="00E7145F" w:rsidRDefault="00E7145F" w:rsidP="0002566F">
      <w:pPr>
        <w:spacing w:after="0" w:line="240" w:lineRule="auto"/>
      </w:pPr>
      <w:r>
        <w:separator/>
      </w:r>
    </w:p>
  </w:footnote>
  <w:footnote w:type="continuationSeparator" w:id="0">
    <w:p w14:paraId="2EE86439" w14:textId="77777777" w:rsidR="00E7145F" w:rsidRDefault="00E7145F" w:rsidP="0002566F">
      <w:pPr>
        <w:spacing w:after="0" w:line="240" w:lineRule="auto"/>
      </w:pPr>
      <w:r>
        <w:continuationSeparator/>
      </w:r>
    </w:p>
  </w:footnote>
  <w:footnote w:type="continuationNotice" w:id="1">
    <w:p w14:paraId="1D271148" w14:textId="77777777" w:rsidR="00E7145F" w:rsidRDefault="00E7145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55D38" w14:textId="1CE53155" w:rsidR="009F7F1C" w:rsidRPr="00FB1BAA" w:rsidRDefault="009F7F1C" w:rsidP="00C10E0F">
    <w:pPr>
      <w:pStyle w:val="Header"/>
      <w:pBdr>
        <w:bottom w:val="single" w:sz="4" w:space="1" w:color="auto"/>
      </w:pBdr>
      <w:jc w:val="right"/>
      <w:rPr>
        <w:rFonts w:ascii="Arial" w:hAnsi="Arial" w:cs="Arial"/>
        <w:color w:val="0F243E" w:themeColor="text2" w:themeShade="80"/>
      </w:rPr>
    </w:pPr>
    <w:r>
      <w:rPr>
        <w:rFonts w:ascii="Arial" w:hAnsi="Arial" w:cs="Arial"/>
        <w:color w:val="0F243E" w:themeColor="text2" w:themeShade="80"/>
      </w:rPr>
      <w:tab/>
      <w:t xml:space="preserve">Reef 2050 Plan </w:t>
    </w:r>
    <w:r w:rsidR="008958E5">
      <w:rPr>
        <w:rFonts w:ascii="Arial" w:hAnsi="Arial" w:cs="Arial"/>
        <w:color w:val="0F243E" w:themeColor="text2" w:themeShade="80"/>
      </w:rPr>
      <w:t>Polic</w:t>
    </w:r>
    <w:r w:rsidR="006F2E0A">
      <w:rPr>
        <w:rFonts w:ascii="Arial" w:hAnsi="Arial" w:cs="Arial"/>
        <w:color w:val="0F243E" w:themeColor="text2" w:themeShade="80"/>
      </w:rPr>
      <w:t>ies</w:t>
    </w:r>
    <w:r w:rsidR="008958E5">
      <w:rPr>
        <w:rFonts w:ascii="Arial" w:hAnsi="Arial" w:cs="Arial"/>
        <w:color w:val="0F243E" w:themeColor="text2" w:themeShade="80"/>
      </w:rPr>
      <w:t xml:space="preserve"> </w:t>
    </w:r>
    <w:r>
      <w:rPr>
        <w:rFonts w:ascii="Arial" w:hAnsi="Arial" w:cs="Arial"/>
        <w:color w:val="0F243E" w:themeColor="text2" w:themeShade="80"/>
      </w:rPr>
      <w:t xml:space="preserve">- </w:t>
    </w:r>
    <w:r w:rsidR="005E4013">
      <w:rPr>
        <w:rFonts w:ascii="Arial" w:hAnsi="Arial" w:cs="Arial"/>
        <w:smallCaps/>
        <w:color w:val="0F243E" w:themeColor="text2" w:themeShade="80"/>
      </w:rPr>
      <w:t>Case Study</w:t>
    </w:r>
  </w:p>
  <w:p w14:paraId="0C855D39" w14:textId="77777777" w:rsidR="009F7F1C" w:rsidRDefault="009F7F1C" w:rsidP="00C10E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281F" w14:textId="4D46DF34" w:rsidR="009F7F1C" w:rsidRDefault="009F7F1C" w:rsidP="00023301">
    <w:pPr>
      <w:spacing w:after="120" w:line="240" w:lineRule="auto"/>
      <w:ind w:left="-851"/>
      <w:jc w:val="center"/>
      <w:rPr>
        <w:i/>
        <w:color w:val="1F497D" w:themeColor="text2"/>
      </w:rPr>
    </w:pPr>
    <w:r w:rsidRPr="001D1BDE">
      <w:rPr>
        <w:noProof/>
        <w:color w:val="1F497D" w:themeColor="text2"/>
        <w:lang w:eastAsia="en-AU"/>
      </w:rPr>
      <w:drawing>
        <wp:anchor distT="0" distB="0" distL="114300" distR="114300" simplePos="0" relativeHeight="251656192" behindDoc="0" locked="0" layoutInCell="1" allowOverlap="1" wp14:anchorId="79CF58C4" wp14:editId="3794C77D">
          <wp:simplePos x="0" y="0"/>
          <wp:positionH relativeFrom="column">
            <wp:posOffset>-590550</wp:posOffset>
          </wp:positionH>
          <wp:positionV relativeFrom="paragraph">
            <wp:posOffset>-181610</wp:posOffset>
          </wp:positionV>
          <wp:extent cx="7296150" cy="1019175"/>
          <wp:effectExtent l="0" t="0" r="0" b="9525"/>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EAMheader.jpg"/>
                  <pic:cNvPicPr/>
                </pic:nvPicPr>
                <pic:blipFill rotWithShape="1">
                  <a:blip r:embed="rId1">
                    <a:extLst>
                      <a:ext uri="{28A0092B-C50C-407E-A947-70E740481C1C}">
                        <a14:useLocalDpi xmlns:a14="http://schemas.microsoft.com/office/drawing/2010/main" val="0"/>
                      </a:ext>
                    </a:extLst>
                  </a:blip>
                  <a:srcRect b="30569"/>
                  <a:stretch/>
                </pic:blipFill>
                <pic:spPr bwMode="auto">
                  <a:xfrm>
                    <a:off x="0" y="0"/>
                    <a:ext cx="729615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7D4E6" w14:textId="52FF4097" w:rsidR="009F7F1C" w:rsidRDefault="009F7F1C" w:rsidP="00023301">
    <w:pPr>
      <w:spacing w:after="120" w:line="240" w:lineRule="auto"/>
      <w:ind w:left="-851"/>
      <w:jc w:val="center"/>
      <w:rPr>
        <w:i/>
        <w:color w:val="1F497D" w:themeColor="text2"/>
      </w:rPr>
    </w:pPr>
    <w:r w:rsidRPr="001D1BDE">
      <w:rPr>
        <w:i/>
        <w:color w:val="1F497D" w:themeColor="text2"/>
      </w:rPr>
      <w:t>Aboriginal and Torres Strait Islander peo</w:t>
    </w:r>
    <w:r>
      <w:rPr>
        <w:i/>
        <w:color w:val="1F497D" w:themeColor="text2"/>
      </w:rPr>
      <w:t>ples are the Traditional Owners</w:t>
    </w:r>
    <w:r>
      <w:rPr>
        <w:i/>
        <w:color w:val="1F497D" w:themeColor="text2"/>
      </w:rPr>
      <w:br/>
    </w:r>
    <w:r w:rsidRPr="001D1BDE">
      <w:rPr>
        <w:i/>
        <w:color w:val="1F497D" w:themeColor="text2"/>
      </w:rPr>
      <w:t>of the Great Barrier Reef area and have a continuing connection to their land and sea country</w:t>
    </w:r>
  </w:p>
  <w:p w14:paraId="5B76422A" w14:textId="255DD1ED" w:rsidR="009F7F1C" w:rsidRDefault="009F7F1C">
    <w:pPr>
      <w:pStyle w:val="Header"/>
    </w:pPr>
    <w:r w:rsidRPr="001D1BDE">
      <w:rPr>
        <w:noProof/>
        <w:color w:val="1F497D" w:themeColor="text2"/>
        <w:lang w:eastAsia="en-AU"/>
      </w:rPr>
      <w:drawing>
        <wp:anchor distT="0" distB="0" distL="114300" distR="114300" simplePos="0" relativeHeight="251657216" behindDoc="0" locked="0" layoutInCell="1" allowOverlap="1" wp14:anchorId="20D83FB4" wp14:editId="295A0333">
          <wp:simplePos x="0" y="0"/>
          <wp:positionH relativeFrom="column">
            <wp:posOffset>-571500</wp:posOffset>
          </wp:positionH>
          <wp:positionV relativeFrom="paragraph">
            <wp:posOffset>334010</wp:posOffset>
          </wp:positionV>
          <wp:extent cx="7296150" cy="474345"/>
          <wp:effectExtent l="0" t="0" r="0" b="1905"/>
          <wp:wrapTopAndBottom/>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TEAMheader.jpg"/>
                  <pic:cNvPicPr/>
                </pic:nvPicPr>
                <pic:blipFill rotWithShape="1">
                  <a:blip r:embed="rId1">
                    <a:extLst>
                      <a:ext uri="{28A0092B-C50C-407E-A947-70E740481C1C}">
                        <a14:useLocalDpi xmlns:a14="http://schemas.microsoft.com/office/drawing/2010/main" val="0"/>
                      </a:ext>
                    </a:extLst>
                  </a:blip>
                  <a:srcRect t="69427" b="-1754"/>
                  <a:stretch/>
                </pic:blipFill>
                <pic:spPr bwMode="auto">
                  <a:xfrm>
                    <a:off x="0" y="0"/>
                    <a:ext cx="7296150"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578"/>
    <w:multiLevelType w:val="hybridMultilevel"/>
    <w:tmpl w:val="0E4E0CF8"/>
    <w:lvl w:ilvl="0" w:tplc="21E22782">
      <w:start w:val="1"/>
      <w:numFmt w:val="bullet"/>
      <w:lvlText w:val="-"/>
      <w:lvlJc w:val="left"/>
      <w:pPr>
        <w:ind w:left="644" w:hanging="360"/>
      </w:pPr>
      <w:rPr>
        <w:rFonts w:ascii="Arial" w:eastAsia="Calibr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18E62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60866"/>
    <w:multiLevelType w:val="hybridMultilevel"/>
    <w:tmpl w:val="E45082C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E424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FB71D1"/>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722793"/>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DF4747"/>
    <w:multiLevelType w:val="hybridMultilevel"/>
    <w:tmpl w:val="7732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757027"/>
    <w:multiLevelType w:val="hybridMultilevel"/>
    <w:tmpl w:val="CB3C7484"/>
    <w:lvl w:ilvl="0" w:tplc="21E22782">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8B55AC"/>
    <w:multiLevelType w:val="hybridMultilevel"/>
    <w:tmpl w:val="C612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866DD2"/>
    <w:multiLevelType w:val="multilevel"/>
    <w:tmpl w:val="AA00506A"/>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B202C2"/>
    <w:multiLevelType w:val="hybridMultilevel"/>
    <w:tmpl w:val="E540686A"/>
    <w:lvl w:ilvl="0" w:tplc="21E22782">
      <w:start w:val="1"/>
      <w:numFmt w:val="bullet"/>
      <w:lvlText w:val="-"/>
      <w:lvlJc w:val="left"/>
      <w:pPr>
        <w:ind w:left="144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CB7DDE"/>
    <w:multiLevelType w:val="hybridMultilevel"/>
    <w:tmpl w:val="21C0431C"/>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0636C6"/>
    <w:multiLevelType w:val="hybridMultilevel"/>
    <w:tmpl w:val="8C58AA3C"/>
    <w:lvl w:ilvl="0" w:tplc="88E8AE5E">
      <w:start w:val="1"/>
      <w:numFmt w:val="decimal"/>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0B199F"/>
    <w:multiLevelType w:val="hybridMultilevel"/>
    <w:tmpl w:val="61429C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14F22CF9"/>
    <w:multiLevelType w:val="hybridMultilevel"/>
    <w:tmpl w:val="F800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B75EF1"/>
    <w:multiLevelType w:val="hybridMultilevel"/>
    <w:tmpl w:val="2F6E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C4D95"/>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2061FA"/>
    <w:multiLevelType w:val="multilevel"/>
    <w:tmpl w:val="022CD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8CA192E"/>
    <w:multiLevelType w:val="hybridMultilevel"/>
    <w:tmpl w:val="1EB202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7">
      <w:start w:val="1"/>
      <w:numFmt w:val="lowerLetter"/>
      <w:lvlText w:val="%3)"/>
      <w:lvlJc w:val="left"/>
      <w:pPr>
        <w:ind w:left="2340" w:hanging="360"/>
      </w:pPr>
      <w:rPr>
        <w:rFonts w:hint="default"/>
      </w:rPr>
    </w:lvl>
    <w:lvl w:ilvl="3" w:tplc="B204D0E0">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9D184B"/>
    <w:multiLevelType w:val="hybridMultilevel"/>
    <w:tmpl w:val="456C9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D45B86"/>
    <w:multiLevelType w:val="hybridMultilevel"/>
    <w:tmpl w:val="163C80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E1423A"/>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3C5290"/>
    <w:multiLevelType w:val="multilevel"/>
    <w:tmpl w:val="51BE7F90"/>
    <w:lvl w:ilvl="0">
      <w:start w:val="1"/>
      <w:numFmt w:val="bullet"/>
      <w:lvlText w:val="-"/>
      <w:lvlJc w:val="left"/>
      <w:pPr>
        <w:ind w:left="720" w:hanging="360"/>
      </w:pPr>
      <w:rPr>
        <w:rFonts w:ascii="Arial" w:eastAsia="Calibri" w:hAnsi="Arial" w:cs="Arial" w:hint="default"/>
      </w:rPr>
    </w:lvl>
    <w:lvl w:ilvl="1">
      <w:start w:val="1"/>
      <w:numFmt w:val="bullet"/>
      <w:lvlText w:val="-"/>
      <w:lvlJc w:val="left"/>
      <w:pPr>
        <w:ind w:left="1152" w:hanging="432"/>
      </w:pPr>
      <w:rPr>
        <w:rFonts w:ascii="Arial" w:eastAsia="Calibri" w:hAnsi="Arial" w:cs="Aria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4090B19"/>
    <w:multiLevelType w:val="hybridMultilevel"/>
    <w:tmpl w:val="E5A6A608"/>
    <w:lvl w:ilvl="0" w:tplc="72D49D44">
      <w:numFmt w:val="bullet"/>
      <w:lvlText w:val="-"/>
      <w:lvlJc w:val="left"/>
      <w:pPr>
        <w:ind w:left="717" w:hanging="360"/>
      </w:pPr>
      <w:rPr>
        <w:rFonts w:ascii="Century Gothic" w:eastAsia="MS Mincho" w:hAnsi="Century Gothic"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36AE7FBD"/>
    <w:multiLevelType w:val="hybridMultilevel"/>
    <w:tmpl w:val="95568E8E"/>
    <w:lvl w:ilvl="0" w:tplc="6292E652">
      <w:start w:val="1"/>
      <w:numFmt w:val="decimal"/>
      <w:lvlText w:val="%1."/>
      <w:lvlJc w:val="left"/>
      <w:pPr>
        <w:ind w:left="261" w:hanging="360"/>
      </w:pPr>
      <w:rPr>
        <w:b w:val="0"/>
        <w:i w:val="0"/>
      </w:rPr>
    </w:lvl>
    <w:lvl w:ilvl="1" w:tplc="0C090019">
      <w:start w:val="1"/>
      <w:numFmt w:val="lowerLetter"/>
      <w:lvlText w:val="%2."/>
      <w:lvlJc w:val="left"/>
      <w:pPr>
        <w:ind w:left="981" w:hanging="360"/>
      </w:pPr>
    </w:lvl>
    <w:lvl w:ilvl="2" w:tplc="0C09001B">
      <w:start w:val="1"/>
      <w:numFmt w:val="lowerRoman"/>
      <w:lvlText w:val="%3."/>
      <w:lvlJc w:val="right"/>
      <w:pPr>
        <w:ind w:left="1701" w:hanging="180"/>
      </w:pPr>
    </w:lvl>
    <w:lvl w:ilvl="3" w:tplc="0C09000F">
      <w:start w:val="1"/>
      <w:numFmt w:val="decimal"/>
      <w:lvlText w:val="%4."/>
      <w:lvlJc w:val="left"/>
      <w:pPr>
        <w:ind w:left="2421" w:hanging="360"/>
      </w:pPr>
    </w:lvl>
    <w:lvl w:ilvl="4" w:tplc="0C090019">
      <w:start w:val="1"/>
      <w:numFmt w:val="lowerLetter"/>
      <w:lvlText w:val="%5."/>
      <w:lvlJc w:val="left"/>
      <w:pPr>
        <w:ind w:left="3141" w:hanging="360"/>
      </w:pPr>
    </w:lvl>
    <w:lvl w:ilvl="5" w:tplc="0C09001B">
      <w:start w:val="1"/>
      <w:numFmt w:val="lowerRoman"/>
      <w:lvlText w:val="%6."/>
      <w:lvlJc w:val="right"/>
      <w:pPr>
        <w:ind w:left="3861" w:hanging="180"/>
      </w:pPr>
    </w:lvl>
    <w:lvl w:ilvl="6" w:tplc="0C09000F">
      <w:start w:val="1"/>
      <w:numFmt w:val="decimal"/>
      <w:lvlText w:val="%7."/>
      <w:lvlJc w:val="left"/>
      <w:pPr>
        <w:ind w:left="4581" w:hanging="360"/>
      </w:pPr>
    </w:lvl>
    <w:lvl w:ilvl="7" w:tplc="0C090019">
      <w:start w:val="1"/>
      <w:numFmt w:val="lowerLetter"/>
      <w:lvlText w:val="%8."/>
      <w:lvlJc w:val="left"/>
      <w:pPr>
        <w:ind w:left="5301" w:hanging="360"/>
      </w:pPr>
    </w:lvl>
    <w:lvl w:ilvl="8" w:tplc="0C09001B">
      <w:start w:val="1"/>
      <w:numFmt w:val="lowerRoman"/>
      <w:lvlText w:val="%9."/>
      <w:lvlJc w:val="right"/>
      <w:pPr>
        <w:ind w:left="6021" w:hanging="180"/>
      </w:pPr>
    </w:lvl>
  </w:abstractNum>
  <w:abstractNum w:abstractNumId="25" w15:restartNumberingAfterBreak="0">
    <w:nsid w:val="37C24FAD"/>
    <w:multiLevelType w:val="hybridMultilevel"/>
    <w:tmpl w:val="D3D077BC"/>
    <w:lvl w:ilvl="0" w:tplc="0C090001">
      <w:start w:val="1"/>
      <w:numFmt w:val="bullet"/>
      <w:lvlText w:val=""/>
      <w:lvlJc w:val="left"/>
      <w:pPr>
        <w:ind w:left="927" w:hanging="360"/>
      </w:pPr>
      <w:rPr>
        <w:rFonts w:ascii="Symbol" w:hAnsi="Symbol" w:hint="default"/>
        <w:b w:val="0"/>
        <w:i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6" w15:restartNumberingAfterBreak="0">
    <w:nsid w:val="381405D6"/>
    <w:multiLevelType w:val="hybridMultilevel"/>
    <w:tmpl w:val="1D801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FD1028"/>
    <w:multiLevelType w:val="hybridMultilevel"/>
    <w:tmpl w:val="59FA2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EC4CCE"/>
    <w:multiLevelType w:val="hybridMultilevel"/>
    <w:tmpl w:val="F1AAB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90350"/>
    <w:multiLevelType w:val="multilevel"/>
    <w:tmpl w:val="796E0DEA"/>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4E5314"/>
    <w:multiLevelType w:val="hybridMultilevel"/>
    <w:tmpl w:val="B288BA80"/>
    <w:lvl w:ilvl="0" w:tplc="0C090001">
      <w:start w:val="1"/>
      <w:numFmt w:val="bullet"/>
      <w:lvlText w:val=""/>
      <w:lvlJc w:val="left"/>
      <w:pPr>
        <w:ind w:left="644"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987AA5"/>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05034F"/>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EC1587"/>
    <w:multiLevelType w:val="hybridMultilevel"/>
    <w:tmpl w:val="FC2CBD7E"/>
    <w:lvl w:ilvl="0" w:tplc="91E2224E">
      <w:start w:val="8"/>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B1771BF"/>
    <w:multiLevelType w:val="hybridMultilevel"/>
    <w:tmpl w:val="95568E8E"/>
    <w:lvl w:ilvl="0" w:tplc="6292E652">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5A7163"/>
    <w:multiLevelType w:val="hybridMultilevel"/>
    <w:tmpl w:val="895AC6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C7E37DC"/>
    <w:multiLevelType w:val="hybridMultilevel"/>
    <w:tmpl w:val="5F4C407E"/>
    <w:lvl w:ilvl="0" w:tplc="88E8AE5E">
      <w:start w:val="1"/>
      <w:numFmt w:val="decimal"/>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F53BDA"/>
    <w:multiLevelType w:val="hybridMultilevel"/>
    <w:tmpl w:val="45B46140"/>
    <w:lvl w:ilvl="0" w:tplc="88E8AE5E">
      <w:start w:val="1"/>
      <w:numFmt w:val="decimal"/>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DA5992"/>
    <w:multiLevelType w:val="hybridMultilevel"/>
    <w:tmpl w:val="FCFE4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7D188F"/>
    <w:multiLevelType w:val="hybridMultilevel"/>
    <w:tmpl w:val="957A0DB4"/>
    <w:lvl w:ilvl="0" w:tplc="0C090001">
      <w:start w:val="1"/>
      <w:numFmt w:val="bullet"/>
      <w:lvlText w:val=""/>
      <w:lvlJc w:val="left"/>
      <w:pPr>
        <w:ind w:left="644" w:hanging="360"/>
      </w:pPr>
      <w:rPr>
        <w:rFonts w:ascii="Symbol" w:hAnsi="Symbo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9D34004"/>
    <w:multiLevelType w:val="hybridMultilevel"/>
    <w:tmpl w:val="B3381A8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5DCF0CD6"/>
    <w:multiLevelType w:val="multilevel"/>
    <w:tmpl w:val="6A7220CE"/>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046EDD"/>
    <w:multiLevelType w:val="hybridMultilevel"/>
    <w:tmpl w:val="D1DC5B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4804AD9"/>
    <w:multiLevelType w:val="hybridMultilevel"/>
    <w:tmpl w:val="403CC91C"/>
    <w:lvl w:ilvl="0" w:tplc="C3401AF0">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0F">
      <w:start w:val="1"/>
      <w:numFmt w:val="decimal"/>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B074587"/>
    <w:multiLevelType w:val="hybridMultilevel"/>
    <w:tmpl w:val="6E6EF616"/>
    <w:lvl w:ilvl="0" w:tplc="C3401AF0">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006C84"/>
    <w:multiLevelType w:val="hybridMultilevel"/>
    <w:tmpl w:val="B6F2E51C"/>
    <w:lvl w:ilvl="0" w:tplc="21E22782">
      <w:start w:val="1"/>
      <w:numFmt w:val="bullet"/>
      <w:lvlText w:val="-"/>
      <w:lvlJc w:val="left"/>
      <w:pPr>
        <w:ind w:left="644" w:hanging="360"/>
      </w:pPr>
      <w:rPr>
        <w:rFonts w:ascii="Arial" w:eastAsia="Calibr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6F527442"/>
    <w:multiLevelType w:val="hybridMultilevel"/>
    <w:tmpl w:val="8C58AA3C"/>
    <w:lvl w:ilvl="0" w:tplc="88E8AE5E">
      <w:start w:val="1"/>
      <w:numFmt w:val="decimal"/>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FF0140F"/>
    <w:multiLevelType w:val="hybridMultilevel"/>
    <w:tmpl w:val="45B46140"/>
    <w:lvl w:ilvl="0" w:tplc="88E8AE5E">
      <w:start w:val="1"/>
      <w:numFmt w:val="decimal"/>
      <w:lvlText w:val="%1."/>
      <w:lvlJc w:val="left"/>
      <w:pPr>
        <w:ind w:left="644"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2BF4DA9"/>
    <w:multiLevelType w:val="hybridMultilevel"/>
    <w:tmpl w:val="1CD6B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CB7EAB"/>
    <w:multiLevelType w:val="hybridMultilevel"/>
    <w:tmpl w:val="7436AB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78162D82"/>
    <w:multiLevelType w:val="hybridMultilevel"/>
    <w:tmpl w:val="3AF2E7B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546E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297E7F"/>
    <w:multiLevelType w:val="hybridMultilevel"/>
    <w:tmpl w:val="6032E6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D3B08F0"/>
    <w:multiLevelType w:val="hybridMultilevel"/>
    <w:tmpl w:val="3CB8AC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F572D702">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6"/>
  </w:num>
  <w:num w:numId="2">
    <w:abstractNumId w:val="26"/>
  </w:num>
  <w:num w:numId="3">
    <w:abstractNumId w:val="38"/>
  </w:num>
  <w:num w:numId="4">
    <w:abstractNumId w:val="18"/>
  </w:num>
  <w:num w:numId="5">
    <w:abstractNumId w:val="33"/>
  </w:num>
  <w:num w:numId="6">
    <w:abstractNumId w:val="44"/>
  </w:num>
  <w:num w:numId="7">
    <w:abstractNumId w:val="34"/>
  </w:num>
  <w:num w:numId="8">
    <w:abstractNumId w:val="40"/>
  </w:num>
  <w:num w:numId="9">
    <w:abstractNumId w:val="42"/>
  </w:num>
  <w:num w:numId="10">
    <w:abstractNumId w:val="44"/>
    <w:lvlOverride w:ilvl="0">
      <w:startOverride w:val="1"/>
    </w:lvlOverride>
  </w:num>
  <w:num w:numId="11">
    <w:abstractNumId w:val="36"/>
  </w:num>
  <w:num w:numId="12">
    <w:abstractNumId w:val="47"/>
  </w:num>
  <w:num w:numId="13">
    <w:abstractNumId w:val="37"/>
  </w:num>
  <w:num w:numId="14">
    <w:abstractNumId w:val="46"/>
    <w:lvlOverride w:ilvl="0">
      <w:startOverride w:val="1"/>
    </w:lvlOverride>
  </w:num>
  <w:num w:numId="15">
    <w:abstractNumId w:val="30"/>
  </w:num>
  <w:num w:numId="16">
    <w:abstractNumId w:val="27"/>
  </w:num>
  <w:num w:numId="17">
    <w:abstractNumId w:val="2"/>
  </w:num>
  <w:num w:numId="18">
    <w:abstractNumId w:val="52"/>
  </w:num>
  <w:num w:numId="19">
    <w:abstractNumId w:val="4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8"/>
  </w:num>
  <w:num w:numId="24">
    <w:abstractNumId w:val="8"/>
  </w:num>
  <w:num w:numId="25">
    <w:abstractNumId w:val="48"/>
  </w:num>
  <w:num w:numId="26">
    <w:abstractNumId w:val="50"/>
  </w:num>
  <w:num w:numId="27">
    <w:abstractNumId w:val="39"/>
  </w:num>
  <w:num w:numId="28">
    <w:abstractNumId w:val="12"/>
  </w:num>
  <w:num w:numId="29">
    <w:abstractNumId w:val="3"/>
  </w:num>
  <w:num w:numId="30">
    <w:abstractNumId w:val="51"/>
  </w:num>
  <w:num w:numId="31">
    <w:abstractNumId w:val="43"/>
  </w:num>
  <w:num w:numId="32">
    <w:abstractNumId w:val="1"/>
  </w:num>
  <w:num w:numId="33">
    <w:abstractNumId w:val="45"/>
  </w:num>
  <w:num w:numId="34">
    <w:abstractNumId w:val="11"/>
  </w:num>
  <w:num w:numId="35">
    <w:abstractNumId w:val="32"/>
  </w:num>
  <w:num w:numId="36">
    <w:abstractNumId w:val="10"/>
  </w:num>
  <w:num w:numId="37">
    <w:abstractNumId w:val="0"/>
  </w:num>
  <w:num w:numId="38">
    <w:abstractNumId w:val="4"/>
  </w:num>
  <w:num w:numId="39">
    <w:abstractNumId w:val="21"/>
  </w:num>
  <w:num w:numId="40">
    <w:abstractNumId w:val="16"/>
  </w:num>
  <w:num w:numId="41">
    <w:abstractNumId w:val="31"/>
  </w:num>
  <w:num w:numId="42">
    <w:abstractNumId w:val="41"/>
  </w:num>
  <w:num w:numId="43">
    <w:abstractNumId w:val="5"/>
  </w:num>
  <w:num w:numId="44">
    <w:abstractNumId w:val="22"/>
  </w:num>
  <w:num w:numId="45">
    <w:abstractNumId w:val="19"/>
  </w:num>
  <w:num w:numId="46">
    <w:abstractNumId w:val="35"/>
  </w:num>
  <w:num w:numId="47">
    <w:abstractNumId w:val="53"/>
  </w:num>
  <w:num w:numId="48">
    <w:abstractNumId w:val="13"/>
  </w:num>
  <w:num w:numId="49">
    <w:abstractNumId w:val="14"/>
  </w:num>
  <w:num w:numId="50">
    <w:abstractNumId w:val="15"/>
  </w:num>
  <w:num w:numId="51">
    <w:abstractNumId w:val="9"/>
  </w:num>
  <w:num w:numId="52">
    <w:abstractNumId w:val="7"/>
  </w:num>
  <w:num w:numId="53">
    <w:abstractNumId w:val="17"/>
  </w:num>
  <w:num w:numId="54">
    <w:abstractNumId w:val="29"/>
  </w:num>
  <w:num w:numId="55">
    <w:abstractNumId w:val="20"/>
  </w:num>
  <w:num w:numId="56">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6F"/>
    <w:rsid w:val="00001D7E"/>
    <w:rsid w:val="00004855"/>
    <w:rsid w:val="00023301"/>
    <w:rsid w:val="0002336A"/>
    <w:rsid w:val="0002370A"/>
    <w:rsid w:val="0002566F"/>
    <w:rsid w:val="000305EE"/>
    <w:rsid w:val="000417C0"/>
    <w:rsid w:val="000478BA"/>
    <w:rsid w:val="00050DC4"/>
    <w:rsid w:val="00056BBB"/>
    <w:rsid w:val="00066095"/>
    <w:rsid w:val="0007113E"/>
    <w:rsid w:val="00075CB8"/>
    <w:rsid w:val="00080EA2"/>
    <w:rsid w:val="00091DEB"/>
    <w:rsid w:val="00093C3F"/>
    <w:rsid w:val="000A5DB7"/>
    <w:rsid w:val="000B0E4C"/>
    <w:rsid w:val="000B4211"/>
    <w:rsid w:val="000C1F57"/>
    <w:rsid w:val="000C3F68"/>
    <w:rsid w:val="000C6BD6"/>
    <w:rsid w:val="000D7F4C"/>
    <w:rsid w:val="000F0B03"/>
    <w:rsid w:val="00112C77"/>
    <w:rsid w:val="001172B2"/>
    <w:rsid w:val="00122A22"/>
    <w:rsid w:val="00145C01"/>
    <w:rsid w:val="00145E01"/>
    <w:rsid w:val="0015383F"/>
    <w:rsid w:val="00153C83"/>
    <w:rsid w:val="00153FD5"/>
    <w:rsid w:val="00160B69"/>
    <w:rsid w:val="0017039A"/>
    <w:rsid w:val="00172495"/>
    <w:rsid w:val="001732D5"/>
    <w:rsid w:val="00185D87"/>
    <w:rsid w:val="00190A10"/>
    <w:rsid w:val="001940D4"/>
    <w:rsid w:val="001A0F29"/>
    <w:rsid w:val="001A6A59"/>
    <w:rsid w:val="001C2917"/>
    <w:rsid w:val="001F2B4B"/>
    <w:rsid w:val="001F74C1"/>
    <w:rsid w:val="00201521"/>
    <w:rsid w:val="00211A57"/>
    <w:rsid w:val="00221397"/>
    <w:rsid w:val="00224B04"/>
    <w:rsid w:val="002433AF"/>
    <w:rsid w:val="00250E16"/>
    <w:rsid w:val="00264195"/>
    <w:rsid w:val="00266062"/>
    <w:rsid w:val="00280031"/>
    <w:rsid w:val="002845E2"/>
    <w:rsid w:val="0028679B"/>
    <w:rsid w:val="002A274B"/>
    <w:rsid w:val="002A515F"/>
    <w:rsid w:val="002A733E"/>
    <w:rsid w:val="002F32CC"/>
    <w:rsid w:val="002F331A"/>
    <w:rsid w:val="00321C6B"/>
    <w:rsid w:val="00330ED8"/>
    <w:rsid w:val="00331E64"/>
    <w:rsid w:val="00337E4C"/>
    <w:rsid w:val="00345279"/>
    <w:rsid w:val="0035558F"/>
    <w:rsid w:val="00375473"/>
    <w:rsid w:val="00375F52"/>
    <w:rsid w:val="003800AA"/>
    <w:rsid w:val="00395D87"/>
    <w:rsid w:val="003A3A40"/>
    <w:rsid w:val="003C3477"/>
    <w:rsid w:val="003C3FB6"/>
    <w:rsid w:val="003F64E1"/>
    <w:rsid w:val="00412F63"/>
    <w:rsid w:val="0043432D"/>
    <w:rsid w:val="00444330"/>
    <w:rsid w:val="00454FDC"/>
    <w:rsid w:val="00483781"/>
    <w:rsid w:val="00485E82"/>
    <w:rsid w:val="004872F5"/>
    <w:rsid w:val="004912DF"/>
    <w:rsid w:val="004972DD"/>
    <w:rsid w:val="004A1127"/>
    <w:rsid w:val="004A1968"/>
    <w:rsid w:val="004B3DA3"/>
    <w:rsid w:val="004B6586"/>
    <w:rsid w:val="004B7352"/>
    <w:rsid w:val="004C5AF0"/>
    <w:rsid w:val="004D1EAA"/>
    <w:rsid w:val="004E7DC5"/>
    <w:rsid w:val="004F495C"/>
    <w:rsid w:val="00500E3B"/>
    <w:rsid w:val="005024D5"/>
    <w:rsid w:val="00510153"/>
    <w:rsid w:val="005115BD"/>
    <w:rsid w:val="0051191A"/>
    <w:rsid w:val="00517687"/>
    <w:rsid w:val="00523680"/>
    <w:rsid w:val="00531A0A"/>
    <w:rsid w:val="005401D6"/>
    <w:rsid w:val="00552404"/>
    <w:rsid w:val="00556A4E"/>
    <w:rsid w:val="00572311"/>
    <w:rsid w:val="00577336"/>
    <w:rsid w:val="00577907"/>
    <w:rsid w:val="00592D81"/>
    <w:rsid w:val="0059574F"/>
    <w:rsid w:val="005C042C"/>
    <w:rsid w:val="005D1CF9"/>
    <w:rsid w:val="005D3A55"/>
    <w:rsid w:val="005D4790"/>
    <w:rsid w:val="005E1415"/>
    <w:rsid w:val="005E1DDB"/>
    <w:rsid w:val="005E4013"/>
    <w:rsid w:val="00617627"/>
    <w:rsid w:val="00634C2E"/>
    <w:rsid w:val="00636450"/>
    <w:rsid w:val="00637076"/>
    <w:rsid w:val="006507D3"/>
    <w:rsid w:val="00654C7B"/>
    <w:rsid w:val="0066565E"/>
    <w:rsid w:val="00677385"/>
    <w:rsid w:val="006774F9"/>
    <w:rsid w:val="006827FE"/>
    <w:rsid w:val="00683938"/>
    <w:rsid w:val="00684C7D"/>
    <w:rsid w:val="00684F02"/>
    <w:rsid w:val="006A03AB"/>
    <w:rsid w:val="006A0F03"/>
    <w:rsid w:val="006A26FB"/>
    <w:rsid w:val="006A68BB"/>
    <w:rsid w:val="006D0402"/>
    <w:rsid w:val="006D1120"/>
    <w:rsid w:val="006D4F98"/>
    <w:rsid w:val="006E3B81"/>
    <w:rsid w:val="006F26B9"/>
    <w:rsid w:val="006F2E0A"/>
    <w:rsid w:val="00704D69"/>
    <w:rsid w:val="00711A36"/>
    <w:rsid w:val="007122FE"/>
    <w:rsid w:val="0071272B"/>
    <w:rsid w:val="00714A08"/>
    <w:rsid w:val="007250AF"/>
    <w:rsid w:val="007464A0"/>
    <w:rsid w:val="00773B07"/>
    <w:rsid w:val="0077788B"/>
    <w:rsid w:val="00796748"/>
    <w:rsid w:val="007A4BEA"/>
    <w:rsid w:val="007B0A8F"/>
    <w:rsid w:val="007B0AF2"/>
    <w:rsid w:val="007B1398"/>
    <w:rsid w:val="007C51CA"/>
    <w:rsid w:val="007C6AD9"/>
    <w:rsid w:val="007D093D"/>
    <w:rsid w:val="007D6062"/>
    <w:rsid w:val="007E4DB5"/>
    <w:rsid w:val="007E7727"/>
    <w:rsid w:val="007F224B"/>
    <w:rsid w:val="007F2DA7"/>
    <w:rsid w:val="007F467C"/>
    <w:rsid w:val="007F6F61"/>
    <w:rsid w:val="00801701"/>
    <w:rsid w:val="00804A03"/>
    <w:rsid w:val="00807320"/>
    <w:rsid w:val="00810473"/>
    <w:rsid w:val="008114C1"/>
    <w:rsid w:val="0081666B"/>
    <w:rsid w:val="00822AB7"/>
    <w:rsid w:val="00823123"/>
    <w:rsid w:val="00832C9A"/>
    <w:rsid w:val="008538FE"/>
    <w:rsid w:val="008761E2"/>
    <w:rsid w:val="008957B3"/>
    <w:rsid w:val="008958E5"/>
    <w:rsid w:val="008A55FD"/>
    <w:rsid w:val="008B160A"/>
    <w:rsid w:val="008B1A94"/>
    <w:rsid w:val="008C7EDF"/>
    <w:rsid w:val="008F0AD3"/>
    <w:rsid w:val="008F61EC"/>
    <w:rsid w:val="009032B3"/>
    <w:rsid w:val="0090764D"/>
    <w:rsid w:val="009109D4"/>
    <w:rsid w:val="009266AE"/>
    <w:rsid w:val="00927709"/>
    <w:rsid w:val="0093752B"/>
    <w:rsid w:val="00951F57"/>
    <w:rsid w:val="00962ABC"/>
    <w:rsid w:val="00981F9E"/>
    <w:rsid w:val="00994B89"/>
    <w:rsid w:val="00994BB9"/>
    <w:rsid w:val="009A3A29"/>
    <w:rsid w:val="009C44A9"/>
    <w:rsid w:val="009D6887"/>
    <w:rsid w:val="009E1A14"/>
    <w:rsid w:val="009F7F1C"/>
    <w:rsid w:val="00A01DD3"/>
    <w:rsid w:val="00A14C1D"/>
    <w:rsid w:val="00A15952"/>
    <w:rsid w:val="00A250C5"/>
    <w:rsid w:val="00A3449B"/>
    <w:rsid w:val="00A36AF3"/>
    <w:rsid w:val="00A51657"/>
    <w:rsid w:val="00A52888"/>
    <w:rsid w:val="00A603D9"/>
    <w:rsid w:val="00A70DD4"/>
    <w:rsid w:val="00A731A0"/>
    <w:rsid w:val="00A77EE5"/>
    <w:rsid w:val="00A80A27"/>
    <w:rsid w:val="00A80A97"/>
    <w:rsid w:val="00A92064"/>
    <w:rsid w:val="00A9349E"/>
    <w:rsid w:val="00AA1CD5"/>
    <w:rsid w:val="00AA224D"/>
    <w:rsid w:val="00AA691E"/>
    <w:rsid w:val="00AB0C6B"/>
    <w:rsid w:val="00AB1DE1"/>
    <w:rsid w:val="00AD51B0"/>
    <w:rsid w:val="00B00E6B"/>
    <w:rsid w:val="00B0147F"/>
    <w:rsid w:val="00B07F02"/>
    <w:rsid w:val="00B1336E"/>
    <w:rsid w:val="00B24967"/>
    <w:rsid w:val="00B313DF"/>
    <w:rsid w:val="00B31B39"/>
    <w:rsid w:val="00B404D3"/>
    <w:rsid w:val="00B420C5"/>
    <w:rsid w:val="00B43864"/>
    <w:rsid w:val="00B45D7D"/>
    <w:rsid w:val="00B46CC3"/>
    <w:rsid w:val="00B670AB"/>
    <w:rsid w:val="00B841DD"/>
    <w:rsid w:val="00BB22E0"/>
    <w:rsid w:val="00BC0E90"/>
    <w:rsid w:val="00BE620C"/>
    <w:rsid w:val="00BF0050"/>
    <w:rsid w:val="00BF3492"/>
    <w:rsid w:val="00C10E0F"/>
    <w:rsid w:val="00C141A7"/>
    <w:rsid w:val="00C21271"/>
    <w:rsid w:val="00C23AAD"/>
    <w:rsid w:val="00C4444F"/>
    <w:rsid w:val="00C51A5C"/>
    <w:rsid w:val="00C52DC0"/>
    <w:rsid w:val="00C57F7C"/>
    <w:rsid w:val="00C65119"/>
    <w:rsid w:val="00C672A0"/>
    <w:rsid w:val="00C67F07"/>
    <w:rsid w:val="00C81F1B"/>
    <w:rsid w:val="00CB2AE4"/>
    <w:rsid w:val="00CC4CC6"/>
    <w:rsid w:val="00CC6D09"/>
    <w:rsid w:val="00CD133E"/>
    <w:rsid w:val="00CD268A"/>
    <w:rsid w:val="00CD2EDB"/>
    <w:rsid w:val="00CD3CFF"/>
    <w:rsid w:val="00CD65DF"/>
    <w:rsid w:val="00CE73BB"/>
    <w:rsid w:val="00CF3A91"/>
    <w:rsid w:val="00D00FD9"/>
    <w:rsid w:val="00D14757"/>
    <w:rsid w:val="00D154DA"/>
    <w:rsid w:val="00D24C88"/>
    <w:rsid w:val="00D47575"/>
    <w:rsid w:val="00D510F6"/>
    <w:rsid w:val="00D5307A"/>
    <w:rsid w:val="00D5375E"/>
    <w:rsid w:val="00D603AB"/>
    <w:rsid w:val="00D60E34"/>
    <w:rsid w:val="00D6383C"/>
    <w:rsid w:val="00D638BC"/>
    <w:rsid w:val="00D6798A"/>
    <w:rsid w:val="00D81146"/>
    <w:rsid w:val="00D90AE3"/>
    <w:rsid w:val="00DA17B9"/>
    <w:rsid w:val="00DA3DEF"/>
    <w:rsid w:val="00DA7678"/>
    <w:rsid w:val="00DA7CE2"/>
    <w:rsid w:val="00DB4644"/>
    <w:rsid w:val="00DB6148"/>
    <w:rsid w:val="00DD00CC"/>
    <w:rsid w:val="00DE240A"/>
    <w:rsid w:val="00DF1F15"/>
    <w:rsid w:val="00E03DFB"/>
    <w:rsid w:val="00E21506"/>
    <w:rsid w:val="00E33C61"/>
    <w:rsid w:val="00E343C7"/>
    <w:rsid w:val="00E36AB3"/>
    <w:rsid w:val="00E55FFC"/>
    <w:rsid w:val="00E629CE"/>
    <w:rsid w:val="00E63B50"/>
    <w:rsid w:val="00E6663A"/>
    <w:rsid w:val="00E7145F"/>
    <w:rsid w:val="00E75F57"/>
    <w:rsid w:val="00E81FA7"/>
    <w:rsid w:val="00E86328"/>
    <w:rsid w:val="00E86696"/>
    <w:rsid w:val="00E923DB"/>
    <w:rsid w:val="00EB5C6C"/>
    <w:rsid w:val="00EC1FEE"/>
    <w:rsid w:val="00ED02C6"/>
    <w:rsid w:val="00ED274D"/>
    <w:rsid w:val="00ED67AB"/>
    <w:rsid w:val="00F01734"/>
    <w:rsid w:val="00F02662"/>
    <w:rsid w:val="00F062CD"/>
    <w:rsid w:val="00F31FF2"/>
    <w:rsid w:val="00F35159"/>
    <w:rsid w:val="00F358D2"/>
    <w:rsid w:val="00F7339C"/>
    <w:rsid w:val="00F75A5C"/>
    <w:rsid w:val="00F8127D"/>
    <w:rsid w:val="00F845FA"/>
    <w:rsid w:val="00F865DE"/>
    <w:rsid w:val="00FA2979"/>
    <w:rsid w:val="00FB1BAA"/>
    <w:rsid w:val="00FC6BAD"/>
    <w:rsid w:val="00FD5A93"/>
    <w:rsid w:val="00FE0C40"/>
    <w:rsid w:val="00FE13A3"/>
    <w:rsid w:val="00FE2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55A50"/>
  <w15:docId w15:val="{40439896-D6B2-439F-9A11-38A8B3F9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2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CD5"/>
    <w:pPr>
      <w:spacing w:before="20" w:after="40" w:line="240" w:lineRule="auto"/>
      <w:outlineLvl w:val="1"/>
    </w:pPr>
    <w:rPr>
      <w:rFonts w:ascii="Calibri" w:eastAsiaTheme="minorEastAsia" w:hAnsi="Calibri" w:cs="Times New Roman"/>
      <w:color w:val="005782"/>
      <w:sz w:val="30"/>
      <w:szCs w:val="3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66F"/>
  </w:style>
  <w:style w:type="paragraph" w:styleId="Footer">
    <w:name w:val="footer"/>
    <w:basedOn w:val="Normal"/>
    <w:link w:val="FooterChar"/>
    <w:uiPriority w:val="99"/>
    <w:unhideWhenUsed/>
    <w:rsid w:val="00025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66F"/>
  </w:style>
  <w:style w:type="paragraph" w:styleId="BalloonText">
    <w:name w:val="Balloon Text"/>
    <w:basedOn w:val="Normal"/>
    <w:link w:val="BalloonTextChar"/>
    <w:uiPriority w:val="99"/>
    <w:semiHidden/>
    <w:unhideWhenUsed/>
    <w:rsid w:val="00025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6F"/>
    <w:rPr>
      <w:rFonts w:ascii="Tahoma" w:hAnsi="Tahoma" w:cs="Tahoma"/>
      <w:sz w:val="16"/>
      <w:szCs w:val="16"/>
    </w:rPr>
  </w:style>
  <w:style w:type="paragraph" w:styleId="Title">
    <w:name w:val="Title"/>
    <w:basedOn w:val="Normal"/>
    <w:next w:val="Normal"/>
    <w:link w:val="TitleChar"/>
    <w:uiPriority w:val="10"/>
    <w:qFormat/>
    <w:rsid w:val="00025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02566F"/>
    <w:rPr>
      <w:rFonts w:asciiTheme="majorHAnsi" w:eastAsiaTheme="majorEastAsia" w:hAnsiTheme="majorHAnsi" w:cstheme="majorBidi"/>
      <w:color w:val="17365D" w:themeColor="text2" w:themeShade="BF"/>
      <w:spacing w:val="5"/>
      <w:kern w:val="28"/>
      <w:sz w:val="52"/>
      <w:szCs w:val="52"/>
      <w:lang w:val="en-US"/>
    </w:rPr>
  </w:style>
  <w:style w:type="character" w:styleId="FootnoteReference">
    <w:name w:val="footnote reference"/>
    <w:basedOn w:val="DefaultParagraphFont"/>
    <w:uiPriority w:val="99"/>
    <w:unhideWhenUsed/>
    <w:rsid w:val="0002566F"/>
    <w:rPr>
      <w:vertAlign w:val="superscript"/>
    </w:rPr>
  </w:style>
  <w:style w:type="paragraph" w:customStyle="1" w:styleId="BodyTextNumbering">
    <w:name w:val="Body Text Numbering"/>
    <w:qFormat/>
    <w:rsid w:val="0002566F"/>
    <w:pPr>
      <w:spacing w:before="240" w:after="40" w:line="240" w:lineRule="auto"/>
    </w:pPr>
    <w:rPr>
      <w:rFonts w:ascii="Arial" w:eastAsiaTheme="minorEastAsia" w:hAnsi="Arial" w:cs="Times New Roman"/>
      <w:color w:val="000000" w:themeColor="text1"/>
      <w:sz w:val="20"/>
      <w:szCs w:val="32"/>
      <w:lang w:eastAsia="en-AU"/>
    </w:rPr>
  </w:style>
  <w:style w:type="paragraph" w:customStyle="1" w:styleId="Subheading">
    <w:name w:val="Subheading"/>
    <w:qFormat/>
    <w:rsid w:val="0002566F"/>
    <w:pPr>
      <w:spacing w:before="200" w:after="100" w:line="240" w:lineRule="auto"/>
    </w:pPr>
    <w:rPr>
      <w:rFonts w:ascii="Calibri" w:eastAsiaTheme="minorEastAsia" w:hAnsi="Calibri" w:cs="Times New Roman"/>
      <w:color w:val="005782"/>
      <w:sz w:val="30"/>
      <w:szCs w:val="30"/>
      <w:lang w:eastAsia="en-AU"/>
    </w:rPr>
  </w:style>
  <w:style w:type="paragraph" w:customStyle="1" w:styleId="DefinitionText">
    <w:name w:val="Definition Text"/>
    <w:basedOn w:val="Normal"/>
    <w:qFormat/>
    <w:rsid w:val="008A55FD"/>
    <w:pPr>
      <w:spacing w:before="40" w:after="40" w:line="240" w:lineRule="auto"/>
      <w:ind w:left="284"/>
    </w:pPr>
    <w:rPr>
      <w:rFonts w:ascii="Arial" w:eastAsiaTheme="minorEastAsia" w:hAnsi="Arial" w:cs="Arial"/>
      <w:color w:val="000000" w:themeColor="text1"/>
      <w:sz w:val="18"/>
      <w:szCs w:val="18"/>
      <w:lang w:eastAsia="en-AU"/>
    </w:rPr>
  </w:style>
  <w:style w:type="paragraph" w:styleId="ListParagraph">
    <w:name w:val="List Paragraph"/>
    <w:basedOn w:val="Normal"/>
    <w:link w:val="ListParagraphChar"/>
    <w:uiPriority w:val="34"/>
    <w:qFormat/>
    <w:rsid w:val="008A55FD"/>
    <w:pPr>
      <w:spacing w:after="0" w:line="240" w:lineRule="auto"/>
      <w:ind w:left="720"/>
      <w:contextualSpacing/>
    </w:pPr>
    <w:rPr>
      <w:rFonts w:eastAsiaTheme="minorEastAsia" w:cs="Times New Roman"/>
      <w:sz w:val="24"/>
      <w:szCs w:val="24"/>
      <w:lang w:eastAsia="en-AU"/>
    </w:rPr>
  </w:style>
  <w:style w:type="character" w:customStyle="1" w:styleId="ListParagraphChar">
    <w:name w:val="List Paragraph Char"/>
    <w:basedOn w:val="DefaultParagraphFont"/>
    <w:link w:val="ListParagraph"/>
    <w:uiPriority w:val="34"/>
    <w:locked/>
    <w:rsid w:val="008A55FD"/>
    <w:rPr>
      <w:rFonts w:eastAsiaTheme="minorEastAsia" w:cs="Times New Roman"/>
      <w:sz w:val="24"/>
      <w:szCs w:val="24"/>
      <w:lang w:eastAsia="en-AU"/>
    </w:rPr>
  </w:style>
  <w:style w:type="character" w:customStyle="1" w:styleId="Heading2Char">
    <w:name w:val="Heading 2 Char"/>
    <w:basedOn w:val="DefaultParagraphFont"/>
    <w:link w:val="Heading2"/>
    <w:uiPriority w:val="9"/>
    <w:rsid w:val="00AA1CD5"/>
    <w:rPr>
      <w:rFonts w:ascii="Calibri" w:eastAsiaTheme="minorEastAsia" w:hAnsi="Calibri" w:cs="Times New Roman"/>
      <w:color w:val="005782"/>
      <w:sz w:val="30"/>
      <w:szCs w:val="30"/>
      <w:lang w:eastAsia="en-AU"/>
    </w:rPr>
  </w:style>
  <w:style w:type="character" w:customStyle="1" w:styleId="Heading1Char">
    <w:name w:val="Heading 1 Char"/>
    <w:basedOn w:val="DefaultParagraphFont"/>
    <w:link w:val="Heading1"/>
    <w:uiPriority w:val="9"/>
    <w:rsid w:val="00A92064"/>
    <w:rPr>
      <w:rFonts w:asciiTheme="majorHAnsi" w:eastAsiaTheme="majorEastAsia" w:hAnsiTheme="majorHAnsi" w:cstheme="majorBidi"/>
      <w:b/>
      <w:bCs/>
      <w:color w:val="365F91" w:themeColor="accent1" w:themeShade="BF"/>
      <w:sz w:val="28"/>
      <w:szCs w:val="28"/>
    </w:rPr>
  </w:style>
  <w:style w:type="paragraph" w:customStyle="1" w:styleId="DefinitionHeadings">
    <w:name w:val="Definition Headings"/>
    <w:qFormat/>
    <w:rsid w:val="00A92064"/>
    <w:pPr>
      <w:spacing w:before="40" w:after="40" w:line="240" w:lineRule="auto"/>
    </w:pPr>
    <w:rPr>
      <w:rFonts w:ascii="Arial" w:eastAsiaTheme="minorEastAsia" w:hAnsi="Arial" w:cs="Arial"/>
      <w:b/>
      <w:bCs/>
      <w:color w:val="000000" w:themeColor="text1"/>
      <w:sz w:val="18"/>
      <w:szCs w:val="18"/>
      <w:lang w:eastAsia="en-AU"/>
    </w:rPr>
  </w:style>
  <w:style w:type="paragraph" w:customStyle="1" w:styleId="ActHead5">
    <w:name w:val="ActHead 5"/>
    <w:aliases w:val="s"/>
    <w:basedOn w:val="Normal"/>
    <w:next w:val="Normal"/>
    <w:rsid w:val="00A92064"/>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eastAsia="en-AU"/>
    </w:rPr>
  </w:style>
  <w:style w:type="paragraph" w:customStyle="1" w:styleId="paragraph">
    <w:name w:val="paragraph"/>
    <w:aliases w:val="a"/>
    <w:rsid w:val="00A92064"/>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ColorfulList-Accent11">
    <w:name w:val="Colorful List - Accent 11"/>
    <w:basedOn w:val="Normal"/>
    <w:uiPriority w:val="34"/>
    <w:qFormat/>
    <w:rsid w:val="00A92064"/>
    <w:pPr>
      <w:spacing w:after="0" w:line="240" w:lineRule="auto"/>
      <w:ind w:left="720"/>
      <w:contextualSpacing/>
    </w:pPr>
    <w:rPr>
      <w:rFonts w:ascii="Verdana" w:eastAsia="Calibri" w:hAnsi="Verdana" w:cs="Times New Roman"/>
      <w:sz w:val="20"/>
      <w:szCs w:val="24"/>
    </w:rPr>
  </w:style>
  <w:style w:type="table" w:customStyle="1" w:styleId="TableGrid113">
    <w:name w:val="Table Grid113"/>
    <w:basedOn w:val="TableNormal"/>
    <w:next w:val="TableGrid"/>
    <w:uiPriority w:val="59"/>
    <w:rsid w:val="00A9206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1">
    <w:name w:val="Light Shading - Accent 111"/>
    <w:basedOn w:val="TableNormal"/>
    <w:next w:val="LightShading-Accent1"/>
    <w:uiPriority w:val="60"/>
    <w:rsid w:val="00A920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A92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920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D638BC"/>
    <w:pPr>
      <w:spacing w:after="0" w:line="240" w:lineRule="auto"/>
    </w:pPr>
    <w:rPr>
      <w:rFonts w:eastAsia="Times New Roman"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rtherInformationText">
    <w:name w:val="Further Information Text"/>
    <w:basedOn w:val="Normal"/>
    <w:qFormat/>
    <w:rsid w:val="00684F02"/>
    <w:pPr>
      <w:spacing w:before="40" w:after="40" w:line="240" w:lineRule="auto"/>
    </w:pPr>
    <w:rPr>
      <w:rFonts w:ascii="Arial" w:eastAsiaTheme="minorEastAsia" w:hAnsi="Arial" w:cs="Arial"/>
      <w:color w:val="000000" w:themeColor="text1"/>
      <w:sz w:val="20"/>
      <w:szCs w:val="20"/>
      <w:lang w:eastAsia="en-AU"/>
    </w:rPr>
  </w:style>
  <w:style w:type="paragraph" w:customStyle="1" w:styleId="Subscript">
    <w:name w:val="Subscript"/>
    <w:link w:val="SubscriptChar"/>
    <w:qFormat/>
    <w:rsid w:val="00684F02"/>
    <w:pPr>
      <w:spacing w:after="0" w:line="240" w:lineRule="auto"/>
    </w:pPr>
    <w:rPr>
      <w:rFonts w:ascii="Arial" w:eastAsiaTheme="minorEastAsia" w:hAnsi="Arial" w:cs="Times New Roman"/>
      <w:color w:val="000000" w:themeColor="text1"/>
      <w:sz w:val="20"/>
      <w:szCs w:val="32"/>
      <w:vertAlign w:val="superscript"/>
      <w:lang w:eastAsia="en-AU"/>
    </w:rPr>
  </w:style>
  <w:style w:type="character" w:customStyle="1" w:styleId="SubscriptChar">
    <w:name w:val="Subscript Char"/>
    <w:basedOn w:val="DefaultParagraphFont"/>
    <w:link w:val="Subscript"/>
    <w:rsid w:val="00684F02"/>
    <w:rPr>
      <w:rFonts w:ascii="Arial" w:eastAsiaTheme="minorEastAsia" w:hAnsi="Arial" w:cs="Times New Roman"/>
      <w:color w:val="000000" w:themeColor="text1"/>
      <w:sz w:val="20"/>
      <w:szCs w:val="32"/>
      <w:vertAlign w:val="superscript"/>
      <w:lang w:eastAsia="en-AU"/>
    </w:rPr>
  </w:style>
  <w:style w:type="character" w:styleId="Hyperlink">
    <w:name w:val="Hyperlink"/>
    <w:basedOn w:val="DefaultParagraphFont"/>
    <w:uiPriority w:val="99"/>
    <w:unhideWhenUsed/>
    <w:rsid w:val="00C672A0"/>
    <w:rPr>
      <w:color w:val="0000FF" w:themeColor="hyperlink"/>
      <w:u w:val="single"/>
    </w:rPr>
  </w:style>
  <w:style w:type="character" w:styleId="FollowedHyperlink">
    <w:name w:val="FollowedHyperlink"/>
    <w:basedOn w:val="DefaultParagraphFont"/>
    <w:uiPriority w:val="99"/>
    <w:semiHidden/>
    <w:unhideWhenUsed/>
    <w:rsid w:val="00C672A0"/>
    <w:rPr>
      <w:color w:val="800080" w:themeColor="followedHyperlink"/>
      <w:u w:val="single"/>
    </w:rPr>
  </w:style>
  <w:style w:type="character" w:styleId="CommentReference">
    <w:name w:val="annotation reference"/>
    <w:basedOn w:val="DefaultParagraphFont"/>
    <w:uiPriority w:val="99"/>
    <w:semiHidden/>
    <w:unhideWhenUsed/>
    <w:rsid w:val="00822AB7"/>
    <w:rPr>
      <w:sz w:val="16"/>
      <w:szCs w:val="16"/>
    </w:rPr>
  </w:style>
  <w:style w:type="paragraph" w:styleId="CommentText">
    <w:name w:val="annotation text"/>
    <w:basedOn w:val="Normal"/>
    <w:link w:val="CommentTextChar"/>
    <w:uiPriority w:val="99"/>
    <w:semiHidden/>
    <w:unhideWhenUsed/>
    <w:rsid w:val="00822AB7"/>
    <w:pPr>
      <w:spacing w:line="240" w:lineRule="auto"/>
    </w:pPr>
    <w:rPr>
      <w:sz w:val="20"/>
      <w:szCs w:val="20"/>
    </w:rPr>
  </w:style>
  <w:style w:type="character" w:customStyle="1" w:styleId="CommentTextChar">
    <w:name w:val="Comment Text Char"/>
    <w:basedOn w:val="DefaultParagraphFont"/>
    <w:link w:val="CommentText"/>
    <w:uiPriority w:val="99"/>
    <w:semiHidden/>
    <w:rsid w:val="00822AB7"/>
    <w:rPr>
      <w:sz w:val="20"/>
      <w:szCs w:val="20"/>
    </w:rPr>
  </w:style>
  <w:style w:type="paragraph" w:styleId="CommentSubject">
    <w:name w:val="annotation subject"/>
    <w:basedOn w:val="CommentText"/>
    <w:next w:val="CommentText"/>
    <w:link w:val="CommentSubjectChar"/>
    <w:uiPriority w:val="99"/>
    <w:semiHidden/>
    <w:unhideWhenUsed/>
    <w:rsid w:val="00822AB7"/>
    <w:rPr>
      <w:b/>
      <w:bCs/>
    </w:rPr>
  </w:style>
  <w:style w:type="character" w:customStyle="1" w:styleId="CommentSubjectChar">
    <w:name w:val="Comment Subject Char"/>
    <w:basedOn w:val="CommentTextChar"/>
    <w:link w:val="CommentSubject"/>
    <w:uiPriority w:val="99"/>
    <w:semiHidden/>
    <w:rsid w:val="00822AB7"/>
    <w:rPr>
      <w:b/>
      <w:bCs/>
      <w:sz w:val="20"/>
      <w:szCs w:val="20"/>
    </w:rPr>
  </w:style>
  <w:style w:type="paragraph" w:styleId="Revision">
    <w:name w:val="Revision"/>
    <w:hidden/>
    <w:uiPriority w:val="99"/>
    <w:semiHidden/>
    <w:rsid w:val="00822AB7"/>
    <w:pPr>
      <w:spacing w:after="0" w:line="240" w:lineRule="auto"/>
    </w:pPr>
  </w:style>
  <w:style w:type="paragraph" w:styleId="FootnoteText">
    <w:name w:val="footnote text"/>
    <w:basedOn w:val="Normal"/>
    <w:link w:val="FootnoteTextChar"/>
    <w:uiPriority w:val="99"/>
    <w:semiHidden/>
    <w:unhideWhenUsed/>
    <w:rsid w:val="006D1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12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brmpa.gov.au/__data/assets/pdf_file/0011/248987/Permission-system-policy.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gov.au/Details/F2005B0240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ccc4631-9afc-4718-b120-5e2e37a03cc7">PROJ-1236820714-33</_dlc_DocId>
    <_dlc_DocIdUrl xmlns="8ccc4631-9afc-4718-b120-5e2e37a03cc7">
      <Url>http://thedock.gbrmpa.gov.au/sites/Projects/P000057/_layouts/DocIdRedir.aspx?ID=PROJ-1236820714-33</Url>
      <Description>PROJ-1236820714-33</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BRMPA Document" ma:contentTypeID="0x010100441936E5D27A4AF2935B3316DA024CF200EDCC1C2BB7DA4D4FA10CE6ADA80892CF" ma:contentTypeVersion="9" ma:contentTypeDescription="" ma:contentTypeScope="" ma:versionID="6aece36cf68f886a6941d6caf02e7688">
  <xsd:schema xmlns:xsd="http://www.w3.org/2001/XMLSchema" xmlns:xs="http://www.w3.org/2001/XMLSchema" xmlns:p="http://schemas.microsoft.com/office/2006/metadata/properties" xmlns:ns2="8ccc4631-9afc-4718-b120-5e2e37a03cc7" xmlns:ns4="http://schemas.microsoft.com/sharepoint/v4" targetNamespace="http://schemas.microsoft.com/office/2006/metadata/properties" ma:root="true" ma:fieldsID="5c09785fcf954600ddb3b50bf68a83fb" ns2:_="" ns4:_="">
    <xsd:import namespace="8ccc4631-9afc-4718-b120-5e2e37a03c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c4631-9afc-4718-b120-5e2e37a03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37890F-9D39-4EFB-8D62-59BA860D05BB}">
  <ds:schemaRefs>
    <ds:schemaRef ds:uri="http://schemas.microsoft.com/sharepoint/v3/contenttype/forms"/>
  </ds:schemaRefs>
</ds:datastoreItem>
</file>

<file path=customXml/itemProps2.xml><?xml version="1.0" encoding="utf-8"?>
<ds:datastoreItem xmlns:ds="http://schemas.openxmlformats.org/officeDocument/2006/customXml" ds:itemID="{C625E396-737F-4DF1-838C-FC9431036958}">
  <ds:schemaRefs>
    <ds:schemaRef ds:uri="http://schemas.microsoft.com/sharepoint/events"/>
  </ds:schemaRefs>
</ds:datastoreItem>
</file>

<file path=customXml/itemProps3.xml><?xml version="1.0" encoding="utf-8"?>
<ds:datastoreItem xmlns:ds="http://schemas.openxmlformats.org/officeDocument/2006/customXml" ds:itemID="{70838A55-62AC-42B9-B436-659038439BB1}">
  <ds:schemaRefs>
    <ds:schemaRef ds:uri="http://schemas.microsoft.com/office/2006/metadata/properties"/>
    <ds:schemaRef ds:uri="http://schemas.microsoft.com/office/infopath/2007/PartnerControls"/>
    <ds:schemaRef ds:uri="8ccc4631-9afc-4718-b120-5e2e37a03cc7"/>
    <ds:schemaRef ds:uri="http://schemas.microsoft.com/sharepoint/v4"/>
  </ds:schemaRefs>
</ds:datastoreItem>
</file>

<file path=customXml/itemProps4.xml><?xml version="1.0" encoding="utf-8"?>
<ds:datastoreItem xmlns:ds="http://schemas.openxmlformats.org/officeDocument/2006/customXml" ds:itemID="{C28B0541-59DE-443A-A014-32DC7CEFC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c4631-9afc-4718-b120-5e2e37a03c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F90DCF-F77D-4471-AE12-328C83AB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Case study - Permission-system</vt:lpstr>
    </vt:vector>
  </TitlesOfParts>
  <Company>GBRMPA</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Permission-system</dc:title>
  <dc:creator>Kirstin Dobbs</dc:creator>
  <cp:lastModifiedBy>Joanna Ruxton</cp:lastModifiedBy>
  <cp:revision>2</cp:revision>
  <cp:lastPrinted>2017-06-22T00:31:00Z</cp:lastPrinted>
  <dcterms:created xsi:type="dcterms:W3CDTF">2017-06-22T03:15:00Z</dcterms:created>
  <dcterms:modified xsi:type="dcterms:W3CDTF">2017-06-22T03:15:00Z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0x010100441936E5D27A4AF2935B3316DA024CF200EDCC1C2BB7DA4D4FA10CE6ADA80892CF</vt:lpwstr>
  </property>
  <property fmtid="{D5CDD505-2E9C-101B-9397-08002B2CF9AE}" pid="3" name="_dlc_DocIdItemGuid">
    <vt:lpwstr>164d7ffd-c318-4711-a152-64872c7c9f43</vt:lpwstr>
  </property>
  <property fmtid="{D5CDD505-2E9C-101B-9397-08002B2CF9AE}" pid="4" name="Order">
    <vt:r8>12500</vt:r8>
  </property>
  <property fmtid="{D5CDD505-2E9C-101B-9397-08002B2CF9AE}" pid="5" name="RecordPoint_WorkflowType">
    <vt:lpwstr>ActiveSubmit</vt:lpwstr>
  </property>
  <property fmtid="{D5CDD505-2E9C-101B-9397-08002B2CF9AE}" pid="6" name="RecordPoint_ActiveItemSiteId">
    <vt:lpwstr>{8ce9eba2-d4a5-4da0-9276-1d47a92e9210}</vt:lpwstr>
  </property>
  <property fmtid="{D5CDD505-2E9C-101B-9397-08002B2CF9AE}" pid="7" name="RecordPoint_ActiveItemListId">
    <vt:lpwstr>{b5289cac-b36b-464b-ab5b-1b5cb676615c}</vt:lpwstr>
  </property>
  <property fmtid="{D5CDD505-2E9C-101B-9397-08002B2CF9AE}" pid="8" name="RecordPoint_ActiveItemUniqueId">
    <vt:lpwstr>{164d7ffd-c318-4711-a152-64872c7c9f43}</vt:lpwstr>
  </property>
  <property fmtid="{D5CDD505-2E9C-101B-9397-08002B2CF9AE}" pid="9" name="RecordPoint_ActiveItemWebId">
    <vt:lpwstr>{1ab2dadf-f831-4467-aa70-d2a55710fc8f}</vt:lpwstr>
  </property>
  <property fmtid="{D5CDD505-2E9C-101B-9397-08002B2CF9AE}" pid="10" name="RecordPoint_RecordNumberSubmitted">
    <vt:lpwstr>R0000340636</vt:lpwstr>
  </property>
  <property fmtid="{D5CDD505-2E9C-101B-9397-08002B2CF9AE}" pid="11" name="RecordPoint_SubmissionCompleted">
    <vt:lpwstr>2017-03-07T15:46:05.3097178+10:00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