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8E0AE" w14:textId="471670F9" w:rsidR="002D5D1F" w:rsidRDefault="0053529E" w:rsidP="002D5D1F">
      <w:pPr>
        <w:jc w:val="center"/>
        <w:rPr>
          <w:rFonts w:ascii="Arial" w:hAnsi="Arial" w:cs="Arial"/>
          <w:b/>
          <w:sz w:val="28"/>
        </w:rPr>
      </w:pPr>
      <w:bookmarkStart w:id="0" w:name="_GoBack"/>
      <w:bookmarkEnd w:id="0"/>
      <w:r w:rsidRPr="002D5D1F">
        <w:rPr>
          <w:rFonts w:ascii="Arial" w:hAnsi="Arial" w:cs="Arial"/>
          <w:b/>
          <w:sz w:val="28"/>
        </w:rPr>
        <w:t>Great Bar</w:t>
      </w:r>
      <w:r w:rsidR="002545C7">
        <w:rPr>
          <w:rFonts w:ascii="Arial" w:hAnsi="Arial" w:cs="Arial"/>
          <w:b/>
          <w:sz w:val="28"/>
        </w:rPr>
        <w:t>rier Reef Marine Park Authority</w:t>
      </w:r>
      <w:r w:rsidRPr="002D5D1F">
        <w:rPr>
          <w:rFonts w:ascii="Arial" w:hAnsi="Arial" w:cs="Arial"/>
          <w:b/>
          <w:sz w:val="28"/>
        </w:rPr>
        <w:br/>
        <w:t>Regulator Performance Framework Self-assessment 2015-16</w:t>
      </w:r>
    </w:p>
    <w:p w14:paraId="6F2CA67D" w14:textId="77777777" w:rsidR="002D5D1F" w:rsidRPr="002D5D1F" w:rsidRDefault="002D5D1F" w:rsidP="002D5D1F">
      <w:pPr>
        <w:jc w:val="center"/>
        <w:rPr>
          <w:rFonts w:ascii="Arial" w:hAnsi="Arial" w:cs="Arial"/>
          <w:b/>
          <w:sz w:val="28"/>
        </w:rPr>
      </w:pPr>
    </w:p>
    <w:sdt>
      <w:sdtPr>
        <w:rPr>
          <w:rFonts w:asciiTheme="minorHAnsi" w:eastAsiaTheme="minorHAnsi" w:hAnsiTheme="minorHAnsi" w:cstheme="minorBidi"/>
          <w:b w:val="0"/>
          <w:bCs w:val="0"/>
          <w:color w:val="auto"/>
          <w:sz w:val="22"/>
          <w:szCs w:val="22"/>
          <w:lang w:val="en-AU" w:eastAsia="en-US"/>
        </w:rPr>
        <w:id w:val="-550540685"/>
        <w:docPartObj>
          <w:docPartGallery w:val="Table of Contents"/>
          <w:docPartUnique/>
        </w:docPartObj>
      </w:sdtPr>
      <w:sdtEndPr>
        <w:rPr>
          <w:noProof/>
        </w:rPr>
      </w:sdtEndPr>
      <w:sdtContent>
        <w:p w14:paraId="3BE9A36A" w14:textId="784731EB" w:rsidR="00D55813" w:rsidRPr="00D55813" w:rsidRDefault="00D55813">
          <w:pPr>
            <w:pStyle w:val="TOCHeading"/>
            <w:rPr>
              <w:rFonts w:ascii="Arial" w:hAnsi="Arial" w:cs="Arial"/>
            </w:rPr>
          </w:pPr>
          <w:r w:rsidRPr="00D55813">
            <w:rPr>
              <w:rFonts w:ascii="Arial" w:hAnsi="Arial" w:cs="Arial"/>
            </w:rPr>
            <w:t>CONTENTS</w:t>
          </w:r>
        </w:p>
        <w:p w14:paraId="4DE3F231" w14:textId="77777777" w:rsidR="000870FC" w:rsidRPr="00323C83" w:rsidRDefault="00D55813" w:rsidP="00323C83">
          <w:pPr>
            <w:pStyle w:val="TOC2"/>
            <w:rPr>
              <w:rFonts w:eastAsiaTheme="minorEastAsia"/>
              <w:noProof/>
              <w:lang w:eastAsia="en-AU"/>
            </w:rPr>
          </w:pPr>
          <w:r w:rsidRPr="00323C83">
            <w:fldChar w:fldCharType="begin"/>
          </w:r>
          <w:r w:rsidRPr="00323C83">
            <w:instrText xml:space="preserve"> TOC \o "1-3" \h \z \u </w:instrText>
          </w:r>
          <w:r w:rsidRPr="00323C83">
            <w:fldChar w:fldCharType="separate"/>
          </w:r>
          <w:hyperlink w:anchor="_Toc474753094" w:history="1">
            <w:r w:rsidR="000870FC" w:rsidRPr="00323C83">
              <w:rPr>
                <w:rStyle w:val="Hyperlink"/>
                <w:rFonts w:cs="Arial"/>
                <w:noProof/>
              </w:rPr>
              <w:t>1.</w:t>
            </w:r>
            <w:r w:rsidR="000870FC" w:rsidRPr="00323C83">
              <w:rPr>
                <w:rFonts w:eastAsiaTheme="minorEastAsia"/>
                <w:noProof/>
                <w:lang w:eastAsia="en-AU"/>
              </w:rPr>
              <w:tab/>
            </w:r>
            <w:r w:rsidR="000870FC" w:rsidRPr="00323C83">
              <w:rPr>
                <w:rStyle w:val="Hyperlink"/>
                <w:rFonts w:cs="Arial"/>
                <w:noProof/>
              </w:rPr>
              <w:t>AUSTRALIAN GOVERNMENT REGULATOR PERFORMANCE FRAMEWORK</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_Toc474753094 \h </w:instrText>
            </w:r>
            <w:r w:rsidR="000870FC" w:rsidRPr="00323C83">
              <w:rPr>
                <w:noProof/>
                <w:webHidden/>
              </w:rPr>
            </w:r>
            <w:r w:rsidR="000870FC" w:rsidRPr="00323C83">
              <w:rPr>
                <w:noProof/>
                <w:webHidden/>
              </w:rPr>
              <w:fldChar w:fldCharType="separate"/>
            </w:r>
            <w:r w:rsidR="000870FC" w:rsidRPr="00323C83">
              <w:rPr>
                <w:noProof/>
                <w:webHidden/>
              </w:rPr>
              <w:t>2</w:t>
            </w:r>
            <w:r w:rsidR="000870FC" w:rsidRPr="00323C83">
              <w:rPr>
                <w:noProof/>
                <w:webHidden/>
              </w:rPr>
              <w:fldChar w:fldCharType="end"/>
            </w:r>
          </w:hyperlink>
        </w:p>
        <w:p w14:paraId="3CCF2AA0" w14:textId="3A004D54" w:rsidR="000870FC" w:rsidRPr="00323C83" w:rsidRDefault="00B82FE0" w:rsidP="00323C83">
          <w:pPr>
            <w:pStyle w:val="TOC2"/>
            <w:rPr>
              <w:rFonts w:eastAsiaTheme="minorEastAsia"/>
              <w:noProof/>
              <w:lang w:eastAsia="en-AU"/>
            </w:rPr>
          </w:pPr>
          <w:hyperlink w:anchor="_Toc474753095" w:history="1">
            <w:r w:rsidR="000870FC" w:rsidRPr="00323C83">
              <w:rPr>
                <w:rStyle w:val="Hyperlink"/>
                <w:rFonts w:cs="Arial"/>
                <w:noProof/>
              </w:rPr>
              <w:t>2.</w:t>
            </w:r>
            <w:r w:rsidR="000870FC" w:rsidRPr="00323C83">
              <w:rPr>
                <w:rFonts w:eastAsiaTheme="minorEastAsia"/>
                <w:noProof/>
                <w:lang w:eastAsia="en-AU"/>
              </w:rPr>
              <w:tab/>
            </w:r>
            <w:r w:rsidR="000870FC" w:rsidRPr="00323C83">
              <w:rPr>
                <w:rStyle w:val="Hyperlink"/>
                <w:rFonts w:cs="Arial"/>
                <w:noProof/>
              </w:rPr>
              <w:t>GREAT BARRIER REEF MARINE PARK AUTHORITY</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_Toc474753095 \h </w:instrText>
            </w:r>
            <w:r w:rsidR="000870FC" w:rsidRPr="00323C83">
              <w:rPr>
                <w:noProof/>
                <w:webHidden/>
              </w:rPr>
            </w:r>
            <w:r w:rsidR="000870FC" w:rsidRPr="00323C83">
              <w:rPr>
                <w:noProof/>
                <w:webHidden/>
              </w:rPr>
              <w:fldChar w:fldCharType="separate"/>
            </w:r>
            <w:r w:rsidR="000870FC" w:rsidRPr="00323C83">
              <w:rPr>
                <w:noProof/>
                <w:webHidden/>
              </w:rPr>
              <w:t>2</w:t>
            </w:r>
            <w:r w:rsidR="000870FC" w:rsidRPr="00323C83">
              <w:rPr>
                <w:noProof/>
                <w:webHidden/>
              </w:rPr>
              <w:fldChar w:fldCharType="end"/>
            </w:r>
          </w:hyperlink>
        </w:p>
        <w:p w14:paraId="72A31A62" w14:textId="77777777" w:rsidR="000870FC" w:rsidRPr="00323C83" w:rsidRDefault="00B82FE0" w:rsidP="00323C83">
          <w:pPr>
            <w:pStyle w:val="TOC2"/>
            <w:rPr>
              <w:rFonts w:eastAsiaTheme="minorEastAsia"/>
              <w:noProof/>
              <w:lang w:eastAsia="en-AU"/>
            </w:rPr>
          </w:pPr>
          <w:hyperlink w:anchor="_Toc474753096" w:history="1">
            <w:r w:rsidR="000870FC" w:rsidRPr="00323C83">
              <w:rPr>
                <w:rStyle w:val="Hyperlink"/>
                <w:rFonts w:cs="Arial"/>
                <w:noProof/>
              </w:rPr>
              <w:t>2.1.</w:t>
            </w:r>
            <w:r w:rsidR="000870FC" w:rsidRPr="00323C83">
              <w:rPr>
                <w:rFonts w:eastAsiaTheme="minorEastAsia"/>
                <w:noProof/>
                <w:lang w:eastAsia="en-AU"/>
              </w:rPr>
              <w:tab/>
            </w:r>
            <w:r w:rsidR="000870FC" w:rsidRPr="00323C83">
              <w:rPr>
                <w:rStyle w:val="Hyperlink"/>
                <w:rFonts w:cs="Arial"/>
                <w:noProof/>
              </w:rPr>
              <w:t>Great Barrier Reef Marine Park Act 1975</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_Toc474753096 \h </w:instrText>
            </w:r>
            <w:r w:rsidR="000870FC" w:rsidRPr="00323C83">
              <w:rPr>
                <w:noProof/>
                <w:webHidden/>
              </w:rPr>
            </w:r>
            <w:r w:rsidR="000870FC" w:rsidRPr="00323C83">
              <w:rPr>
                <w:noProof/>
                <w:webHidden/>
              </w:rPr>
              <w:fldChar w:fldCharType="separate"/>
            </w:r>
            <w:r w:rsidR="000870FC" w:rsidRPr="00323C83">
              <w:rPr>
                <w:noProof/>
                <w:webHidden/>
              </w:rPr>
              <w:t>2</w:t>
            </w:r>
            <w:r w:rsidR="000870FC" w:rsidRPr="00323C83">
              <w:rPr>
                <w:noProof/>
                <w:webHidden/>
              </w:rPr>
              <w:fldChar w:fldCharType="end"/>
            </w:r>
          </w:hyperlink>
        </w:p>
        <w:p w14:paraId="76380EC5" w14:textId="77777777" w:rsidR="000870FC" w:rsidRPr="00323C83" w:rsidRDefault="00B82FE0" w:rsidP="00323C83">
          <w:pPr>
            <w:pStyle w:val="TOC2"/>
            <w:rPr>
              <w:rFonts w:eastAsiaTheme="minorEastAsia"/>
              <w:noProof/>
              <w:lang w:eastAsia="en-AU"/>
            </w:rPr>
          </w:pPr>
          <w:hyperlink w:anchor="_Toc474753097" w:history="1">
            <w:r w:rsidR="000870FC" w:rsidRPr="00323C83">
              <w:rPr>
                <w:rStyle w:val="Hyperlink"/>
                <w:rFonts w:cs="Arial"/>
                <w:noProof/>
              </w:rPr>
              <w:t>2.2.</w:t>
            </w:r>
            <w:r w:rsidR="000870FC" w:rsidRPr="00323C83">
              <w:rPr>
                <w:rFonts w:eastAsiaTheme="minorEastAsia"/>
                <w:noProof/>
                <w:lang w:eastAsia="en-AU"/>
              </w:rPr>
              <w:tab/>
            </w:r>
            <w:r w:rsidR="000870FC" w:rsidRPr="00323C83">
              <w:rPr>
                <w:rStyle w:val="Hyperlink"/>
                <w:rFonts w:cs="Arial"/>
                <w:noProof/>
              </w:rPr>
              <w:t xml:space="preserve">Management tool </w:t>
            </w:r>
            <w:r w:rsidR="000870FC" w:rsidRPr="00323C83">
              <w:rPr>
                <w:rFonts w:eastAsiaTheme="minorEastAsia"/>
                <w:lang w:eastAsia="en-AU"/>
              </w:rPr>
              <w:t>types</w:t>
            </w:r>
            <w:r w:rsidR="000870FC" w:rsidRPr="00323C83">
              <w:rPr>
                <w:rStyle w:val="Hyperlink"/>
                <w:rFonts w:cs="Arial"/>
                <w:noProof/>
              </w:rPr>
              <w:t>, purpose and consideration in the self-assessment.</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_Toc474753097 \h </w:instrText>
            </w:r>
            <w:r w:rsidR="000870FC" w:rsidRPr="00323C83">
              <w:rPr>
                <w:noProof/>
                <w:webHidden/>
              </w:rPr>
            </w:r>
            <w:r w:rsidR="000870FC" w:rsidRPr="00323C83">
              <w:rPr>
                <w:noProof/>
                <w:webHidden/>
              </w:rPr>
              <w:fldChar w:fldCharType="separate"/>
            </w:r>
            <w:r w:rsidR="000870FC" w:rsidRPr="00323C83">
              <w:rPr>
                <w:noProof/>
                <w:webHidden/>
              </w:rPr>
              <w:t>4</w:t>
            </w:r>
            <w:r w:rsidR="000870FC" w:rsidRPr="00323C83">
              <w:rPr>
                <w:noProof/>
                <w:webHidden/>
              </w:rPr>
              <w:fldChar w:fldCharType="end"/>
            </w:r>
          </w:hyperlink>
        </w:p>
        <w:p w14:paraId="5F9B8E6E" w14:textId="77777777" w:rsidR="000870FC" w:rsidRPr="00323C83" w:rsidRDefault="00B82FE0" w:rsidP="00323C83">
          <w:pPr>
            <w:pStyle w:val="TOC2"/>
            <w:rPr>
              <w:rFonts w:eastAsiaTheme="minorEastAsia"/>
              <w:noProof/>
              <w:lang w:eastAsia="en-AU"/>
            </w:rPr>
          </w:pPr>
          <w:hyperlink w:anchor="_Toc474753098" w:history="1">
            <w:r w:rsidR="000870FC" w:rsidRPr="00323C83">
              <w:rPr>
                <w:rStyle w:val="Hyperlink"/>
                <w:rFonts w:cs="Arial"/>
                <w:noProof/>
              </w:rPr>
              <w:t>2.3.</w:t>
            </w:r>
            <w:r w:rsidR="000870FC" w:rsidRPr="00323C83">
              <w:rPr>
                <w:rFonts w:eastAsiaTheme="minorEastAsia"/>
                <w:noProof/>
                <w:lang w:eastAsia="en-AU"/>
              </w:rPr>
              <w:tab/>
            </w:r>
            <w:r w:rsidR="000870FC" w:rsidRPr="00323C83">
              <w:rPr>
                <w:rStyle w:val="Hyperlink"/>
                <w:rFonts w:cs="Arial"/>
                <w:noProof/>
              </w:rPr>
              <w:t xml:space="preserve">Environment </w:t>
            </w:r>
            <w:r w:rsidR="000870FC" w:rsidRPr="00323C83">
              <w:rPr>
                <w:rFonts w:eastAsiaTheme="minorEastAsia"/>
                <w:lang w:eastAsia="en-AU"/>
              </w:rPr>
              <w:t>Protection</w:t>
            </w:r>
            <w:r w:rsidR="000870FC" w:rsidRPr="00323C83">
              <w:rPr>
                <w:rStyle w:val="Hyperlink"/>
                <w:rFonts w:cs="Arial"/>
                <w:noProof/>
              </w:rPr>
              <w:t xml:space="preserve"> (Sea Dumping) Act 1981</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_Toc474753098 \h </w:instrText>
            </w:r>
            <w:r w:rsidR="000870FC" w:rsidRPr="00323C83">
              <w:rPr>
                <w:noProof/>
                <w:webHidden/>
              </w:rPr>
            </w:r>
            <w:r w:rsidR="000870FC" w:rsidRPr="00323C83">
              <w:rPr>
                <w:noProof/>
                <w:webHidden/>
              </w:rPr>
              <w:fldChar w:fldCharType="separate"/>
            </w:r>
            <w:r w:rsidR="000870FC" w:rsidRPr="00323C83">
              <w:rPr>
                <w:noProof/>
                <w:webHidden/>
              </w:rPr>
              <w:t>5</w:t>
            </w:r>
            <w:r w:rsidR="000870FC" w:rsidRPr="00323C83">
              <w:rPr>
                <w:noProof/>
                <w:webHidden/>
              </w:rPr>
              <w:fldChar w:fldCharType="end"/>
            </w:r>
          </w:hyperlink>
        </w:p>
        <w:p w14:paraId="6DB3FD55" w14:textId="77777777" w:rsidR="000870FC" w:rsidRPr="00323C83" w:rsidRDefault="00B82FE0" w:rsidP="00323C83">
          <w:pPr>
            <w:pStyle w:val="TOC2"/>
            <w:rPr>
              <w:rFonts w:eastAsiaTheme="minorEastAsia"/>
              <w:noProof/>
              <w:lang w:eastAsia="en-AU"/>
            </w:rPr>
          </w:pPr>
          <w:hyperlink w:anchor="_Toc474753099" w:history="1">
            <w:r w:rsidR="000870FC" w:rsidRPr="00323C83">
              <w:rPr>
                <w:rStyle w:val="Hyperlink"/>
                <w:rFonts w:cs="Arial"/>
                <w:noProof/>
              </w:rPr>
              <w:t>3.</w:t>
            </w:r>
            <w:r w:rsidR="000870FC" w:rsidRPr="00323C83">
              <w:rPr>
                <w:rFonts w:eastAsiaTheme="minorEastAsia"/>
                <w:noProof/>
                <w:lang w:eastAsia="en-AU"/>
              </w:rPr>
              <w:tab/>
            </w:r>
            <w:r w:rsidR="000870FC" w:rsidRPr="00323C83">
              <w:rPr>
                <w:rStyle w:val="Hyperlink"/>
                <w:rFonts w:cs="Arial"/>
                <w:noProof/>
              </w:rPr>
              <w:t>OUTCOMES OF RECENT REVIEWS</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_Toc474753099 \h </w:instrText>
            </w:r>
            <w:r w:rsidR="000870FC" w:rsidRPr="00323C83">
              <w:rPr>
                <w:noProof/>
                <w:webHidden/>
              </w:rPr>
            </w:r>
            <w:r w:rsidR="000870FC" w:rsidRPr="00323C83">
              <w:rPr>
                <w:noProof/>
                <w:webHidden/>
              </w:rPr>
              <w:fldChar w:fldCharType="separate"/>
            </w:r>
            <w:r w:rsidR="000870FC" w:rsidRPr="00323C83">
              <w:rPr>
                <w:noProof/>
                <w:webHidden/>
              </w:rPr>
              <w:t>6</w:t>
            </w:r>
            <w:r w:rsidR="000870FC" w:rsidRPr="00323C83">
              <w:rPr>
                <w:noProof/>
                <w:webHidden/>
              </w:rPr>
              <w:fldChar w:fldCharType="end"/>
            </w:r>
          </w:hyperlink>
        </w:p>
        <w:p w14:paraId="2D0A8AE2" w14:textId="77777777" w:rsidR="000870FC" w:rsidRPr="00323C83" w:rsidRDefault="00B82FE0" w:rsidP="00323C83">
          <w:pPr>
            <w:pStyle w:val="TOC2"/>
            <w:rPr>
              <w:rFonts w:eastAsiaTheme="minorEastAsia"/>
              <w:noProof/>
              <w:lang w:eastAsia="en-AU"/>
            </w:rPr>
          </w:pPr>
          <w:hyperlink w:anchor="_Toc474753100" w:history="1">
            <w:r w:rsidR="000870FC" w:rsidRPr="00323C83">
              <w:rPr>
                <w:rStyle w:val="Hyperlink"/>
                <w:rFonts w:cs="Arial"/>
                <w:noProof/>
              </w:rPr>
              <w:t>3.1.</w:t>
            </w:r>
            <w:r w:rsidR="000870FC" w:rsidRPr="00323C83">
              <w:rPr>
                <w:rFonts w:eastAsiaTheme="minorEastAsia"/>
                <w:noProof/>
                <w:lang w:eastAsia="en-AU"/>
              </w:rPr>
              <w:tab/>
            </w:r>
            <w:r w:rsidR="000870FC" w:rsidRPr="00323C83">
              <w:rPr>
                <w:rStyle w:val="Hyperlink"/>
                <w:rFonts w:cs="Arial"/>
                <w:noProof/>
              </w:rPr>
              <w:t xml:space="preserve">Independent </w:t>
            </w:r>
            <w:r w:rsidR="000870FC" w:rsidRPr="00323C83">
              <w:rPr>
                <w:rFonts w:eastAsiaTheme="minorEastAsia"/>
                <w:lang w:eastAsia="en-AU"/>
              </w:rPr>
              <w:t>Assessment</w:t>
            </w:r>
            <w:r w:rsidR="000870FC" w:rsidRPr="00323C83">
              <w:rPr>
                <w:rStyle w:val="Hyperlink"/>
                <w:rFonts w:cs="Arial"/>
                <w:noProof/>
              </w:rPr>
              <w:t xml:space="preserve"> of Management Effectiveness for the Great Barrier Reef Outlook Report 2014</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_Toc474753100 \h </w:instrText>
            </w:r>
            <w:r w:rsidR="000870FC" w:rsidRPr="00323C83">
              <w:rPr>
                <w:noProof/>
                <w:webHidden/>
              </w:rPr>
            </w:r>
            <w:r w:rsidR="000870FC" w:rsidRPr="00323C83">
              <w:rPr>
                <w:noProof/>
                <w:webHidden/>
              </w:rPr>
              <w:fldChar w:fldCharType="separate"/>
            </w:r>
            <w:r w:rsidR="000870FC" w:rsidRPr="00323C83">
              <w:rPr>
                <w:noProof/>
                <w:webHidden/>
              </w:rPr>
              <w:t>6</w:t>
            </w:r>
            <w:r w:rsidR="000870FC" w:rsidRPr="00323C83">
              <w:rPr>
                <w:noProof/>
                <w:webHidden/>
              </w:rPr>
              <w:fldChar w:fldCharType="end"/>
            </w:r>
          </w:hyperlink>
        </w:p>
        <w:p w14:paraId="087ED440" w14:textId="77777777" w:rsidR="000870FC" w:rsidRPr="00323C83" w:rsidRDefault="00B82FE0" w:rsidP="00323C83">
          <w:pPr>
            <w:pStyle w:val="TOC2"/>
            <w:rPr>
              <w:rFonts w:eastAsiaTheme="minorEastAsia"/>
              <w:noProof/>
              <w:lang w:eastAsia="en-AU"/>
            </w:rPr>
          </w:pPr>
          <w:hyperlink w:anchor="_Toc474753101" w:history="1">
            <w:r w:rsidR="000870FC" w:rsidRPr="00323C83">
              <w:rPr>
                <w:rStyle w:val="Hyperlink"/>
                <w:rFonts w:cs="Arial"/>
                <w:noProof/>
              </w:rPr>
              <w:t>3.2.</w:t>
            </w:r>
            <w:r w:rsidR="000870FC" w:rsidRPr="00323C83">
              <w:rPr>
                <w:rFonts w:eastAsiaTheme="minorEastAsia"/>
                <w:noProof/>
                <w:lang w:eastAsia="en-AU"/>
              </w:rPr>
              <w:tab/>
            </w:r>
            <w:r w:rsidR="000870FC" w:rsidRPr="00323C83">
              <w:rPr>
                <w:rStyle w:val="Hyperlink"/>
                <w:rFonts w:cs="Arial"/>
                <w:noProof/>
              </w:rPr>
              <w:t xml:space="preserve">Independent </w:t>
            </w:r>
            <w:r w:rsidR="000870FC" w:rsidRPr="00323C83">
              <w:rPr>
                <w:rFonts w:eastAsiaTheme="minorEastAsia"/>
                <w:lang w:eastAsia="en-AU"/>
              </w:rPr>
              <w:t>Assessment</w:t>
            </w:r>
            <w:r w:rsidR="000870FC" w:rsidRPr="00323C83">
              <w:rPr>
                <w:rStyle w:val="Hyperlink"/>
                <w:rFonts w:cs="Arial"/>
                <w:noProof/>
              </w:rPr>
              <w:t xml:space="preserve"> of Management Effectiveness for the Strategic Assessment of the Great Barrier Reef Region</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_Toc474753101 \h </w:instrText>
            </w:r>
            <w:r w:rsidR="000870FC" w:rsidRPr="00323C83">
              <w:rPr>
                <w:noProof/>
                <w:webHidden/>
              </w:rPr>
            </w:r>
            <w:r w:rsidR="000870FC" w:rsidRPr="00323C83">
              <w:rPr>
                <w:noProof/>
                <w:webHidden/>
              </w:rPr>
              <w:fldChar w:fldCharType="separate"/>
            </w:r>
            <w:r w:rsidR="000870FC" w:rsidRPr="00323C83">
              <w:rPr>
                <w:noProof/>
                <w:webHidden/>
              </w:rPr>
              <w:t>8</w:t>
            </w:r>
            <w:r w:rsidR="000870FC" w:rsidRPr="00323C83">
              <w:rPr>
                <w:noProof/>
                <w:webHidden/>
              </w:rPr>
              <w:fldChar w:fldCharType="end"/>
            </w:r>
          </w:hyperlink>
        </w:p>
        <w:p w14:paraId="04A14E0E" w14:textId="77777777" w:rsidR="000870FC" w:rsidRPr="00323C83" w:rsidRDefault="00B82FE0" w:rsidP="00323C83">
          <w:pPr>
            <w:pStyle w:val="TOC2"/>
            <w:rPr>
              <w:rFonts w:eastAsiaTheme="minorEastAsia"/>
              <w:noProof/>
              <w:lang w:eastAsia="en-AU"/>
            </w:rPr>
          </w:pPr>
          <w:hyperlink w:anchor="_Toc474753102" w:history="1">
            <w:r w:rsidR="000870FC" w:rsidRPr="00323C83">
              <w:rPr>
                <w:rStyle w:val="Hyperlink"/>
                <w:rFonts w:cs="Arial"/>
                <w:noProof/>
              </w:rPr>
              <w:t>3.3.</w:t>
            </w:r>
            <w:r w:rsidR="000870FC" w:rsidRPr="00323C83">
              <w:rPr>
                <w:rFonts w:eastAsiaTheme="minorEastAsia"/>
                <w:noProof/>
                <w:lang w:eastAsia="en-AU"/>
              </w:rPr>
              <w:tab/>
            </w:r>
            <w:r w:rsidR="000870FC" w:rsidRPr="00323C83">
              <w:rPr>
                <w:rStyle w:val="Hyperlink"/>
                <w:rFonts w:cs="Arial"/>
                <w:noProof/>
              </w:rPr>
              <w:t xml:space="preserve">ANAO </w:t>
            </w:r>
            <w:r w:rsidR="000870FC" w:rsidRPr="00323C83">
              <w:rPr>
                <w:rFonts w:eastAsiaTheme="minorEastAsia"/>
                <w:lang w:eastAsia="en-AU"/>
              </w:rPr>
              <w:t>Report</w:t>
            </w:r>
            <w:r w:rsidR="000870FC" w:rsidRPr="00323C83">
              <w:rPr>
                <w:rStyle w:val="Hyperlink"/>
                <w:rFonts w:cs="Arial"/>
                <w:noProof/>
              </w:rPr>
              <w:t xml:space="preserve"> No. 3 2015-16 – Regulation of Great Barrier Reef Marine Park Permits and Approvals</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_Toc474753102 \h </w:instrText>
            </w:r>
            <w:r w:rsidR="000870FC" w:rsidRPr="00323C83">
              <w:rPr>
                <w:noProof/>
                <w:webHidden/>
              </w:rPr>
            </w:r>
            <w:r w:rsidR="000870FC" w:rsidRPr="00323C83">
              <w:rPr>
                <w:noProof/>
                <w:webHidden/>
              </w:rPr>
              <w:fldChar w:fldCharType="separate"/>
            </w:r>
            <w:r w:rsidR="000870FC" w:rsidRPr="00323C83">
              <w:rPr>
                <w:noProof/>
                <w:webHidden/>
              </w:rPr>
              <w:t>9</w:t>
            </w:r>
            <w:r w:rsidR="000870FC" w:rsidRPr="00323C83">
              <w:rPr>
                <w:noProof/>
                <w:webHidden/>
              </w:rPr>
              <w:fldChar w:fldCharType="end"/>
            </w:r>
          </w:hyperlink>
        </w:p>
        <w:p w14:paraId="3B3C2868" w14:textId="77777777" w:rsidR="000870FC" w:rsidRPr="00323C83" w:rsidRDefault="00B82FE0" w:rsidP="00323C83">
          <w:pPr>
            <w:pStyle w:val="TOC2"/>
            <w:rPr>
              <w:rFonts w:eastAsiaTheme="minorEastAsia"/>
              <w:noProof/>
              <w:lang w:eastAsia="en-AU"/>
            </w:rPr>
          </w:pPr>
          <w:hyperlink w:anchor="_Toc474753103" w:history="1">
            <w:r w:rsidR="000870FC" w:rsidRPr="00323C83">
              <w:rPr>
                <w:rStyle w:val="Hyperlink"/>
                <w:rFonts w:cs="Arial"/>
                <w:noProof/>
              </w:rPr>
              <w:t>3.4.</w:t>
            </w:r>
            <w:r w:rsidR="000870FC" w:rsidRPr="00323C83">
              <w:rPr>
                <w:rFonts w:eastAsiaTheme="minorEastAsia"/>
                <w:noProof/>
                <w:lang w:eastAsia="en-AU"/>
              </w:rPr>
              <w:tab/>
            </w:r>
            <w:r w:rsidR="000870FC" w:rsidRPr="00323C83">
              <w:rPr>
                <w:rStyle w:val="Hyperlink"/>
                <w:rFonts w:cs="Arial"/>
                <w:noProof/>
              </w:rPr>
              <w:t xml:space="preserve">Joint </w:t>
            </w:r>
            <w:r w:rsidR="000870FC" w:rsidRPr="00323C83">
              <w:rPr>
                <w:rFonts w:eastAsiaTheme="minorEastAsia"/>
                <w:lang w:eastAsia="en-AU"/>
              </w:rPr>
              <w:t>Committee</w:t>
            </w:r>
            <w:r w:rsidR="000870FC" w:rsidRPr="00323C83">
              <w:rPr>
                <w:rStyle w:val="Hyperlink"/>
                <w:rFonts w:cs="Arial"/>
                <w:noProof/>
              </w:rPr>
              <w:t xml:space="preserve"> of Public Accounts and Audit Report 456 – Great Barrier Reef Regulation</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_Toc474753103 \h </w:instrText>
            </w:r>
            <w:r w:rsidR="000870FC" w:rsidRPr="00323C83">
              <w:rPr>
                <w:noProof/>
                <w:webHidden/>
              </w:rPr>
            </w:r>
            <w:r w:rsidR="000870FC" w:rsidRPr="00323C83">
              <w:rPr>
                <w:noProof/>
                <w:webHidden/>
              </w:rPr>
              <w:fldChar w:fldCharType="separate"/>
            </w:r>
            <w:r w:rsidR="000870FC" w:rsidRPr="00323C83">
              <w:rPr>
                <w:noProof/>
                <w:webHidden/>
              </w:rPr>
              <w:t>10</w:t>
            </w:r>
            <w:r w:rsidR="000870FC" w:rsidRPr="00323C83">
              <w:rPr>
                <w:noProof/>
                <w:webHidden/>
              </w:rPr>
              <w:fldChar w:fldCharType="end"/>
            </w:r>
          </w:hyperlink>
        </w:p>
        <w:p w14:paraId="0DE6F5E6" w14:textId="77777777" w:rsidR="000870FC" w:rsidRPr="00323C83" w:rsidRDefault="00B82FE0" w:rsidP="00323C83">
          <w:pPr>
            <w:pStyle w:val="TOC2"/>
            <w:rPr>
              <w:rFonts w:eastAsiaTheme="minorEastAsia"/>
              <w:noProof/>
              <w:lang w:eastAsia="en-AU"/>
            </w:rPr>
          </w:pPr>
          <w:hyperlink w:anchor="_Toc474753104" w:history="1">
            <w:r w:rsidR="000870FC" w:rsidRPr="00323C83">
              <w:rPr>
                <w:rStyle w:val="Hyperlink"/>
                <w:rFonts w:cs="Arial"/>
                <w:noProof/>
              </w:rPr>
              <w:t>4.</w:t>
            </w:r>
            <w:r w:rsidR="000870FC" w:rsidRPr="00323C83">
              <w:rPr>
                <w:rFonts w:eastAsiaTheme="minorEastAsia"/>
                <w:noProof/>
                <w:lang w:eastAsia="en-AU"/>
              </w:rPr>
              <w:tab/>
            </w:r>
            <w:r w:rsidR="000870FC" w:rsidRPr="00323C83">
              <w:rPr>
                <w:rStyle w:val="Hyperlink"/>
                <w:rFonts w:cs="Arial"/>
                <w:noProof/>
              </w:rPr>
              <w:t>METHODOLOGY</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_Toc474753104 \h </w:instrText>
            </w:r>
            <w:r w:rsidR="000870FC" w:rsidRPr="00323C83">
              <w:rPr>
                <w:noProof/>
                <w:webHidden/>
              </w:rPr>
            </w:r>
            <w:r w:rsidR="000870FC" w:rsidRPr="00323C83">
              <w:rPr>
                <w:noProof/>
                <w:webHidden/>
              </w:rPr>
              <w:fldChar w:fldCharType="separate"/>
            </w:r>
            <w:r w:rsidR="000870FC" w:rsidRPr="00323C83">
              <w:rPr>
                <w:noProof/>
                <w:webHidden/>
              </w:rPr>
              <w:t>10</w:t>
            </w:r>
            <w:r w:rsidR="000870FC" w:rsidRPr="00323C83">
              <w:rPr>
                <w:noProof/>
                <w:webHidden/>
              </w:rPr>
              <w:fldChar w:fldCharType="end"/>
            </w:r>
          </w:hyperlink>
        </w:p>
        <w:p w14:paraId="70744368" w14:textId="77777777" w:rsidR="000870FC" w:rsidRPr="00323C83" w:rsidRDefault="00B82FE0" w:rsidP="00323C83">
          <w:pPr>
            <w:pStyle w:val="TOC2"/>
            <w:rPr>
              <w:rFonts w:eastAsiaTheme="minorEastAsia"/>
              <w:noProof/>
              <w:lang w:eastAsia="en-AU"/>
            </w:rPr>
          </w:pPr>
          <w:hyperlink w:anchor="_Toc474753105" w:history="1">
            <w:r w:rsidR="000870FC" w:rsidRPr="00323C83">
              <w:rPr>
                <w:rStyle w:val="Hyperlink"/>
                <w:rFonts w:cs="Arial"/>
                <w:noProof/>
              </w:rPr>
              <w:t>5.</w:t>
            </w:r>
            <w:r w:rsidR="000870FC" w:rsidRPr="00323C83">
              <w:rPr>
                <w:rFonts w:eastAsiaTheme="minorEastAsia"/>
                <w:noProof/>
                <w:lang w:eastAsia="en-AU"/>
              </w:rPr>
              <w:tab/>
            </w:r>
            <w:r w:rsidR="000870FC" w:rsidRPr="00323C83">
              <w:rPr>
                <w:rStyle w:val="Hyperlink"/>
                <w:rFonts w:cs="Arial"/>
                <w:noProof/>
              </w:rPr>
              <w:t>ASSESSMENT</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_Toc474753105 \h </w:instrText>
            </w:r>
            <w:r w:rsidR="000870FC" w:rsidRPr="00323C83">
              <w:rPr>
                <w:noProof/>
                <w:webHidden/>
              </w:rPr>
            </w:r>
            <w:r w:rsidR="000870FC" w:rsidRPr="00323C83">
              <w:rPr>
                <w:noProof/>
                <w:webHidden/>
              </w:rPr>
              <w:fldChar w:fldCharType="separate"/>
            </w:r>
            <w:r w:rsidR="000870FC" w:rsidRPr="00323C83">
              <w:rPr>
                <w:noProof/>
                <w:webHidden/>
              </w:rPr>
              <w:t>11</w:t>
            </w:r>
            <w:r w:rsidR="000870FC" w:rsidRPr="00323C83">
              <w:rPr>
                <w:noProof/>
                <w:webHidden/>
              </w:rPr>
              <w:fldChar w:fldCharType="end"/>
            </w:r>
          </w:hyperlink>
        </w:p>
        <w:p w14:paraId="374AD83B" w14:textId="77777777" w:rsidR="000870FC" w:rsidRPr="00323C83" w:rsidRDefault="00B82FE0" w:rsidP="00323C83">
          <w:pPr>
            <w:pStyle w:val="TOC2"/>
            <w:rPr>
              <w:rFonts w:eastAsiaTheme="minorEastAsia"/>
              <w:noProof/>
              <w:lang w:eastAsia="en-AU"/>
            </w:rPr>
          </w:pPr>
          <w:hyperlink w:anchor="_Toc474753106" w:history="1">
            <w:r w:rsidR="000870FC" w:rsidRPr="00323C83">
              <w:rPr>
                <w:rStyle w:val="Hyperlink"/>
                <w:rFonts w:cs="Arial"/>
                <w:noProof/>
              </w:rPr>
              <w:t>5.1.</w:t>
            </w:r>
            <w:r w:rsidR="000870FC" w:rsidRPr="00323C83">
              <w:rPr>
                <w:rFonts w:eastAsiaTheme="minorEastAsia"/>
                <w:noProof/>
                <w:lang w:eastAsia="en-AU"/>
              </w:rPr>
              <w:tab/>
            </w:r>
            <w:r w:rsidR="000870FC" w:rsidRPr="00323C83">
              <w:rPr>
                <w:rStyle w:val="Hyperlink"/>
                <w:rFonts w:cs="Arial"/>
                <w:noProof/>
              </w:rPr>
              <w:t xml:space="preserve">KPI 1 —- </w:t>
            </w:r>
            <w:r w:rsidR="000870FC" w:rsidRPr="00323C83">
              <w:rPr>
                <w:rFonts w:eastAsiaTheme="minorEastAsia"/>
                <w:lang w:eastAsia="en-AU"/>
              </w:rPr>
              <w:t>GBRMPA</w:t>
            </w:r>
            <w:r w:rsidR="000870FC" w:rsidRPr="00323C83">
              <w:rPr>
                <w:rStyle w:val="Hyperlink"/>
                <w:rFonts w:cs="Arial"/>
                <w:noProof/>
              </w:rPr>
              <w:t xml:space="preserve"> does not unnecessarily impede the efficient operation of regulated entities</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_Toc474753106 \h </w:instrText>
            </w:r>
            <w:r w:rsidR="000870FC" w:rsidRPr="00323C83">
              <w:rPr>
                <w:noProof/>
                <w:webHidden/>
              </w:rPr>
            </w:r>
            <w:r w:rsidR="000870FC" w:rsidRPr="00323C83">
              <w:rPr>
                <w:noProof/>
                <w:webHidden/>
              </w:rPr>
              <w:fldChar w:fldCharType="separate"/>
            </w:r>
            <w:r w:rsidR="000870FC" w:rsidRPr="00323C83">
              <w:rPr>
                <w:noProof/>
                <w:webHidden/>
              </w:rPr>
              <w:t>11</w:t>
            </w:r>
            <w:r w:rsidR="000870FC" w:rsidRPr="00323C83">
              <w:rPr>
                <w:noProof/>
                <w:webHidden/>
              </w:rPr>
              <w:fldChar w:fldCharType="end"/>
            </w:r>
          </w:hyperlink>
        </w:p>
        <w:p w14:paraId="4D561531" w14:textId="77777777" w:rsidR="000870FC" w:rsidRPr="00323C83" w:rsidRDefault="00B82FE0" w:rsidP="00323C83">
          <w:pPr>
            <w:pStyle w:val="TOC2"/>
            <w:rPr>
              <w:rFonts w:eastAsiaTheme="minorEastAsia"/>
              <w:noProof/>
              <w:lang w:eastAsia="en-AU"/>
            </w:rPr>
          </w:pPr>
          <w:hyperlink w:anchor="_Toc474753107" w:history="1">
            <w:r w:rsidR="000870FC" w:rsidRPr="00323C83">
              <w:rPr>
                <w:rStyle w:val="Hyperlink"/>
                <w:rFonts w:cs="Arial"/>
                <w:noProof/>
              </w:rPr>
              <w:t>5.2.</w:t>
            </w:r>
            <w:r w:rsidR="000870FC" w:rsidRPr="00323C83">
              <w:rPr>
                <w:rFonts w:eastAsiaTheme="minorEastAsia"/>
                <w:noProof/>
                <w:lang w:eastAsia="en-AU"/>
              </w:rPr>
              <w:tab/>
            </w:r>
            <w:r w:rsidR="000870FC" w:rsidRPr="00323C83">
              <w:rPr>
                <w:rStyle w:val="Hyperlink"/>
                <w:rFonts w:cs="Arial"/>
                <w:noProof/>
              </w:rPr>
              <w:t xml:space="preserve">KPI 2 — </w:t>
            </w:r>
            <w:r w:rsidR="000870FC" w:rsidRPr="00323C83">
              <w:rPr>
                <w:rFonts w:eastAsiaTheme="minorEastAsia"/>
                <w:lang w:eastAsia="en-AU"/>
              </w:rPr>
              <w:t>GBRMPA’s</w:t>
            </w:r>
            <w:r w:rsidR="000870FC" w:rsidRPr="00323C83">
              <w:rPr>
                <w:rStyle w:val="Hyperlink"/>
                <w:rFonts w:cs="Arial"/>
                <w:noProof/>
              </w:rPr>
              <w:t xml:space="preserve"> communication with regulated entities is clear, targeted and effective</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_Toc474753107 \h </w:instrText>
            </w:r>
            <w:r w:rsidR="000870FC" w:rsidRPr="00323C83">
              <w:rPr>
                <w:noProof/>
                <w:webHidden/>
              </w:rPr>
            </w:r>
            <w:r w:rsidR="000870FC" w:rsidRPr="00323C83">
              <w:rPr>
                <w:noProof/>
                <w:webHidden/>
              </w:rPr>
              <w:fldChar w:fldCharType="separate"/>
            </w:r>
            <w:r w:rsidR="000870FC" w:rsidRPr="00323C83">
              <w:rPr>
                <w:noProof/>
                <w:webHidden/>
              </w:rPr>
              <w:t>14</w:t>
            </w:r>
            <w:r w:rsidR="000870FC" w:rsidRPr="00323C83">
              <w:rPr>
                <w:noProof/>
                <w:webHidden/>
              </w:rPr>
              <w:fldChar w:fldCharType="end"/>
            </w:r>
          </w:hyperlink>
        </w:p>
        <w:p w14:paraId="7A77D6C2" w14:textId="77777777" w:rsidR="000870FC" w:rsidRPr="00323C83" w:rsidRDefault="00B82FE0" w:rsidP="00323C83">
          <w:pPr>
            <w:pStyle w:val="TOC2"/>
            <w:rPr>
              <w:rFonts w:eastAsiaTheme="minorEastAsia"/>
              <w:noProof/>
              <w:lang w:eastAsia="en-AU"/>
            </w:rPr>
          </w:pPr>
          <w:hyperlink w:anchor="_Toc474753108" w:history="1">
            <w:r w:rsidR="000870FC" w:rsidRPr="00323C83">
              <w:rPr>
                <w:rStyle w:val="Hyperlink"/>
                <w:rFonts w:cs="Arial"/>
                <w:noProof/>
              </w:rPr>
              <w:t>5.3.</w:t>
            </w:r>
            <w:r w:rsidR="000870FC" w:rsidRPr="00323C83">
              <w:rPr>
                <w:rFonts w:eastAsiaTheme="minorEastAsia"/>
                <w:noProof/>
                <w:lang w:eastAsia="en-AU"/>
              </w:rPr>
              <w:tab/>
            </w:r>
            <w:r w:rsidR="000870FC" w:rsidRPr="00323C83">
              <w:rPr>
                <w:rStyle w:val="Hyperlink"/>
                <w:rFonts w:cs="Arial"/>
                <w:noProof/>
              </w:rPr>
              <w:t xml:space="preserve">KPI 3 —- </w:t>
            </w:r>
            <w:r w:rsidR="000870FC" w:rsidRPr="00323C83">
              <w:rPr>
                <w:rFonts w:eastAsiaTheme="minorEastAsia"/>
                <w:lang w:eastAsia="en-AU"/>
              </w:rPr>
              <w:t>Actions</w:t>
            </w:r>
            <w:r w:rsidR="000870FC" w:rsidRPr="00323C83">
              <w:rPr>
                <w:rStyle w:val="Hyperlink"/>
                <w:rFonts w:cs="Arial"/>
                <w:noProof/>
              </w:rPr>
              <w:t xml:space="preserve"> undertaken by GBRMPA are proportionate to the regulatory risk being managed</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_Toc474753108 \h </w:instrText>
            </w:r>
            <w:r w:rsidR="000870FC" w:rsidRPr="00323C83">
              <w:rPr>
                <w:noProof/>
                <w:webHidden/>
              </w:rPr>
            </w:r>
            <w:r w:rsidR="000870FC" w:rsidRPr="00323C83">
              <w:rPr>
                <w:noProof/>
                <w:webHidden/>
              </w:rPr>
              <w:fldChar w:fldCharType="separate"/>
            </w:r>
            <w:r w:rsidR="000870FC" w:rsidRPr="00323C83">
              <w:rPr>
                <w:noProof/>
                <w:webHidden/>
              </w:rPr>
              <w:t>18</w:t>
            </w:r>
            <w:r w:rsidR="000870FC" w:rsidRPr="00323C83">
              <w:rPr>
                <w:noProof/>
                <w:webHidden/>
              </w:rPr>
              <w:fldChar w:fldCharType="end"/>
            </w:r>
          </w:hyperlink>
        </w:p>
        <w:p w14:paraId="6276C823" w14:textId="77777777" w:rsidR="000870FC" w:rsidRPr="00323C83" w:rsidRDefault="00B82FE0" w:rsidP="00323C83">
          <w:pPr>
            <w:pStyle w:val="TOC2"/>
            <w:rPr>
              <w:rFonts w:eastAsiaTheme="minorEastAsia"/>
              <w:noProof/>
              <w:lang w:eastAsia="en-AU"/>
            </w:rPr>
          </w:pPr>
          <w:hyperlink w:anchor="_Toc474753109" w:history="1">
            <w:r w:rsidR="000870FC" w:rsidRPr="00323C83">
              <w:rPr>
                <w:rStyle w:val="Hyperlink"/>
                <w:rFonts w:cs="Arial"/>
                <w:noProof/>
              </w:rPr>
              <w:t>5.4.</w:t>
            </w:r>
            <w:r w:rsidR="000870FC" w:rsidRPr="00323C83">
              <w:rPr>
                <w:rFonts w:eastAsiaTheme="minorEastAsia"/>
                <w:noProof/>
                <w:lang w:eastAsia="en-AU"/>
              </w:rPr>
              <w:tab/>
            </w:r>
            <w:r w:rsidR="000870FC" w:rsidRPr="00323C83">
              <w:rPr>
                <w:rStyle w:val="Hyperlink"/>
                <w:rFonts w:cs="Arial"/>
                <w:noProof/>
              </w:rPr>
              <w:t xml:space="preserve">KPI 4 — </w:t>
            </w:r>
            <w:r w:rsidR="000870FC" w:rsidRPr="00323C83">
              <w:rPr>
                <w:rFonts w:eastAsiaTheme="minorEastAsia"/>
                <w:lang w:eastAsia="en-AU"/>
              </w:rPr>
              <w:t>GBRMPA’s</w:t>
            </w:r>
            <w:r w:rsidR="000870FC" w:rsidRPr="00323C83">
              <w:rPr>
                <w:rStyle w:val="Hyperlink"/>
                <w:rFonts w:cs="Arial"/>
                <w:noProof/>
              </w:rPr>
              <w:t xml:space="preserve"> compliance and monitoring approaches are streamlined and coordinated</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_Toc474753109 \h </w:instrText>
            </w:r>
            <w:r w:rsidR="000870FC" w:rsidRPr="00323C83">
              <w:rPr>
                <w:noProof/>
                <w:webHidden/>
              </w:rPr>
            </w:r>
            <w:r w:rsidR="000870FC" w:rsidRPr="00323C83">
              <w:rPr>
                <w:noProof/>
                <w:webHidden/>
              </w:rPr>
              <w:fldChar w:fldCharType="separate"/>
            </w:r>
            <w:r w:rsidR="000870FC" w:rsidRPr="00323C83">
              <w:rPr>
                <w:noProof/>
                <w:webHidden/>
              </w:rPr>
              <w:t>20</w:t>
            </w:r>
            <w:r w:rsidR="000870FC" w:rsidRPr="00323C83">
              <w:rPr>
                <w:noProof/>
                <w:webHidden/>
              </w:rPr>
              <w:fldChar w:fldCharType="end"/>
            </w:r>
          </w:hyperlink>
        </w:p>
        <w:p w14:paraId="01E8C3B4" w14:textId="77777777" w:rsidR="000870FC" w:rsidRPr="00323C83" w:rsidRDefault="00B82FE0" w:rsidP="00323C83">
          <w:pPr>
            <w:pStyle w:val="TOC2"/>
            <w:rPr>
              <w:rFonts w:eastAsiaTheme="minorEastAsia"/>
              <w:noProof/>
              <w:lang w:eastAsia="en-AU"/>
            </w:rPr>
          </w:pPr>
          <w:hyperlink w:anchor="_Toc474753110" w:history="1">
            <w:r w:rsidR="000870FC" w:rsidRPr="00323C83">
              <w:rPr>
                <w:rStyle w:val="Hyperlink"/>
                <w:rFonts w:cs="Arial"/>
                <w:noProof/>
              </w:rPr>
              <w:t>5.5.</w:t>
            </w:r>
            <w:r w:rsidR="000870FC" w:rsidRPr="00323C83">
              <w:rPr>
                <w:rFonts w:eastAsiaTheme="minorEastAsia"/>
                <w:noProof/>
                <w:lang w:eastAsia="en-AU"/>
              </w:rPr>
              <w:tab/>
            </w:r>
            <w:r w:rsidR="000870FC" w:rsidRPr="00323C83">
              <w:rPr>
                <w:rStyle w:val="Hyperlink"/>
                <w:rFonts w:cs="Arial"/>
                <w:noProof/>
              </w:rPr>
              <w:t xml:space="preserve">KPI 5 — </w:t>
            </w:r>
            <w:r w:rsidR="000870FC" w:rsidRPr="00323C83">
              <w:rPr>
                <w:rFonts w:eastAsiaTheme="minorEastAsia"/>
                <w:lang w:eastAsia="en-AU"/>
              </w:rPr>
              <w:t>GBRMPA</w:t>
            </w:r>
            <w:r w:rsidR="000870FC" w:rsidRPr="00323C83">
              <w:rPr>
                <w:rStyle w:val="Hyperlink"/>
                <w:rFonts w:cs="Arial"/>
                <w:noProof/>
              </w:rPr>
              <w:t xml:space="preserve"> is open and transparent in dealings with regulated entities</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_Toc474753110 \h </w:instrText>
            </w:r>
            <w:r w:rsidR="000870FC" w:rsidRPr="00323C83">
              <w:rPr>
                <w:noProof/>
                <w:webHidden/>
              </w:rPr>
            </w:r>
            <w:r w:rsidR="000870FC" w:rsidRPr="00323C83">
              <w:rPr>
                <w:noProof/>
                <w:webHidden/>
              </w:rPr>
              <w:fldChar w:fldCharType="separate"/>
            </w:r>
            <w:r w:rsidR="000870FC" w:rsidRPr="00323C83">
              <w:rPr>
                <w:noProof/>
                <w:webHidden/>
              </w:rPr>
              <w:t>23</w:t>
            </w:r>
            <w:r w:rsidR="000870FC" w:rsidRPr="00323C83">
              <w:rPr>
                <w:noProof/>
                <w:webHidden/>
              </w:rPr>
              <w:fldChar w:fldCharType="end"/>
            </w:r>
          </w:hyperlink>
        </w:p>
        <w:p w14:paraId="59A893D3" w14:textId="77777777" w:rsidR="000870FC" w:rsidRPr="00323C83" w:rsidRDefault="00B82FE0" w:rsidP="00323C83">
          <w:pPr>
            <w:pStyle w:val="TOC2"/>
            <w:rPr>
              <w:rFonts w:eastAsiaTheme="minorEastAsia"/>
              <w:noProof/>
              <w:lang w:eastAsia="en-AU"/>
            </w:rPr>
          </w:pPr>
          <w:hyperlink w:anchor="_Toc474753111" w:history="1">
            <w:r w:rsidR="000870FC" w:rsidRPr="00323C83">
              <w:rPr>
                <w:rStyle w:val="Hyperlink"/>
                <w:rFonts w:cs="Arial"/>
                <w:noProof/>
              </w:rPr>
              <w:t>5.6.</w:t>
            </w:r>
            <w:r w:rsidR="000870FC" w:rsidRPr="00323C83">
              <w:rPr>
                <w:rFonts w:eastAsiaTheme="minorEastAsia"/>
                <w:noProof/>
                <w:lang w:eastAsia="en-AU"/>
              </w:rPr>
              <w:tab/>
            </w:r>
            <w:r w:rsidR="000870FC" w:rsidRPr="00323C83">
              <w:rPr>
                <w:rStyle w:val="Hyperlink"/>
                <w:rFonts w:cs="Arial"/>
                <w:noProof/>
              </w:rPr>
              <w:t xml:space="preserve">KPI 6 — </w:t>
            </w:r>
            <w:r w:rsidR="000870FC" w:rsidRPr="00323C83">
              <w:rPr>
                <w:rFonts w:eastAsiaTheme="minorEastAsia"/>
                <w:lang w:eastAsia="en-AU"/>
              </w:rPr>
              <w:t>GBRMPA</w:t>
            </w:r>
            <w:r w:rsidR="000870FC" w:rsidRPr="00323C83">
              <w:rPr>
                <w:rStyle w:val="Hyperlink"/>
                <w:rFonts w:cs="Arial"/>
                <w:noProof/>
              </w:rPr>
              <w:t xml:space="preserve"> actively contributes to the continuous improvement of regulatory frameworks</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_Toc474753111 \h </w:instrText>
            </w:r>
            <w:r w:rsidR="000870FC" w:rsidRPr="00323C83">
              <w:rPr>
                <w:noProof/>
                <w:webHidden/>
              </w:rPr>
            </w:r>
            <w:r w:rsidR="000870FC" w:rsidRPr="00323C83">
              <w:rPr>
                <w:noProof/>
                <w:webHidden/>
              </w:rPr>
              <w:fldChar w:fldCharType="separate"/>
            </w:r>
            <w:r w:rsidR="000870FC" w:rsidRPr="00323C83">
              <w:rPr>
                <w:noProof/>
                <w:webHidden/>
              </w:rPr>
              <w:t>24</w:t>
            </w:r>
            <w:r w:rsidR="000870FC" w:rsidRPr="00323C83">
              <w:rPr>
                <w:noProof/>
                <w:webHidden/>
              </w:rPr>
              <w:fldChar w:fldCharType="end"/>
            </w:r>
          </w:hyperlink>
        </w:p>
        <w:p w14:paraId="333BF1C7" w14:textId="77777777" w:rsidR="000870FC" w:rsidRPr="00323C83" w:rsidRDefault="00B82FE0" w:rsidP="00323C83">
          <w:pPr>
            <w:pStyle w:val="TOC2"/>
            <w:rPr>
              <w:rFonts w:eastAsiaTheme="minorEastAsia"/>
              <w:noProof/>
              <w:lang w:eastAsia="en-AU"/>
            </w:rPr>
          </w:pPr>
          <w:hyperlink w:anchor="_Toc474753112" w:history="1">
            <w:r w:rsidR="000870FC" w:rsidRPr="00323C83">
              <w:rPr>
                <w:rStyle w:val="Hyperlink"/>
                <w:rFonts w:cs="Arial"/>
                <w:noProof/>
              </w:rPr>
              <w:t>Attachment A – Rating scale</w:t>
            </w:r>
            <w:r w:rsidR="000870FC" w:rsidRPr="00323C83">
              <w:rPr>
                <w:noProof/>
                <w:webHidden/>
              </w:rPr>
              <w:tab/>
            </w:r>
            <w:r w:rsidR="000870FC" w:rsidRPr="00323C83">
              <w:rPr>
                <w:noProof/>
                <w:webHidden/>
              </w:rPr>
              <w:fldChar w:fldCharType="begin"/>
            </w:r>
            <w:r w:rsidR="000870FC" w:rsidRPr="00323C83">
              <w:rPr>
                <w:noProof/>
                <w:webHidden/>
              </w:rPr>
              <w:instrText xml:space="preserve"> PAGEREF _Toc474753112 \h </w:instrText>
            </w:r>
            <w:r w:rsidR="000870FC" w:rsidRPr="00323C83">
              <w:rPr>
                <w:noProof/>
                <w:webHidden/>
              </w:rPr>
            </w:r>
            <w:r w:rsidR="000870FC" w:rsidRPr="00323C83">
              <w:rPr>
                <w:noProof/>
                <w:webHidden/>
              </w:rPr>
              <w:fldChar w:fldCharType="separate"/>
            </w:r>
            <w:r w:rsidR="000870FC" w:rsidRPr="00323C83">
              <w:rPr>
                <w:noProof/>
                <w:webHidden/>
              </w:rPr>
              <w:t>27</w:t>
            </w:r>
            <w:r w:rsidR="000870FC" w:rsidRPr="00323C83">
              <w:rPr>
                <w:noProof/>
                <w:webHidden/>
              </w:rPr>
              <w:fldChar w:fldCharType="end"/>
            </w:r>
          </w:hyperlink>
        </w:p>
        <w:p w14:paraId="0D2EDD3F" w14:textId="5C2FECEA" w:rsidR="00D55813" w:rsidRDefault="00D55813">
          <w:r w:rsidRPr="00323C83">
            <w:rPr>
              <w:b/>
              <w:bCs/>
              <w:noProof/>
            </w:rPr>
            <w:fldChar w:fldCharType="end"/>
          </w:r>
        </w:p>
      </w:sdtContent>
    </w:sdt>
    <w:p w14:paraId="6EDDE8F0" w14:textId="77777777" w:rsidR="002D5D1F" w:rsidRDefault="002D5D1F">
      <w:pPr>
        <w:rPr>
          <w:rFonts w:ascii="Arial" w:eastAsiaTheme="majorEastAsia" w:hAnsi="Arial" w:cs="Arial"/>
          <w:b/>
          <w:bCs/>
          <w:sz w:val="28"/>
          <w:szCs w:val="28"/>
        </w:rPr>
      </w:pPr>
      <w:r>
        <w:rPr>
          <w:rFonts w:ascii="Arial" w:hAnsi="Arial" w:cs="Arial"/>
        </w:rPr>
        <w:br w:type="page"/>
      </w:r>
    </w:p>
    <w:p w14:paraId="5CD8E0AF" w14:textId="3AA84B12" w:rsidR="0053529E" w:rsidRPr="002D5D1F" w:rsidRDefault="002D5D1F" w:rsidP="002D5D1F">
      <w:pPr>
        <w:pStyle w:val="Heading2"/>
        <w:numPr>
          <w:ilvl w:val="0"/>
          <w:numId w:val="10"/>
        </w:numPr>
        <w:shd w:val="clear" w:color="auto" w:fill="4F81BD" w:themeFill="accent1"/>
        <w:spacing w:before="240" w:after="120"/>
        <w:rPr>
          <w:rFonts w:ascii="Arial" w:hAnsi="Arial" w:cs="Arial"/>
          <w:b w:val="0"/>
          <w:color w:val="FFFFFF" w:themeColor="background1"/>
        </w:rPr>
      </w:pPr>
      <w:bookmarkStart w:id="1" w:name="_Toc474753094"/>
      <w:r w:rsidRPr="002D5D1F">
        <w:rPr>
          <w:rFonts w:ascii="Arial" w:hAnsi="Arial" w:cs="Arial"/>
          <w:b w:val="0"/>
          <w:color w:val="FFFFFF" w:themeColor="background1"/>
        </w:rPr>
        <w:lastRenderedPageBreak/>
        <w:t>AUSTRALIAN GOVERNMENT REGULATOR PERFORMANCE FRAMEWORK</w:t>
      </w:r>
      <w:bookmarkEnd w:id="1"/>
    </w:p>
    <w:p w14:paraId="5CD8E0B0" w14:textId="75B2B63B" w:rsidR="0053529E" w:rsidRPr="0053529E" w:rsidRDefault="0053529E" w:rsidP="0053529E">
      <w:pPr>
        <w:rPr>
          <w:rFonts w:ascii="Arial" w:hAnsi="Arial" w:cs="Arial"/>
        </w:rPr>
      </w:pPr>
      <w:r w:rsidRPr="0053529E">
        <w:rPr>
          <w:rFonts w:ascii="Arial" w:hAnsi="Arial" w:cs="Arial"/>
        </w:rPr>
        <w:t>The Australian Government Regulator Performance Framework (</w:t>
      </w:r>
      <w:r w:rsidR="00E77316">
        <w:rPr>
          <w:rFonts w:ascii="Arial" w:hAnsi="Arial" w:cs="Arial"/>
        </w:rPr>
        <w:t>the Framework</w:t>
      </w:r>
      <w:r w:rsidRPr="0053529E">
        <w:rPr>
          <w:rFonts w:ascii="Arial" w:hAnsi="Arial" w:cs="Arial"/>
        </w:rPr>
        <w:t xml:space="preserve">) was developed to ‘encourage regulators to undertake their functions with the minimum impact necessary to achieve regulatory objectives and to effect positive ongoing and lasting cultural change within regulators’. </w:t>
      </w:r>
    </w:p>
    <w:p w14:paraId="5CD8E0B1" w14:textId="0A26866D" w:rsidR="0053529E" w:rsidRPr="0053529E" w:rsidRDefault="0053529E" w:rsidP="0053529E">
      <w:pPr>
        <w:rPr>
          <w:rFonts w:ascii="Arial" w:hAnsi="Arial" w:cs="Arial"/>
        </w:rPr>
      </w:pPr>
      <w:r w:rsidRPr="0053529E">
        <w:rPr>
          <w:rFonts w:ascii="Arial" w:hAnsi="Arial" w:cs="Arial"/>
        </w:rPr>
        <w:t xml:space="preserve">The </w:t>
      </w:r>
      <w:r w:rsidR="00E77316">
        <w:rPr>
          <w:rFonts w:ascii="Arial" w:hAnsi="Arial" w:cs="Arial"/>
        </w:rPr>
        <w:t>Framework</w:t>
      </w:r>
      <w:r w:rsidRPr="0053529E">
        <w:rPr>
          <w:rFonts w:ascii="Arial" w:hAnsi="Arial" w:cs="Arial"/>
        </w:rPr>
        <w:t xml:space="preserve"> includes six indicators against which regulators evaluate their performance:</w:t>
      </w:r>
    </w:p>
    <w:p w14:paraId="5CD8E0B2" w14:textId="77777777" w:rsidR="0053529E" w:rsidRPr="0053529E" w:rsidRDefault="0053529E" w:rsidP="0053529E">
      <w:pPr>
        <w:pStyle w:val="ListParagraph"/>
        <w:numPr>
          <w:ilvl w:val="0"/>
          <w:numId w:val="2"/>
        </w:numPr>
        <w:rPr>
          <w:rFonts w:ascii="Arial" w:hAnsi="Arial" w:cs="Arial"/>
        </w:rPr>
      </w:pPr>
      <w:r w:rsidRPr="0053529E">
        <w:rPr>
          <w:rFonts w:ascii="Arial" w:hAnsi="Arial" w:cs="Arial"/>
        </w:rPr>
        <w:t>regulators do not unnecessarily impede the efficient operation of regulated entities</w:t>
      </w:r>
    </w:p>
    <w:p w14:paraId="5CD8E0B3" w14:textId="77777777" w:rsidR="0053529E" w:rsidRPr="0053529E" w:rsidRDefault="0053529E" w:rsidP="0053529E">
      <w:pPr>
        <w:pStyle w:val="ListParagraph"/>
        <w:numPr>
          <w:ilvl w:val="0"/>
          <w:numId w:val="2"/>
        </w:numPr>
        <w:rPr>
          <w:rFonts w:ascii="Arial" w:hAnsi="Arial" w:cs="Arial"/>
        </w:rPr>
      </w:pPr>
      <w:r w:rsidRPr="0053529E">
        <w:rPr>
          <w:rFonts w:ascii="Arial" w:hAnsi="Arial" w:cs="Arial"/>
        </w:rPr>
        <w:t>communication with regulated entities is clear, targeted and effective</w:t>
      </w:r>
    </w:p>
    <w:p w14:paraId="5CD8E0B4" w14:textId="77777777" w:rsidR="0053529E" w:rsidRPr="0053529E" w:rsidRDefault="0053529E" w:rsidP="0053529E">
      <w:pPr>
        <w:pStyle w:val="ListParagraph"/>
        <w:numPr>
          <w:ilvl w:val="0"/>
          <w:numId w:val="2"/>
        </w:numPr>
        <w:rPr>
          <w:rFonts w:ascii="Arial" w:hAnsi="Arial" w:cs="Arial"/>
        </w:rPr>
      </w:pPr>
      <w:r w:rsidRPr="0053529E">
        <w:rPr>
          <w:rFonts w:ascii="Arial" w:hAnsi="Arial" w:cs="Arial"/>
        </w:rPr>
        <w:t>actions undertaken by regulators are proportionate to the regulatory risk being managed</w:t>
      </w:r>
    </w:p>
    <w:p w14:paraId="5CD8E0B5" w14:textId="77777777" w:rsidR="0053529E" w:rsidRPr="0053529E" w:rsidRDefault="0053529E" w:rsidP="0053529E">
      <w:pPr>
        <w:pStyle w:val="ListParagraph"/>
        <w:numPr>
          <w:ilvl w:val="0"/>
          <w:numId w:val="2"/>
        </w:numPr>
        <w:rPr>
          <w:rFonts w:ascii="Arial" w:hAnsi="Arial" w:cs="Arial"/>
        </w:rPr>
      </w:pPr>
      <w:r w:rsidRPr="0053529E">
        <w:rPr>
          <w:rFonts w:ascii="Arial" w:hAnsi="Arial" w:cs="Arial"/>
        </w:rPr>
        <w:t>compliance and monitoring approaches are streamlined and coordinated</w:t>
      </w:r>
    </w:p>
    <w:p w14:paraId="5CD8E0B6" w14:textId="77777777" w:rsidR="0053529E" w:rsidRPr="0053529E" w:rsidRDefault="0053529E" w:rsidP="0053529E">
      <w:pPr>
        <w:pStyle w:val="ListParagraph"/>
        <w:numPr>
          <w:ilvl w:val="0"/>
          <w:numId w:val="2"/>
        </w:numPr>
        <w:rPr>
          <w:rFonts w:ascii="Arial" w:hAnsi="Arial" w:cs="Arial"/>
        </w:rPr>
      </w:pPr>
      <w:r w:rsidRPr="0053529E">
        <w:rPr>
          <w:rFonts w:ascii="Arial" w:hAnsi="Arial" w:cs="Arial"/>
        </w:rPr>
        <w:t>regulators are open and transparent in dealing with regulated entities</w:t>
      </w:r>
    </w:p>
    <w:p w14:paraId="5CD8E0B7" w14:textId="77777777" w:rsidR="0053529E" w:rsidRPr="0053529E" w:rsidRDefault="0053529E" w:rsidP="0053529E">
      <w:pPr>
        <w:pStyle w:val="ListParagraph"/>
        <w:numPr>
          <w:ilvl w:val="0"/>
          <w:numId w:val="2"/>
        </w:numPr>
        <w:rPr>
          <w:rFonts w:ascii="Arial" w:hAnsi="Arial" w:cs="Arial"/>
        </w:rPr>
      </w:pPr>
      <w:proofErr w:type="gramStart"/>
      <w:r w:rsidRPr="0053529E">
        <w:rPr>
          <w:rFonts w:ascii="Arial" w:hAnsi="Arial" w:cs="Arial"/>
        </w:rPr>
        <w:t>regulators</w:t>
      </w:r>
      <w:proofErr w:type="gramEnd"/>
      <w:r w:rsidRPr="0053529E">
        <w:rPr>
          <w:rFonts w:ascii="Arial" w:hAnsi="Arial" w:cs="Arial"/>
        </w:rPr>
        <w:t xml:space="preserve"> actively contribute to the continuous improvement of regulatory frameworks.</w:t>
      </w:r>
    </w:p>
    <w:p w14:paraId="4DC9C43F" w14:textId="77777777" w:rsidR="00E77316" w:rsidRPr="00E77316" w:rsidRDefault="00E77316" w:rsidP="00E77316">
      <w:pPr>
        <w:rPr>
          <w:rFonts w:ascii="Arial" w:hAnsi="Arial" w:cs="Arial"/>
        </w:rPr>
      </w:pPr>
      <w:r w:rsidRPr="00E77316">
        <w:rPr>
          <w:rFonts w:ascii="Arial" w:hAnsi="Arial" w:cs="Arial"/>
        </w:rPr>
        <w:t>Quasi-regulation including procurement and grants and the setting of policy or standards is not covered by the framework.</w:t>
      </w:r>
    </w:p>
    <w:p w14:paraId="5CD8E0B8" w14:textId="3245CE82" w:rsidR="000F77C0" w:rsidRDefault="000F77C0" w:rsidP="0053529E">
      <w:pPr>
        <w:rPr>
          <w:rFonts w:ascii="Arial" w:hAnsi="Arial" w:cs="Arial"/>
        </w:rPr>
      </w:pPr>
      <w:r w:rsidRPr="000F77C0">
        <w:rPr>
          <w:rFonts w:ascii="Arial" w:hAnsi="Arial" w:cs="Arial"/>
        </w:rPr>
        <w:t>All regulators subject to the Framework must self-assess their performance once every 12</w:t>
      </w:r>
      <w:r>
        <w:rPr>
          <w:rFonts w:ascii="Arial" w:hAnsi="Arial" w:cs="Arial"/>
        </w:rPr>
        <w:t> </w:t>
      </w:r>
      <w:r w:rsidRPr="000F77C0">
        <w:rPr>
          <w:rFonts w:ascii="Arial" w:hAnsi="Arial" w:cs="Arial"/>
        </w:rPr>
        <w:t xml:space="preserve">months with the results to be made publicly available. </w:t>
      </w:r>
      <w:r>
        <w:rPr>
          <w:rFonts w:ascii="Arial" w:hAnsi="Arial" w:cs="Arial"/>
        </w:rPr>
        <w:t>The first reporting period is 2015</w:t>
      </w:r>
      <w:r>
        <w:rPr>
          <w:rFonts w:ascii="Arial" w:hAnsi="Arial" w:cs="Arial"/>
        </w:rPr>
        <w:noBreakHyphen/>
        <w:t>16.</w:t>
      </w:r>
      <w:r w:rsidR="00E77316">
        <w:rPr>
          <w:rFonts w:ascii="Arial" w:hAnsi="Arial" w:cs="Arial"/>
        </w:rPr>
        <w:t xml:space="preserve"> </w:t>
      </w:r>
    </w:p>
    <w:p w14:paraId="5CD8E0BA" w14:textId="15713C1F" w:rsidR="0053529E" w:rsidRPr="002D5D1F" w:rsidRDefault="002D5D1F" w:rsidP="002D5D1F">
      <w:pPr>
        <w:pStyle w:val="Heading2"/>
        <w:numPr>
          <w:ilvl w:val="0"/>
          <w:numId w:val="10"/>
        </w:numPr>
        <w:shd w:val="clear" w:color="auto" w:fill="4F81BD" w:themeFill="accent1"/>
        <w:spacing w:before="240" w:after="120"/>
        <w:rPr>
          <w:rFonts w:ascii="Arial" w:hAnsi="Arial" w:cs="Arial"/>
          <w:b w:val="0"/>
          <w:color w:val="FFFFFF" w:themeColor="background1"/>
        </w:rPr>
      </w:pPr>
      <w:bookmarkStart w:id="2" w:name="_Toc474753095"/>
      <w:r w:rsidRPr="002D5D1F">
        <w:rPr>
          <w:rFonts w:ascii="Arial" w:hAnsi="Arial" w:cs="Arial"/>
          <w:b w:val="0"/>
          <w:color w:val="FFFFFF" w:themeColor="background1"/>
        </w:rPr>
        <w:t>GREAT BARRIER REEF MARINE PARK AUTHORITY</w:t>
      </w:r>
      <w:bookmarkEnd w:id="2"/>
    </w:p>
    <w:p w14:paraId="0D27FC97" w14:textId="19E5E892" w:rsidR="00780B66" w:rsidRPr="00640C2E" w:rsidRDefault="00780B66" w:rsidP="00745841">
      <w:pPr>
        <w:pStyle w:val="Heading2"/>
        <w:numPr>
          <w:ilvl w:val="1"/>
          <w:numId w:val="10"/>
        </w:numPr>
        <w:pBdr>
          <w:top w:val="single" w:sz="4" w:space="1" w:color="4F81BD" w:themeColor="accent1"/>
          <w:left w:val="single" w:sz="4" w:space="4" w:color="4F81BD" w:themeColor="accent1"/>
        </w:pBdr>
        <w:spacing w:before="240" w:after="120"/>
        <w:ind w:left="567" w:hanging="573"/>
        <w:rPr>
          <w:rFonts w:ascii="Arial" w:hAnsi="Arial" w:cs="Arial"/>
          <w:b w:val="0"/>
          <w:color w:val="1F497D" w:themeColor="text2"/>
          <w:sz w:val="22"/>
        </w:rPr>
      </w:pPr>
      <w:bookmarkStart w:id="3" w:name="_Toc474753096"/>
      <w:r w:rsidRPr="00780B66">
        <w:rPr>
          <w:rFonts w:ascii="Arial" w:hAnsi="Arial" w:cs="Arial"/>
          <w:b w:val="0"/>
          <w:color w:val="1F497D" w:themeColor="text2"/>
          <w:sz w:val="22"/>
        </w:rPr>
        <w:t>Great Barrier Reef Marine Park Act 1975</w:t>
      </w:r>
      <w:bookmarkEnd w:id="3"/>
    </w:p>
    <w:p w14:paraId="5CD8E0BB" w14:textId="65EE2656" w:rsidR="0053529E" w:rsidRDefault="0066544B">
      <w:pPr>
        <w:rPr>
          <w:rFonts w:ascii="Arial" w:hAnsi="Arial" w:cs="Arial"/>
        </w:rPr>
      </w:pPr>
      <w:r>
        <w:rPr>
          <w:rFonts w:ascii="Arial" w:hAnsi="Arial" w:cs="Arial"/>
        </w:rPr>
        <w:t xml:space="preserve">The Great Barrier Reef Marine Park Authority (the Authority) is an Australian Government statutory agency, established under the </w:t>
      </w:r>
      <w:hyperlink r:id="rId13" w:history="1">
        <w:r w:rsidRPr="00E8462A">
          <w:rPr>
            <w:rStyle w:val="Hyperlink"/>
            <w:rFonts w:ascii="Arial" w:hAnsi="Arial" w:cs="Arial"/>
            <w:i/>
          </w:rPr>
          <w:t>Great Barrier Reef Marine Park Act 1975</w:t>
        </w:r>
      </w:hyperlink>
      <w:r w:rsidR="00616490">
        <w:rPr>
          <w:rFonts w:ascii="Arial" w:hAnsi="Arial" w:cs="Arial"/>
        </w:rPr>
        <w:t xml:space="preserve"> (GBRMP Act)</w:t>
      </w:r>
      <w:r>
        <w:rPr>
          <w:rFonts w:ascii="Arial" w:hAnsi="Arial" w:cs="Arial"/>
        </w:rPr>
        <w:t xml:space="preserve">. The Authority reports to the Australia Government Minister for the </w:t>
      </w:r>
      <w:r w:rsidR="003C09FE">
        <w:rPr>
          <w:rFonts w:ascii="Arial" w:hAnsi="Arial" w:cs="Arial"/>
        </w:rPr>
        <w:t>E</w:t>
      </w:r>
      <w:r>
        <w:rPr>
          <w:rFonts w:ascii="Arial" w:hAnsi="Arial" w:cs="Arial"/>
        </w:rPr>
        <w:t xml:space="preserve">nvironment </w:t>
      </w:r>
      <w:r w:rsidR="003C09FE">
        <w:rPr>
          <w:rFonts w:ascii="Arial" w:hAnsi="Arial" w:cs="Arial"/>
        </w:rPr>
        <w:t xml:space="preserve">and Energy </w:t>
      </w:r>
      <w:r>
        <w:rPr>
          <w:rFonts w:ascii="Arial" w:hAnsi="Arial" w:cs="Arial"/>
        </w:rPr>
        <w:t>and advises the Minister on the control, care and development of the Marine Park.</w:t>
      </w:r>
    </w:p>
    <w:p w14:paraId="28CA06D7" w14:textId="11E48387" w:rsidR="00616490" w:rsidRDefault="00616490">
      <w:pPr>
        <w:rPr>
          <w:rFonts w:ascii="Arial" w:hAnsi="Arial" w:cs="Arial"/>
        </w:rPr>
      </w:pPr>
      <w:r>
        <w:rPr>
          <w:rFonts w:ascii="Arial" w:hAnsi="Arial" w:cs="Arial"/>
        </w:rPr>
        <w:t xml:space="preserve">The purpose of the Authority’s management arrangements is to achieve: </w:t>
      </w:r>
    </w:p>
    <w:p w14:paraId="7A0D4649" w14:textId="7A03141F" w:rsidR="00616490" w:rsidRPr="00616490" w:rsidRDefault="00FF6BF8" w:rsidP="00616490">
      <w:pPr>
        <w:ind w:left="720" w:right="521"/>
        <w:rPr>
          <w:rFonts w:ascii="Arial" w:hAnsi="Arial" w:cs="Arial"/>
          <w:i/>
        </w:rPr>
      </w:pPr>
      <w:proofErr w:type="gramStart"/>
      <w:r>
        <w:rPr>
          <w:rFonts w:ascii="Arial" w:hAnsi="Arial" w:cs="Arial"/>
          <w:i/>
        </w:rPr>
        <w:t>‘</w:t>
      </w:r>
      <w:r w:rsidR="00616490" w:rsidRPr="00616490">
        <w:rPr>
          <w:rFonts w:ascii="Arial" w:hAnsi="Arial" w:cs="Arial"/>
          <w:i/>
        </w:rPr>
        <w:t>The long-term protection, ecologically sustainable use, understanding and enjoyment of the Great Barrier Reef for all Australians and the international community through the care and development of the Marine Park.’</w:t>
      </w:r>
      <w:proofErr w:type="gramEnd"/>
    </w:p>
    <w:p w14:paraId="24CA8EE9" w14:textId="77777777" w:rsidR="00616490" w:rsidRDefault="00616490">
      <w:pPr>
        <w:rPr>
          <w:rFonts w:ascii="Arial" w:hAnsi="Arial" w:cs="Arial"/>
        </w:rPr>
      </w:pPr>
      <w:r>
        <w:rPr>
          <w:rFonts w:ascii="Arial" w:hAnsi="Arial" w:cs="Arial"/>
        </w:rPr>
        <w:t xml:space="preserve">This is derived from the objects of the GBRMP Act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8"/>
      </w:tblGrid>
      <w:tr w:rsidR="00616490" w14:paraId="32BA460E" w14:textId="77777777" w:rsidTr="00194232">
        <w:tc>
          <w:tcPr>
            <w:tcW w:w="9242" w:type="dxa"/>
            <w:shd w:val="clear" w:color="auto" w:fill="DBE5F1" w:themeFill="accent1" w:themeFillTint="33"/>
          </w:tcPr>
          <w:p w14:paraId="7E861A8D" w14:textId="27ED8E70" w:rsidR="00616490" w:rsidRPr="00750BBA" w:rsidRDefault="00616490" w:rsidP="00616490">
            <w:pPr>
              <w:pStyle w:val="Default"/>
              <w:tabs>
                <w:tab w:val="left" w:pos="7557"/>
              </w:tabs>
              <w:spacing w:before="120" w:after="120"/>
              <w:ind w:left="284" w:right="284"/>
              <w:rPr>
                <w:rFonts w:ascii="Arial" w:hAnsi="Arial" w:cs="Arial"/>
                <w:b/>
                <w:sz w:val="21"/>
                <w:szCs w:val="21"/>
              </w:rPr>
            </w:pPr>
            <w:r w:rsidRPr="00750BBA">
              <w:rPr>
                <w:rFonts w:ascii="Arial" w:hAnsi="Arial" w:cs="Arial"/>
                <w:b/>
                <w:sz w:val="21"/>
                <w:szCs w:val="21"/>
              </w:rPr>
              <w:t xml:space="preserve">Objects of the </w:t>
            </w:r>
            <w:r w:rsidRPr="00750BBA">
              <w:rPr>
                <w:rFonts w:ascii="Arial" w:hAnsi="Arial" w:cs="Arial"/>
                <w:b/>
                <w:i/>
                <w:sz w:val="21"/>
                <w:szCs w:val="21"/>
              </w:rPr>
              <w:t xml:space="preserve">Great Barrier Reef Marine Park Act 1975 — </w:t>
            </w:r>
            <w:r w:rsidRPr="00750BBA">
              <w:rPr>
                <w:rFonts w:ascii="Arial" w:hAnsi="Arial" w:cs="Arial"/>
                <w:b/>
                <w:sz w:val="21"/>
                <w:szCs w:val="21"/>
              </w:rPr>
              <w:t>Section 2A</w:t>
            </w:r>
          </w:p>
          <w:p w14:paraId="79B582CA" w14:textId="77777777" w:rsidR="00616490" w:rsidRDefault="00616490" w:rsidP="00616490">
            <w:pPr>
              <w:pStyle w:val="Default"/>
              <w:numPr>
                <w:ilvl w:val="0"/>
                <w:numId w:val="5"/>
              </w:numPr>
              <w:spacing w:after="120"/>
              <w:ind w:left="709" w:right="284" w:hanging="425"/>
              <w:rPr>
                <w:rFonts w:ascii="Arial" w:hAnsi="Arial" w:cs="Arial"/>
                <w:sz w:val="20"/>
                <w:szCs w:val="20"/>
              </w:rPr>
            </w:pPr>
            <w:r w:rsidRPr="00512D43">
              <w:rPr>
                <w:rFonts w:ascii="Arial" w:hAnsi="Arial" w:cs="Arial"/>
                <w:sz w:val="20"/>
                <w:szCs w:val="20"/>
              </w:rPr>
              <w:t>The main object of this Act is to provide for the long term protection and conservation of the environment, biodiversity and heritage values of the Great Barrier Reef Region.</w:t>
            </w:r>
          </w:p>
          <w:p w14:paraId="43676B0E" w14:textId="77777777" w:rsidR="00616490" w:rsidRDefault="00616490" w:rsidP="00616490">
            <w:pPr>
              <w:pStyle w:val="Default"/>
              <w:numPr>
                <w:ilvl w:val="0"/>
                <w:numId w:val="5"/>
              </w:numPr>
              <w:spacing w:after="60"/>
              <w:ind w:left="709" w:right="284" w:hanging="425"/>
              <w:rPr>
                <w:rFonts w:ascii="Arial" w:hAnsi="Arial" w:cs="Arial"/>
                <w:sz w:val="20"/>
                <w:szCs w:val="20"/>
              </w:rPr>
            </w:pPr>
            <w:r w:rsidRPr="00512D43">
              <w:rPr>
                <w:rFonts w:ascii="Arial" w:hAnsi="Arial" w:cs="Arial"/>
                <w:sz w:val="20"/>
                <w:szCs w:val="20"/>
              </w:rPr>
              <w:t>The other objects of this Act are to do the following, so far as is consistent with the main object:</w:t>
            </w:r>
          </w:p>
          <w:p w14:paraId="7182D2AC" w14:textId="77777777" w:rsidR="00616490" w:rsidRDefault="00616490" w:rsidP="00616490">
            <w:pPr>
              <w:pStyle w:val="Default"/>
              <w:numPr>
                <w:ilvl w:val="0"/>
                <w:numId w:val="4"/>
              </w:numPr>
              <w:spacing w:after="60"/>
              <w:ind w:left="1417" w:right="284" w:hanging="708"/>
              <w:rPr>
                <w:rFonts w:ascii="Arial" w:hAnsi="Arial" w:cs="Arial"/>
                <w:sz w:val="20"/>
                <w:szCs w:val="20"/>
              </w:rPr>
            </w:pPr>
            <w:r w:rsidRPr="00E31FF0">
              <w:rPr>
                <w:rFonts w:ascii="Arial" w:hAnsi="Arial" w:cs="Arial"/>
                <w:sz w:val="20"/>
                <w:szCs w:val="20"/>
              </w:rPr>
              <w:t>allow ecologically sustainable use of the Great Barrier Reef Region for purposes including the following:</w:t>
            </w:r>
          </w:p>
          <w:p w14:paraId="42D9017A" w14:textId="77777777" w:rsidR="00616490" w:rsidRDefault="00616490" w:rsidP="00616490">
            <w:pPr>
              <w:pStyle w:val="Default"/>
              <w:numPr>
                <w:ilvl w:val="1"/>
                <w:numId w:val="4"/>
              </w:numPr>
              <w:spacing w:after="60"/>
              <w:ind w:left="2126" w:right="284" w:hanging="708"/>
              <w:rPr>
                <w:rFonts w:ascii="Arial" w:hAnsi="Arial" w:cs="Arial"/>
                <w:sz w:val="20"/>
                <w:szCs w:val="20"/>
              </w:rPr>
            </w:pPr>
            <w:r w:rsidRPr="00E31FF0">
              <w:rPr>
                <w:rFonts w:ascii="Arial" w:hAnsi="Arial" w:cs="Arial"/>
                <w:sz w:val="20"/>
                <w:szCs w:val="20"/>
              </w:rPr>
              <w:t>public enjoyment and appreciation</w:t>
            </w:r>
          </w:p>
          <w:p w14:paraId="1A1A7BDD" w14:textId="77777777" w:rsidR="00616490" w:rsidRDefault="00616490" w:rsidP="00616490">
            <w:pPr>
              <w:pStyle w:val="Default"/>
              <w:numPr>
                <w:ilvl w:val="1"/>
                <w:numId w:val="4"/>
              </w:numPr>
              <w:spacing w:after="60"/>
              <w:ind w:left="2126" w:right="284" w:hanging="708"/>
              <w:rPr>
                <w:rFonts w:ascii="Arial" w:hAnsi="Arial" w:cs="Arial"/>
                <w:sz w:val="20"/>
                <w:szCs w:val="20"/>
              </w:rPr>
            </w:pPr>
            <w:r w:rsidRPr="00E31FF0">
              <w:rPr>
                <w:rFonts w:ascii="Arial" w:hAnsi="Arial" w:cs="Arial"/>
                <w:sz w:val="20"/>
                <w:szCs w:val="20"/>
              </w:rPr>
              <w:lastRenderedPageBreak/>
              <w:t>public education about and understanding of the Region</w:t>
            </w:r>
          </w:p>
          <w:p w14:paraId="050E9F43" w14:textId="77777777" w:rsidR="00616490" w:rsidRDefault="00616490" w:rsidP="00616490">
            <w:pPr>
              <w:pStyle w:val="Default"/>
              <w:numPr>
                <w:ilvl w:val="1"/>
                <w:numId w:val="4"/>
              </w:numPr>
              <w:spacing w:after="60"/>
              <w:ind w:left="2126" w:right="284" w:hanging="708"/>
              <w:rPr>
                <w:rFonts w:ascii="Arial" w:hAnsi="Arial" w:cs="Arial"/>
                <w:sz w:val="20"/>
                <w:szCs w:val="20"/>
              </w:rPr>
            </w:pPr>
            <w:r w:rsidRPr="00E31FF0">
              <w:rPr>
                <w:rFonts w:ascii="Arial" w:hAnsi="Arial" w:cs="Arial"/>
                <w:sz w:val="20"/>
                <w:szCs w:val="20"/>
              </w:rPr>
              <w:t>recreational, economic and cultural activities</w:t>
            </w:r>
          </w:p>
          <w:p w14:paraId="1D0075E1" w14:textId="77777777" w:rsidR="00616490" w:rsidRPr="00E31FF0" w:rsidRDefault="00616490" w:rsidP="00616490">
            <w:pPr>
              <w:pStyle w:val="Default"/>
              <w:numPr>
                <w:ilvl w:val="1"/>
                <w:numId w:val="4"/>
              </w:numPr>
              <w:spacing w:after="60"/>
              <w:ind w:left="2126" w:right="284" w:hanging="708"/>
              <w:rPr>
                <w:rFonts w:ascii="Arial" w:hAnsi="Arial" w:cs="Arial"/>
                <w:sz w:val="20"/>
                <w:szCs w:val="20"/>
              </w:rPr>
            </w:pPr>
            <w:r w:rsidRPr="00E31FF0">
              <w:rPr>
                <w:rFonts w:ascii="Arial" w:hAnsi="Arial" w:cs="Arial"/>
                <w:sz w:val="20"/>
                <w:szCs w:val="20"/>
              </w:rPr>
              <w:t>research in relation to the natural, social, economic and cultural systems and value of the Great Barrier Reef Region;</w:t>
            </w:r>
          </w:p>
          <w:p w14:paraId="35B6F67B" w14:textId="77777777" w:rsidR="00616490" w:rsidRPr="00512D43" w:rsidRDefault="00616490" w:rsidP="00616490">
            <w:pPr>
              <w:pStyle w:val="Default"/>
              <w:numPr>
                <w:ilvl w:val="0"/>
                <w:numId w:val="4"/>
              </w:numPr>
              <w:spacing w:after="60"/>
              <w:ind w:left="1417" w:right="284" w:hanging="708"/>
              <w:rPr>
                <w:rFonts w:ascii="Arial" w:hAnsi="Arial" w:cs="Arial"/>
                <w:sz w:val="20"/>
                <w:szCs w:val="20"/>
              </w:rPr>
            </w:pPr>
            <w:r w:rsidRPr="00512D43">
              <w:rPr>
                <w:rFonts w:ascii="Arial" w:hAnsi="Arial" w:cs="Arial"/>
                <w:sz w:val="20"/>
                <w:szCs w:val="20"/>
              </w:rPr>
              <w:t xml:space="preserve">encourage engagement in the protection and management of the Great Barrier Reef Region by interested persons and groups, including Queensland and local governments, communities, Indigenous persons, business and industry; </w:t>
            </w:r>
          </w:p>
          <w:p w14:paraId="471A99EF" w14:textId="77777777" w:rsidR="00616490" w:rsidRPr="00616490" w:rsidRDefault="00616490" w:rsidP="00616490">
            <w:pPr>
              <w:pStyle w:val="Default"/>
              <w:numPr>
                <w:ilvl w:val="0"/>
                <w:numId w:val="4"/>
              </w:numPr>
              <w:spacing w:after="60"/>
              <w:ind w:left="1417" w:right="284" w:hanging="708"/>
              <w:rPr>
                <w:rFonts w:ascii="Arial" w:hAnsi="Arial" w:cs="Arial"/>
                <w:sz w:val="20"/>
                <w:szCs w:val="20"/>
              </w:rPr>
            </w:pPr>
            <w:proofErr w:type="gramStart"/>
            <w:r w:rsidRPr="00616490">
              <w:rPr>
                <w:rFonts w:ascii="Arial" w:hAnsi="Arial" w:cs="Arial"/>
                <w:sz w:val="20"/>
                <w:szCs w:val="20"/>
              </w:rPr>
              <w:t>assist</w:t>
            </w:r>
            <w:proofErr w:type="gramEnd"/>
            <w:r w:rsidRPr="00616490">
              <w:rPr>
                <w:rFonts w:ascii="Arial" w:hAnsi="Arial" w:cs="Arial"/>
                <w:sz w:val="20"/>
                <w:szCs w:val="20"/>
              </w:rPr>
              <w:t xml:space="preserve"> in meeting Australia’s international responsibilities in relation to the environment and protection of world heritage (especially Australia’s responsibilities under the World Heritage Convention). </w:t>
            </w:r>
          </w:p>
          <w:p w14:paraId="62904A14" w14:textId="77777777" w:rsidR="00616490" w:rsidRPr="00E31FF0" w:rsidRDefault="00616490" w:rsidP="00616490">
            <w:pPr>
              <w:pStyle w:val="Default"/>
              <w:numPr>
                <w:ilvl w:val="0"/>
                <w:numId w:val="5"/>
              </w:numPr>
              <w:spacing w:after="120"/>
              <w:ind w:left="709" w:right="284" w:hanging="425"/>
              <w:rPr>
                <w:rFonts w:ascii="Arial" w:hAnsi="Arial" w:cs="Arial"/>
                <w:sz w:val="20"/>
                <w:szCs w:val="20"/>
              </w:rPr>
            </w:pPr>
            <w:r w:rsidRPr="00E31FF0">
              <w:rPr>
                <w:rFonts w:ascii="Arial" w:eastAsia="Times New Roman" w:hAnsi="Arial" w:cs="Arial"/>
                <w:sz w:val="20"/>
                <w:szCs w:val="20"/>
                <w:lang w:eastAsia="en-AU"/>
              </w:rPr>
              <w:t xml:space="preserve">In order to </w:t>
            </w:r>
            <w:r w:rsidRPr="00616490">
              <w:rPr>
                <w:rFonts w:ascii="Arial" w:hAnsi="Arial" w:cs="Arial"/>
                <w:sz w:val="20"/>
                <w:szCs w:val="20"/>
              </w:rPr>
              <w:t>achieve</w:t>
            </w:r>
            <w:r w:rsidRPr="00E31FF0">
              <w:rPr>
                <w:rFonts w:ascii="Arial" w:eastAsia="Times New Roman" w:hAnsi="Arial" w:cs="Arial"/>
                <w:sz w:val="20"/>
                <w:szCs w:val="20"/>
                <w:lang w:eastAsia="en-AU"/>
              </w:rPr>
              <w:t xml:space="preserve"> its objects, this Act:</w:t>
            </w:r>
          </w:p>
          <w:p w14:paraId="5476BC74" w14:textId="77777777" w:rsidR="00616490" w:rsidRPr="00E31FF0" w:rsidRDefault="00616490" w:rsidP="00616490">
            <w:pPr>
              <w:pStyle w:val="Default"/>
              <w:numPr>
                <w:ilvl w:val="0"/>
                <w:numId w:val="3"/>
              </w:numPr>
              <w:spacing w:after="60"/>
              <w:ind w:left="1417" w:right="284" w:hanging="708"/>
              <w:rPr>
                <w:rFonts w:ascii="Arial" w:hAnsi="Arial" w:cs="Arial"/>
                <w:sz w:val="20"/>
                <w:szCs w:val="20"/>
              </w:rPr>
            </w:pPr>
            <w:r w:rsidRPr="00E31FF0">
              <w:rPr>
                <w:rFonts w:ascii="Arial" w:hAnsi="Arial" w:cs="Arial"/>
                <w:sz w:val="20"/>
                <w:szCs w:val="20"/>
              </w:rPr>
              <w:t>provides for the establishment, control, care and development of the Great Barrier Reef Marine Park; and</w:t>
            </w:r>
          </w:p>
          <w:p w14:paraId="6A288A26" w14:textId="77777777" w:rsidR="00616490" w:rsidRPr="00E31FF0" w:rsidRDefault="00616490" w:rsidP="00616490">
            <w:pPr>
              <w:pStyle w:val="Default"/>
              <w:numPr>
                <w:ilvl w:val="0"/>
                <w:numId w:val="3"/>
              </w:numPr>
              <w:spacing w:after="60"/>
              <w:ind w:left="1417" w:right="284" w:hanging="708"/>
              <w:rPr>
                <w:rFonts w:ascii="Arial" w:hAnsi="Arial" w:cs="Arial"/>
                <w:sz w:val="20"/>
                <w:szCs w:val="20"/>
              </w:rPr>
            </w:pPr>
            <w:r w:rsidRPr="00E31FF0">
              <w:rPr>
                <w:rFonts w:ascii="Arial" w:hAnsi="Arial" w:cs="Arial"/>
                <w:sz w:val="20"/>
                <w:szCs w:val="20"/>
              </w:rPr>
              <w:t>establishes the Great Barrier Reef Marine Park Authority; and</w:t>
            </w:r>
          </w:p>
          <w:p w14:paraId="3048D61B" w14:textId="77777777" w:rsidR="00616490" w:rsidRPr="00E31FF0" w:rsidRDefault="00616490" w:rsidP="00616490">
            <w:pPr>
              <w:pStyle w:val="Default"/>
              <w:numPr>
                <w:ilvl w:val="0"/>
                <w:numId w:val="3"/>
              </w:numPr>
              <w:spacing w:after="60"/>
              <w:ind w:left="1417" w:right="284" w:hanging="708"/>
              <w:rPr>
                <w:rFonts w:ascii="Arial" w:hAnsi="Arial" w:cs="Arial"/>
                <w:sz w:val="20"/>
                <w:szCs w:val="20"/>
              </w:rPr>
            </w:pPr>
            <w:r w:rsidRPr="00E31FF0">
              <w:rPr>
                <w:rFonts w:ascii="Arial" w:hAnsi="Arial" w:cs="Arial"/>
                <w:sz w:val="20"/>
                <w:szCs w:val="20"/>
              </w:rPr>
              <w:t>provides for zoning plans and plans of management; and</w:t>
            </w:r>
          </w:p>
          <w:p w14:paraId="754A9EC6" w14:textId="77777777" w:rsidR="00616490" w:rsidRPr="00512D43" w:rsidRDefault="00616490" w:rsidP="00616490">
            <w:pPr>
              <w:pStyle w:val="Default"/>
              <w:numPr>
                <w:ilvl w:val="0"/>
                <w:numId w:val="3"/>
              </w:numPr>
              <w:spacing w:after="60"/>
              <w:ind w:left="1417" w:right="284" w:hanging="708"/>
              <w:rPr>
                <w:rFonts w:ascii="Arial" w:hAnsi="Arial" w:cs="Arial"/>
                <w:sz w:val="20"/>
                <w:szCs w:val="20"/>
              </w:rPr>
            </w:pPr>
            <w:r w:rsidRPr="00E31FF0">
              <w:rPr>
                <w:rFonts w:ascii="Arial" w:hAnsi="Arial" w:cs="Arial"/>
                <w:sz w:val="20"/>
                <w:szCs w:val="20"/>
              </w:rPr>
              <w:t>regulates, including by</w:t>
            </w:r>
            <w:r w:rsidRPr="00512D43">
              <w:rPr>
                <w:rFonts w:ascii="Arial" w:hAnsi="Arial" w:cs="Arial"/>
                <w:sz w:val="20"/>
                <w:szCs w:val="20"/>
              </w:rPr>
              <w:t xml:space="preserve"> a system of permissions, use of the Great Barrier Reef Marine Park in ways consistent with ecosystem</w:t>
            </w:r>
            <w:r w:rsidRPr="00512D43">
              <w:rPr>
                <w:rFonts w:ascii="Arial" w:hAnsi="Arial" w:cs="Arial"/>
                <w:sz w:val="20"/>
                <w:szCs w:val="20"/>
              </w:rPr>
              <w:noBreakHyphen/>
              <w:t>based management and the principles of ecologically sustainable use; and</w:t>
            </w:r>
          </w:p>
          <w:p w14:paraId="4ABA1162" w14:textId="77777777" w:rsidR="00616490" w:rsidRPr="00512D43" w:rsidRDefault="00616490" w:rsidP="00616490">
            <w:pPr>
              <w:pStyle w:val="Default"/>
              <w:numPr>
                <w:ilvl w:val="0"/>
                <w:numId w:val="3"/>
              </w:numPr>
              <w:spacing w:after="60"/>
              <w:ind w:left="1417" w:right="284" w:hanging="708"/>
              <w:rPr>
                <w:rFonts w:ascii="Arial" w:hAnsi="Arial" w:cs="Arial"/>
                <w:sz w:val="20"/>
                <w:szCs w:val="20"/>
              </w:rPr>
            </w:pPr>
            <w:r w:rsidRPr="00512D43">
              <w:rPr>
                <w:rFonts w:ascii="Arial" w:hAnsi="Arial" w:cs="Arial"/>
                <w:sz w:val="20"/>
                <w:szCs w:val="20"/>
              </w:rPr>
              <w:t>facilitates partnership with traditional owners in management of marine resources; and</w:t>
            </w:r>
          </w:p>
          <w:p w14:paraId="69F3380D" w14:textId="77FBF354" w:rsidR="00616490" w:rsidRPr="00616490" w:rsidRDefault="00616490" w:rsidP="00616490">
            <w:pPr>
              <w:pStyle w:val="Default"/>
              <w:numPr>
                <w:ilvl w:val="0"/>
                <w:numId w:val="3"/>
              </w:numPr>
              <w:spacing w:after="60"/>
              <w:ind w:left="1417" w:right="284" w:hanging="708"/>
              <w:rPr>
                <w:rFonts w:ascii="Arial" w:hAnsi="Arial" w:cs="Arial"/>
                <w:sz w:val="20"/>
                <w:szCs w:val="20"/>
              </w:rPr>
            </w:pPr>
            <w:proofErr w:type="gramStart"/>
            <w:r w:rsidRPr="00512D43">
              <w:rPr>
                <w:rFonts w:ascii="Arial" w:hAnsi="Arial" w:cs="Arial"/>
                <w:sz w:val="20"/>
                <w:szCs w:val="20"/>
              </w:rPr>
              <w:t>facilitates</w:t>
            </w:r>
            <w:proofErr w:type="gramEnd"/>
            <w:r w:rsidRPr="00512D43">
              <w:rPr>
                <w:rFonts w:ascii="Arial" w:hAnsi="Arial" w:cs="Arial"/>
                <w:sz w:val="20"/>
                <w:szCs w:val="20"/>
              </w:rPr>
              <w:t xml:space="preserve"> a collaborative approach to management of the Great Barrier Reef World Heritage area with the Queensland government.</w:t>
            </w:r>
          </w:p>
        </w:tc>
      </w:tr>
    </w:tbl>
    <w:p w14:paraId="512702DD" w14:textId="77777777" w:rsidR="00616490" w:rsidRDefault="00616490">
      <w:pPr>
        <w:rPr>
          <w:rFonts w:ascii="Arial" w:hAnsi="Arial" w:cs="Arial"/>
        </w:rPr>
      </w:pPr>
    </w:p>
    <w:p w14:paraId="429C190F" w14:textId="2D50B537" w:rsidR="0066544B" w:rsidRDefault="0066544B">
      <w:pPr>
        <w:rPr>
          <w:rFonts w:ascii="Arial" w:hAnsi="Arial" w:cs="Arial"/>
        </w:rPr>
      </w:pPr>
      <w:r>
        <w:rPr>
          <w:rFonts w:ascii="Arial" w:hAnsi="Arial" w:cs="Arial"/>
        </w:rPr>
        <w:t>In managing</w:t>
      </w:r>
      <w:r w:rsidR="00616490">
        <w:rPr>
          <w:rFonts w:ascii="Arial" w:hAnsi="Arial" w:cs="Arial"/>
        </w:rPr>
        <w:t xml:space="preserve"> the </w:t>
      </w:r>
      <w:r>
        <w:rPr>
          <w:rFonts w:ascii="Arial" w:hAnsi="Arial" w:cs="Arial"/>
        </w:rPr>
        <w:t>Marine Park</w:t>
      </w:r>
      <w:r w:rsidR="00D90C34">
        <w:rPr>
          <w:rFonts w:ascii="Arial" w:hAnsi="Arial" w:cs="Arial"/>
        </w:rPr>
        <w:t xml:space="preserve"> as a multiple use area</w:t>
      </w:r>
      <w:r>
        <w:rPr>
          <w:rFonts w:ascii="Arial" w:hAnsi="Arial" w:cs="Arial"/>
        </w:rPr>
        <w:t xml:space="preserve">, </w:t>
      </w:r>
      <w:r w:rsidR="00D90C34">
        <w:rPr>
          <w:rFonts w:ascii="Arial" w:hAnsi="Arial" w:cs="Arial"/>
        </w:rPr>
        <w:t>GBRMPA</w:t>
      </w:r>
      <w:r>
        <w:rPr>
          <w:rFonts w:ascii="Arial" w:hAnsi="Arial" w:cs="Arial"/>
        </w:rPr>
        <w:t xml:space="preserve"> must have regard to, and seek to act in a way that is consistent with the objects of the Act</w:t>
      </w:r>
      <w:r w:rsidR="003C09FE">
        <w:rPr>
          <w:rFonts w:ascii="Arial" w:hAnsi="Arial" w:cs="Arial"/>
        </w:rPr>
        <w:t xml:space="preserve"> and ecosystem based management</w:t>
      </w:r>
      <w:r>
        <w:rPr>
          <w:rFonts w:ascii="Arial" w:hAnsi="Arial" w:cs="Arial"/>
        </w:rPr>
        <w:t>, the protection of the world heritage values of the Great Barrier Reef World Heritage Area, and the principles of ecologically sustainable use</w:t>
      </w:r>
      <w:r w:rsidR="00FF6BF8">
        <w:rPr>
          <w:rFonts w:ascii="Arial" w:hAnsi="Arial" w:cs="Arial"/>
        </w:rPr>
        <w:t xml:space="preserve"> as</w:t>
      </w:r>
      <w:r w:rsidR="00616490">
        <w:rPr>
          <w:rFonts w:ascii="Arial" w:hAnsi="Arial" w:cs="Arial"/>
        </w:rPr>
        <w:t xml:space="preserve"> set out in the Act, namely:</w:t>
      </w:r>
    </w:p>
    <w:p w14:paraId="533C6523" w14:textId="77777777" w:rsidR="00616490" w:rsidRPr="00616490" w:rsidRDefault="00616490" w:rsidP="00D17173">
      <w:pPr>
        <w:spacing w:after="120" w:line="240" w:lineRule="auto"/>
        <w:ind w:left="1134" w:right="522" w:hanging="425"/>
        <w:rPr>
          <w:rFonts w:ascii="Arial" w:hAnsi="Arial" w:cs="Arial"/>
        </w:rPr>
      </w:pPr>
      <w:r w:rsidRPr="00616490">
        <w:rPr>
          <w:rFonts w:ascii="Arial" w:hAnsi="Arial" w:cs="Arial"/>
        </w:rPr>
        <w:t>(a)</w:t>
      </w:r>
      <w:r w:rsidRPr="00616490">
        <w:rPr>
          <w:rFonts w:ascii="Arial" w:hAnsi="Arial" w:cs="Arial"/>
        </w:rPr>
        <w:tab/>
      </w:r>
      <w:proofErr w:type="gramStart"/>
      <w:r w:rsidRPr="00616490">
        <w:rPr>
          <w:rFonts w:ascii="Arial" w:hAnsi="Arial" w:cs="Arial"/>
        </w:rPr>
        <w:t>decision-making</w:t>
      </w:r>
      <w:proofErr w:type="gramEnd"/>
      <w:r w:rsidRPr="00616490">
        <w:rPr>
          <w:rFonts w:ascii="Arial" w:hAnsi="Arial" w:cs="Arial"/>
        </w:rPr>
        <w:t xml:space="preserve"> processes should effectively integrate both long-term and short-term environmental, economic, social and equitable considerations</w:t>
      </w:r>
    </w:p>
    <w:p w14:paraId="4F00DCA9" w14:textId="77777777" w:rsidR="00616490" w:rsidRPr="00616490" w:rsidRDefault="00616490" w:rsidP="00D17173">
      <w:pPr>
        <w:spacing w:after="120" w:line="240" w:lineRule="auto"/>
        <w:ind w:left="1134" w:right="522" w:hanging="425"/>
        <w:rPr>
          <w:rFonts w:ascii="Arial" w:hAnsi="Arial" w:cs="Arial"/>
        </w:rPr>
      </w:pPr>
      <w:r w:rsidRPr="00616490">
        <w:rPr>
          <w:rFonts w:ascii="Arial" w:hAnsi="Arial" w:cs="Arial"/>
        </w:rPr>
        <w:t>(b)</w:t>
      </w:r>
      <w:r w:rsidRPr="00616490">
        <w:rPr>
          <w:rFonts w:ascii="Arial" w:hAnsi="Arial" w:cs="Arial"/>
        </w:rPr>
        <w:tab/>
      </w:r>
      <w:proofErr w:type="gramStart"/>
      <w:r w:rsidRPr="00616490">
        <w:rPr>
          <w:rFonts w:ascii="Arial" w:hAnsi="Arial" w:cs="Arial"/>
        </w:rPr>
        <w:t>the</w:t>
      </w:r>
      <w:proofErr w:type="gramEnd"/>
      <w:r w:rsidRPr="00616490">
        <w:rPr>
          <w:rFonts w:ascii="Arial" w:hAnsi="Arial" w:cs="Arial"/>
        </w:rPr>
        <w:t xml:space="preserve"> precautionary principle</w:t>
      </w:r>
    </w:p>
    <w:p w14:paraId="6F1E1D47" w14:textId="77777777" w:rsidR="00616490" w:rsidRPr="00616490" w:rsidRDefault="00616490" w:rsidP="00D17173">
      <w:pPr>
        <w:spacing w:after="120" w:line="240" w:lineRule="auto"/>
        <w:ind w:left="1134" w:right="522" w:hanging="425"/>
        <w:rPr>
          <w:rFonts w:ascii="Arial" w:hAnsi="Arial" w:cs="Arial"/>
        </w:rPr>
      </w:pPr>
      <w:r w:rsidRPr="00616490">
        <w:rPr>
          <w:rFonts w:ascii="Arial" w:hAnsi="Arial" w:cs="Arial"/>
        </w:rPr>
        <w:t>(c)</w:t>
      </w:r>
      <w:r w:rsidRPr="00616490">
        <w:rPr>
          <w:rFonts w:ascii="Arial" w:hAnsi="Arial" w:cs="Arial"/>
        </w:rPr>
        <w:tab/>
      </w:r>
      <w:proofErr w:type="gramStart"/>
      <w:r w:rsidRPr="00616490">
        <w:rPr>
          <w:rFonts w:ascii="Arial" w:hAnsi="Arial" w:cs="Arial"/>
        </w:rPr>
        <w:t>the</w:t>
      </w:r>
      <w:proofErr w:type="gramEnd"/>
      <w:r w:rsidRPr="00616490">
        <w:rPr>
          <w:rFonts w:ascii="Arial" w:hAnsi="Arial" w:cs="Arial"/>
        </w:rPr>
        <w:t xml:space="preserve"> principle of intergenerational equity — that the present generation should ensure the health, diversity and productivity of the environment is maintained or enhanced for the benefit of future generations</w:t>
      </w:r>
    </w:p>
    <w:p w14:paraId="71561D7C" w14:textId="77777777" w:rsidR="00616490" w:rsidRPr="00616490" w:rsidRDefault="00616490" w:rsidP="00D17173">
      <w:pPr>
        <w:spacing w:after="120" w:line="240" w:lineRule="auto"/>
        <w:ind w:left="1134" w:right="522" w:hanging="425"/>
        <w:rPr>
          <w:rFonts w:ascii="Arial" w:hAnsi="Arial" w:cs="Arial"/>
        </w:rPr>
      </w:pPr>
      <w:r w:rsidRPr="00616490">
        <w:rPr>
          <w:rFonts w:ascii="Arial" w:hAnsi="Arial" w:cs="Arial"/>
        </w:rPr>
        <w:t>(d)</w:t>
      </w:r>
      <w:r w:rsidRPr="00616490">
        <w:rPr>
          <w:rFonts w:ascii="Arial" w:hAnsi="Arial" w:cs="Arial"/>
        </w:rPr>
        <w:tab/>
      </w:r>
      <w:proofErr w:type="gramStart"/>
      <w:r w:rsidRPr="00616490">
        <w:rPr>
          <w:rFonts w:ascii="Arial" w:hAnsi="Arial" w:cs="Arial"/>
        </w:rPr>
        <w:t>the</w:t>
      </w:r>
      <w:proofErr w:type="gramEnd"/>
      <w:r w:rsidRPr="00616490">
        <w:rPr>
          <w:rFonts w:ascii="Arial" w:hAnsi="Arial" w:cs="Arial"/>
        </w:rPr>
        <w:t xml:space="preserve"> conservation of biodiversity and ecological integrity should be a fundamental consideration in decision making</w:t>
      </w:r>
    </w:p>
    <w:p w14:paraId="5E6D630F" w14:textId="0FB5FF15" w:rsidR="00616490" w:rsidRDefault="00616490" w:rsidP="00D17173">
      <w:pPr>
        <w:spacing w:after="120" w:line="240" w:lineRule="auto"/>
        <w:ind w:left="1134" w:right="522" w:hanging="425"/>
        <w:rPr>
          <w:rFonts w:ascii="Arial" w:hAnsi="Arial" w:cs="Arial"/>
        </w:rPr>
      </w:pPr>
      <w:r w:rsidRPr="00616490">
        <w:rPr>
          <w:rFonts w:ascii="Arial" w:hAnsi="Arial" w:cs="Arial"/>
        </w:rPr>
        <w:t>(e)</w:t>
      </w:r>
      <w:r w:rsidRPr="00616490">
        <w:rPr>
          <w:rFonts w:ascii="Arial" w:hAnsi="Arial" w:cs="Arial"/>
        </w:rPr>
        <w:tab/>
      </w:r>
      <w:proofErr w:type="gramStart"/>
      <w:r w:rsidRPr="00616490">
        <w:rPr>
          <w:rFonts w:ascii="Arial" w:hAnsi="Arial" w:cs="Arial"/>
        </w:rPr>
        <w:t>improved</w:t>
      </w:r>
      <w:proofErr w:type="gramEnd"/>
      <w:r w:rsidRPr="00616490">
        <w:rPr>
          <w:rFonts w:ascii="Arial" w:hAnsi="Arial" w:cs="Arial"/>
        </w:rPr>
        <w:t xml:space="preserve"> valuation, pricing and incentive mechanisms should be promoted.</w:t>
      </w:r>
    </w:p>
    <w:p w14:paraId="345417C8" w14:textId="46ED134F" w:rsidR="00616490" w:rsidRDefault="00D17173">
      <w:pPr>
        <w:rPr>
          <w:rFonts w:ascii="Arial" w:hAnsi="Arial" w:cs="Arial"/>
        </w:rPr>
      </w:pPr>
      <w:r>
        <w:rPr>
          <w:rFonts w:ascii="Arial" w:hAnsi="Arial" w:cs="Arial"/>
        </w:rPr>
        <w:t>In protecting and managing the Great Barrier Reef, three main management approaches are used:</w:t>
      </w:r>
    </w:p>
    <w:p w14:paraId="38F26A84" w14:textId="7074EB08" w:rsidR="00D17173" w:rsidRDefault="00D17173">
      <w:pPr>
        <w:rPr>
          <w:rFonts w:ascii="Arial" w:hAnsi="Arial" w:cs="Arial"/>
        </w:rPr>
      </w:pPr>
      <w:r w:rsidRPr="00745841">
        <w:rPr>
          <w:rFonts w:ascii="Arial" w:hAnsi="Arial" w:cs="Arial"/>
          <w:u w:val="single"/>
        </w:rPr>
        <w:t>Environmental regulation</w:t>
      </w:r>
      <w:r w:rsidRPr="00194232">
        <w:rPr>
          <w:rFonts w:ascii="Arial" w:hAnsi="Arial" w:cs="Arial"/>
        </w:rPr>
        <w:t xml:space="preserve">: </w:t>
      </w:r>
      <w:r w:rsidR="00374805">
        <w:rPr>
          <w:rFonts w:ascii="Arial" w:hAnsi="Arial" w:cs="Arial"/>
        </w:rPr>
        <w:t>M</w:t>
      </w:r>
      <w:r>
        <w:rPr>
          <w:rFonts w:ascii="Arial" w:hAnsi="Arial" w:cs="Arial"/>
        </w:rPr>
        <w:t>anagement tools such as regulations, zoning plans, management plans, permits and licences, and compliance are used to establish the statutory arrangements and environmental standards necessary to protect and manage the Reef.</w:t>
      </w:r>
    </w:p>
    <w:p w14:paraId="5CD3DE13" w14:textId="52F7D025" w:rsidR="00D17173" w:rsidRDefault="00D17173">
      <w:pPr>
        <w:rPr>
          <w:rFonts w:ascii="Arial" w:hAnsi="Arial" w:cs="Arial"/>
        </w:rPr>
      </w:pPr>
      <w:r w:rsidRPr="00745841">
        <w:rPr>
          <w:rFonts w:ascii="Arial" w:hAnsi="Arial" w:cs="Arial"/>
          <w:u w:val="single"/>
        </w:rPr>
        <w:t>Engagement</w:t>
      </w:r>
      <w:r w:rsidRPr="00194232">
        <w:rPr>
          <w:rFonts w:ascii="Arial" w:hAnsi="Arial" w:cs="Arial"/>
        </w:rPr>
        <w:t xml:space="preserve">: </w:t>
      </w:r>
      <w:r w:rsidR="00374805">
        <w:rPr>
          <w:rFonts w:ascii="Arial" w:hAnsi="Arial" w:cs="Arial"/>
        </w:rPr>
        <w:t>M</w:t>
      </w:r>
      <w:r>
        <w:rPr>
          <w:rFonts w:ascii="Arial" w:hAnsi="Arial" w:cs="Arial"/>
        </w:rPr>
        <w:t>anaging agencies work with Traditional Owners, the community, business, industry and local government to influence best practice and encourage actions that will help to secure the future health of the Reef.</w:t>
      </w:r>
    </w:p>
    <w:p w14:paraId="14A67793" w14:textId="6216AAE7" w:rsidR="00D17173" w:rsidRDefault="00D17173">
      <w:pPr>
        <w:rPr>
          <w:rFonts w:ascii="Arial" w:hAnsi="Arial" w:cs="Arial"/>
        </w:rPr>
      </w:pPr>
      <w:r w:rsidRPr="00745841">
        <w:rPr>
          <w:rFonts w:ascii="Arial" w:hAnsi="Arial" w:cs="Arial"/>
          <w:u w:val="single"/>
        </w:rPr>
        <w:lastRenderedPageBreak/>
        <w:t>Knowledge, integration and innovation</w:t>
      </w:r>
      <w:r w:rsidRPr="00194232">
        <w:rPr>
          <w:rFonts w:ascii="Arial" w:hAnsi="Arial" w:cs="Arial"/>
        </w:rPr>
        <w:t xml:space="preserve">: </w:t>
      </w:r>
      <w:r w:rsidR="00374805">
        <w:rPr>
          <w:rFonts w:ascii="Arial" w:hAnsi="Arial" w:cs="Arial"/>
        </w:rPr>
        <w:t>M</w:t>
      </w:r>
      <w:r>
        <w:rPr>
          <w:rFonts w:ascii="Arial" w:hAnsi="Arial" w:cs="Arial"/>
        </w:rPr>
        <w:t>anagement is based on the best available science as well as drawing on traditional ecological knowledge and information from the wider community, and is informed by the results of ongoing monitoring.</w:t>
      </w:r>
    </w:p>
    <w:p w14:paraId="7F74AF99" w14:textId="77777777" w:rsidR="005825E1" w:rsidRPr="00194232" w:rsidRDefault="005825E1" w:rsidP="00194232">
      <w:pPr>
        <w:pStyle w:val="Heading2"/>
        <w:numPr>
          <w:ilvl w:val="1"/>
          <w:numId w:val="10"/>
        </w:numPr>
        <w:pBdr>
          <w:top w:val="single" w:sz="4" w:space="1" w:color="4F81BD" w:themeColor="accent1"/>
          <w:left w:val="single" w:sz="4" w:space="4" w:color="4F81BD" w:themeColor="accent1"/>
        </w:pBdr>
        <w:spacing w:before="240" w:after="120"/>
        <w:ind w:left="567" w:hanging="573"/>
        <w:rPr>
          <w:rFonts w:ascii="Arial" w:hAnsi="Arial" w:cs="Arial"/>
          <w:b w:val="0"/>
          <w:color w:val="1F497D" w:themeColor="text2"/>
          <w:sz w:val="22"/>
        </w:rPr>
      </w:pPr>
      <w:bookmarkStart w:id="4" w:name="_Toc474753097"/>
      <w:proofErr w:type="gramStart"/>
      <w:r w:rsidRPr="00194232">
        <w:rPr>
          <w:rFonts w:ascii="Arial" w:hAnsi="Arial" w:cs="Arial"/>
          <w:b w:val="0"/>
          <w:color w:val="1F497D" w:themeColor="text2"/>
          <w:sz w:val="22"/>
        </w:rPr>
        <w:t>Management tool types, purpose and consideration in the self-assessment.</w:t>
      </w:r>
      <w:bookmarkEnd w:id="4"/>
      <w:proofErr w:type="gramEnd"/>
    </w:p>
    <w:p w14:paraId="3A816D88" w14:textId="0C07A297" w:rsidR="005825E1" w:rsidRPr="001933FB" w:rsidRDefault="005825E1" w:rsidP="005825E1">
      <w:pPr>
        <w:rPr>
          <w:rFonts w:ascii="Arial" w:hAnsi="Arial" w:cs="Arial"/>
        </w:rPr>
      </w:pPr>
      <w:r w:rsidRPr="001933FB">
        <w:rPr>
          <w:rFonts w:ascii="Arial" w:hAnsi="Arial" w:cs="Arial"/>
        </w:rPr>
        <w:t xml:space="preserve">The types of tools, their purpose and whether they are to be considered under the Regulator Performance Framework self-assessment annual report are outlined </w:t>
      </w:r>
      <w:r w:rsidR="002C7559">
        <w:rPr>
          <w:rFonts w:ascii="Arial" w:hAnsi="Arial" w:cs="Arial"/>
        </w:rPr>
        <w:t>below:</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2235"/>
        <w:gridCol w:w="5386"/>
        <w:gridCol w:w="1621"/>
      </w:tblGrid>
      <w:tr w:rsidR="005825E1" w:rsidRPr="00CA6231" w14:paraId="0BE0C147" w14:textId="77777777" w:rsidTr="00362D6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4F81BD" w:themeColor="accent1"/>
              <w:bottom w:val="single" w:sz="8" w:space="0" w:color="4F81BD" w:themeColor="accent1"/>
              <w:right w:val="single" w:sz="8" w:space="0" w:color="FFFFFF" w:themeColor="background1"/>
            </w:tcBorders>
            <w:vAlign w:val="center"/>
          </w:tcPr>
          <w:p w14:paraId="1253BFB8" w14:textId="77777777" w:rsidR="005825E1" w:rsidRPr="00CA6231" w:rsidRDefault="005825E1" w:rsidP="00CA6231">
            <w:pPr>
              <w:spacing w:before="120" w:after="120"/>
              <w:rPr>
                <w:rFonts w:ascii="Arial" w:hAnsi="Arial" w:cs="Arial"/>
              </w:rPr>
            </w:pPr>
            <w:r w:rsidRPr="00CA6231">
              <w:rPr>
                <w:rFonts w:ascii="Arial" w:hAnsi="Arial" w:cs="Arial"/>
              </w:rPr>
              <w:t>Management tool</w:t>
            </w:r>
          </w:p>
        </w:tc>
        <w:tc>
          <w:tcPr>
            <w:tcW w:w="5386" w:type="dxa"/>
            <w:tcBorders>
              <w:top w:val="nil"/>
              <w:left w:val="single" w:sz="8" w:space="0" w:color="FFFFFF" w:themeColor="background1"/>
              <w:bottom w:val="single" w:sz="8" w:space="0" w:color="4F81BD" w:themeColor="accent1"/>
              <w:right w:val="single" w:sz="8" w:space="0" w:color="FFFFFF" w:themeColor="background1"/>
            </w:tcBorders>
            <w:vAlign w:val="center"/>
          </w:tcPr>
          <w:p w14:paraId="31EEA9FF" w14:textId="77777777" w:rsidR="005825E1" w:rsidRPr="00CA6231" w:rsidRDefault="005825E1" w:rsidP="00CA6231">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rPr>
            </w:pPr>
            <w:r w:rsidRPr="00CA6231">
              <w:rPr>
                <w:rFonts w:ascii="Arial" w:hAnsi="Arial" w:cs="Arial"/>
              </w:rPr>
              <w:t>Purpose</w:t>
            </w:r>
          </w:p>
        </w:tc>
        <w:tc>
          <w:tcPr>
            <w:tcW w:w="1621" w:type="dxa"/>
            <w:tcBorders>
              <w:top w:val="nil"/>
              <w:left w:val="single" w:sz="8" w:space="0" w:color="FFFFFF" w:themeColor="background1"/>
              <w:bottom w:val="single" w:sz="8" w:space="0" w:color="4F81BD" w:themeColor="accent1"/>
              <w:right w:val="nil"/>
            </w:tcBorders>
            <w:vAlign w:val="center"/>
          </w:tcPr>
          <w:p w14:paraId="2BFC5F4C" w14:textId="77777777" w:rsidR="005825E1" w:rsidRPr="00CA6231" w:rsidRDefault="005825E1" w:rsidP="00CA6231">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A6231">
              <w:rPr>
                <w:rFonts w:ascii="Arial" w:hAnsi="Arial" w:cs="Arial"/>
              </w:rPr>
              <w:t>Covered by the RPF</w:t>
            </w:r>
          </w:p>
        </w:tc>
      </w:tr>
      <w:tr w:rsidR="005825E1" w:rsidRPr="000D420F" w14:paraId="1908F2A5" w14:textId="77777777" w:rsidTr="00362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tcBorders>
            <w:vAlign w:val="center"/>
          </w:tcPr>
          <w:p w14:paraId="48636C07" w14:textId="77777777" w:rsidR="005825E1" w:rsidRPr="000D420F" w:rsidRDefault="005825E1" w:rsidP="00CA6231">
            <w:pPr>
              <w:spacing w:before="60" w:after="60"/>
              <w:rPr>
                <w:rFonts w:ascii="Arial" w:hAnsi="Arial" w:cs="Arial"/>
                <w:sz w:val="20"/>
                <w:szCs w:val="20"/>
              </w:rPr>
            </w:pPr>
            <w:r w:rsidRPr="000D420F">
              <w:rPr>
                <w:rFonts w:ascii="Arial" w:hAnsi="Arial" w:cs="Arial"/>
                <w:sz w:val="20"/>
                <w:szCs w:val="20"/>
              </w:rPr>
              <w:t>Great Barrier Reef Marine Park Act and Regulations</w:t>
            </w:r>
          </w:p>
        </w:tc>
        <w:tc>
          <w:tcPr>
            <w:tcW w:w="5386" w:type="dxa"/>
            <w:tcBorders>
              <w:bottom w:val="none" w:sz="0" w:space="0" w:color="auto"/>
            </w:tcBorders>
            <w:vAlign w:val="center"/>
          </w:tcPr>
          <w:p w14:paraId="0E68C9EF" w14:textId="77777777" w:rsidR="00800610" w:rsidRDefault="005825E1" w:rsidP="00CA623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 xml:space="preserve">The </w:t>
            </w:r>
            <w:r w:rsidR="00194232" w:rsidRPr="000D420F">
              <w:rPr>
                <w:rFonts w:ascii="Arial" w:hAnsi="Arial" w:cs="Arial"/>
                <w:sz w:val="20"/>
                <w:szCs w:val="20"/>
              </w:rPr>
              <w:t xml:space="preserve">GBRMP Act </w:t>
            </w:r>
            <w:r w:rsidRPr="000D420F">
              <w:rPr>
                <w:rFonts w:ascii="Arial" w:hAnsi="Arial" w:cs="Arial"/>
                <w:sz w:val="20"/>
                <w:szCs w:val="20"/>
              </w:rPr>
              <w:t xml:space="preserve">and Regulations govern the protection and management of the Great Barrier Reef Marine Park. </w:t>
            </w:r>
          </w:p>
          <w:p w14:paraId="29341AF7" w14:textId="22B5E730" w:rsidR="005825E1" w:rsidRPr="000D420F" w:rsidRDefault="005825E1" w:rsidP="00CA623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 xml:space="preserve">They provide for the Zoning Plan and plans of management, and govern permitting decisions. They include offence and penalty </w:t>
            </w:r>
            <w:r w:rsidR="00FF6BF8">
              <w:rPr>
                <w:rFonts w:ascii="Arial" w:hAnsi="Arial" w:cs="Arial"/>
                <w:sz w:val="20"/>
                <w:szCs w:val="20"/>
              </w:rPr>
              <w:t xml:space="preserve">provisions </w:t>
            </w:r>
            <w:r w:rsidRPr="000D420F">
              <w:rPr>
                <w:rFonts w:ascii="Arial" w:hAnsi="Arial" w:cs="Arial"/>
                <w:sz w:val="20"/>
                <w:szCs w:val="20"/>
              </w:rPr>
              <w:t>(e.g. prohibition of mining).</w:t>
            </w:r>
          </w:p>
        </w:tc>
        <w:tc>
          <w:tcPr>
            <w:tcW w:w="1621" w:type="dxa"/>
            <w:tcBorders>
              <w:bottom w:val="none" w:sz="0" w:space="0" w:color="auto"/>
              <w:right w:val="none" w:sz="0" w:space="0" w:color="auto"/>
            </w:tcBorders>
            <w:vAlign w:val="center"/>
          </w:tcPr>
          <w:p w14:paraId="4EFB4813" w14:textId="77777777" w:rsidR="005825E1" w:rsidRPr="000D420F" w:rsidRDefault="005825E1" w:rsidP="00CA623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Yes</w:t>
            </w:r>
          </w:p>
        </w:tc>
      </w:tr>
      <w:tr w:rsidR="005825E1" w:rsidRPr="000D420F" w14:paraId="2DC35E0F" w14:textId="77777777" w:rsidTr="00362D65">
        <w:trPr>
          <w:cantSplit/>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07517372" w14:textId="77777777" w:rsidR="005825E1" w:rsidRPr="000D420F" w:rsidRDefault="005825E1" w:rsidP="00CA6231">
            <w:pPr>
              <w:spacing w:before="60" w:after="60"/>
              <w:rPr>
                <w:rFonts w:ascii="Arial" w:hAnsi="Arial" w:cs="Arial"/>
                <w:sz w:val="20"/>
                <w:szCs w:val="20"/>
              </w:rPr>
            </w:pPr>
            <w:r w:rsidRPr="000D420F">
              <w:rPr>
                <w:rFonts w:ascii="Arial" w:hAnsi="Arial" w:cs="Arial"/>
                <w:sz w:val="20"/>
                <w:szCs w:val="20"/>
              </w:rPr>
              <w:t>Zoning Plan</w:t>
            </w:r>
          </w:p>
        </w:tc>
        <w:tc>
          <w:tcPr>
            <w:tcW w:w="5386" w:type="dxa"/>
            <w:vAlign w:val="center"/>
          </w:tcPr>
          <w:p w14:paraId="69C849B4" w14:textId="77777777" w:rsidR="00B84898" w:rsidRPr="000D420F" w:rsidRDefault="005825E1" w:rsidP="00CA623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 xml:space="preserve">Provides spatial control of use (predominantly extractive activities) and, to a lesser extent, access within the Great Barrier Reef Marine Park.  </w:t>
            </w:r>
          </w:p>
          <w:p w14:paraId="48781967" w14:textId="77777777" w:rsidR="00B84898" w:rsidRPr="000D420F" w:rsidRDefault="005825E1" w:rsidP="00CA623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 xml:space="preserve">Establishes the need for permits for some uses in the Marine Park, such as tourism, infrastructure and research. </w:t>
            </w:r>
          </w:p>
          <w:p w14:paraId="0CEFE1FF" w14:textId="42735EA2" w:rsidR="005825E1" w:rsidRPr="000D420F" w:rsidRDefault="005825E1" w:rsidP="00CA623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 xml:space="preserve">There are </w:t>
            </w:r>
            <w:r w:rsidRPr="000D420F">
              <w:rPr>
                <w:rFonts w:ascii="Arial" w:hAnsi="Arial" w:cs="Arial"/>
                <w:i/>
                <w:iCs/>
                <w:sz w:val="20"/>
                <w:szCs w:val="20"/>
              </w:rPr>
              <w:t>c</w:t>
            </w:r>
            <w:r w:rsidRPr="000D420F">
              <w:rPr>
                <w:rFonts w:ascii="Arial" w:hAnsi="Arial" w:cs="Arial"/>
                <w:sz w:val="20"/>
                <w:szCs w:val="20"/>
              </w:rPr>
              <w:t>omplementary arrangements in adjacent areas under Queensland jurisdiction.</w:t>
            </w:r>
          </w:p>
        </w:tc>
        <w:tc>
          <w:tcPr>
            <w:tcW w:w="1621" w:type="dxa"/>
            <w:vAlign w:val="center"/>
          </w:tcPr>
          <w:p w14:paraId="69BDB486" w14:textId="3B348D2F" w:rsidR="005825E1" w:rsidRPr="000D420F" w:rsidRDefault="00B84898" w:rsidP="00CA623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Yes</w:t>
            </w:r>
          </w:p>
        </w:tc>
      </w:tr>
      <w:tr w:rsidR="005825E1" w:rsidRPr="000D420F" w14:paraId="191392CE" w14:textId="77777777" w:rsidTr="00362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vAlign w:val="center"/>
          </w:tcPr>
          <w:p w14:paraId="78B33B75" w14:textId="74095575" w:rsidR="005825E1" w:rsidRPr="000D420F" w:rsidRDefault="005825E1" w:rsidP="00CA6231">
            <w:pPr>
              <w:autoSpaceDE w:val="0"/>
              <w:autoSpaceDN w:val="0"/>
              <w:adjustRightInd w:val="0"/>
              <w:spacing w:before="60" w:after="60"/>
              <w:rPr>
                <w:rFonts w:ascii="Arial" w:hAnsi="Arial" w:cs="Arial"/>
                <w:b w:val="0"/>
                <w:bCs w:val="0"/>
                <w:sz w:val="20"/>
                <w:szCs w:val="20"/>
              </w:rPr>
            </w:pPr>
            <w:r w:rsidRPr="000D420F">
              <w:rPr>
                <w:rFonts w:ascii="Arial" w:hAnsi="Arial" w:cs="Arial"/>
                <w:sz w:val="20"/>
                <w:szCs w:val="20"/>
              </w:rPr>
              <w:t>Management plans</w:t>
            </w:r>
          </w:p>
        </w:tc>
        <w:tc>
          <w:tcPr>
            <w:tcW w:w="5386" w:type="dxa"/>
            <w:tcBorders>
              <w:top w:val="none" w:sz="0" w:space="0" w:color="auto"/>
              <w:bottom w:val="none" w:sz="0" w:space="0" w:color="auto"/>
            </w:tcBorders>
            <w:vAlign w:val="center"/>
          </w:tcPr>
          <w:p w14:paraId="36791B11" w14:textId="77777777" w:rsidR="00800610" w:rsidRDefault="005825E1" w:rsidP="00CA623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 xml:space="preserve">Set out specific arrangements for areas, species, ecological communities or activities (e.g. Cairns Area and Whitsundays Plans of Management). </w:t>
            </w:r>
          </w:p>
          <w:p w14:paraId="1ADFBF42" w14:textId="5F10310B" w:rsidR="005825E1" w:rsidRPr="000D420F" w:rsidRDefault="005825E1" w:rsidP="00CA623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They complement zoning and permitting arrangements. Some components are legally binding.</w:t>
            </w:r>
          </w:p>
        </w:tc>
        <w:tc>
          <w:tcPr>
            <w:tcW w:w="1621" w:type="dxa"/>
            <w:tcBorders>
              <w:top w:val="none" w:sz="0" w:space="0" w:color="auto"/>
              <w:bottom w:val="none" w:sz="0" w:space="0" w:color="auto"/>
              <w:right w:val="none" w:sz="0" w:space="0" w:color="auto"/>
            </w:tcBorders>
            <w:vAlign w:val="center"/>
          </w:tcPr>
          <w:p w14:paraId="14B90578" w14:textId="3518E1FC" w:rsidR="005825E1" w:rsidRPr="000D420F" w:rsidRDefault="00B84898" w:rsidP="00CA623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Yes</w:t>
            </w:r>
          </w:p>
        </w:tc>
      </w:tr>
      <w:tr w:rsidR="005825E1" w:rsidRPr="000D420F" w14:paraId="38901448" w14:textId="77777777" w:rsidTr="00362D65">
        <w:trPr>
          <w:cantSplit/>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EF3A3E2" w14:textId="77777777" w:rsidR="005825E1" w:rsidRPr="000D420F" w:rsidRDefault="005825E1" w:rsidP="00CA6231">
            <w:pPr>
              <w:spacing w:before="60" w:after="60"/>
              <w:rPr>
                <w:rFonts w:ascii="Arial" w:hAnsi="Arial" w:cs="Arial"/>
                <w:sz w:val="20"/>
                <w:szCs w:val="20"/>
              </w:rPr>
            </w:pPr>
            <w:r w:rsidRPr="000D420F">
              <w:rPr>
                <w:rFonts w:ascii="Arial" w:hAnsi="Arial" w:cs="Arial"/>
                <w:sz w:val="20"/>
                <w:szCs w:val="20"/>
              </w:rPr>
              <w:t>Permits</w:t>
            </w:r>
          </w:p>
        </w:tc>
        <w:tc>
          <w:tcPr>
            <w:tcW w:w="5386" w:type="dxa"/>
            <w:vAlign w:val="center"/>
          </w:tcPr>
          <w:p w14:paraId="0E372008" w14:textId="77777777" w:rsidR="00CA6231" w:rsidRPr="000D420F" w:rsidRDefault="005825E1" w:rsidP="00CA623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 xml:space="preserve">Facilitate opportunities for commercial use of the Great Barrier Reef.  </w:t>
            </w:r>
          </w:p>
          <w:p w14:paraId="3DD4D103" w14:textId="77777777" w:rsidR="00CA6231" w:rsidRPr="000D420F" w:rsidRDefault="005825E1" w:rsidP="00CA623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 xml:space="preserve">Permits are issued mainly for marine tourism, research, harvest fisheries, dredging and infrastructure (e.g. jetties and marinas) and include detailed environmental impact assessments. </w:t>
            </w:r>
          </w:p>
          <w:p w14:paraId="2EF91EA5" w14:textId="36985DB7" w:rsidR="005825E1" w:rsidRPr="000D420F" w:rsidRDefault="005825E1" w:rsidP="00FF6BF8">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Joint Queensland Government–</w:t>
            </w:r>
            <w:r w:rsidR="00FF6BF8">
              <w:rPr>
                <w:rFonts w:ascii="Arial" w:hAnsi="Arial" w:cs="Arial"/>
                <w:sz w:val="20"/>
                <w:szCs w:val="20"/>
              </w:rPr>
              <w:t xml:space="preserve">GBRMPA </w:t>
            </w:r>
            <w:r w:rsidRPr="000D420F">
              <w:rPr>
                <w:rFonts w:ascii="Arial" w:hAnsi="Arial" w:cs="Arial"/>
                <w:sz w:val="20"/>
                <w:szCs w:val="20"/>
              </w:rPr>
              <w:t>permits are issued for activities which operate across jurisdictions. Fisheries licences are issued by the Queensland Government.</w:t>
            </w:r>
          </w:p>
        </w:tc>
        <w:tc>
          <w:tcPr>
            <w:tcW w:w="1621" w:type="dxa"/>
            <w:vAlign w:val="center"/>
          </w:tcPr>
          <w:p w14:paraId="26196DA5" w14:textId="69798B4B" w:rsidR="005825E1" w:rsidRPr="000D420F" w:rsidRDefault="00B84898" w:rsidP="00CA623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Yes</w:t>
            </w:r>
          </w:p>
        </w:tc>
      </w:tr>
      <w:tr w:rsidR="005825E1" w:rsidRPr="000D420F" w14:paraId="42B07545" w14:textId="77777777" w:rsidTr="00362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vAlign w:val="center"/>
          </w:tcPr>
          <w:p w14:paraId="255E1BA9" w14:textId="5E1311FC" w:rsidR="005825E1" w:rsidRPr="000D420F" w:rsidRDefault="005825E1" w:rsidP="00B84898">
            <w:pPr>
              <w:autoSpaceDE w:val="0"/>
              <w:autoSpaceDN w:val="0"/>
              <w:adjustRightInd w:val="0"/>
              <w:spacing w:before="60" w:after="60"/>
              <w:rPr>
                <w:rFonts w:ascii="Arial" w:hAnsi="Arial" w:cs="Arial"/>
                <w:b w:val="0"/>
                <w:bCs w:val="0"/>
                <w:sz w:val="20"/>
                <w:szCs w:val="20"/>
              </w:rPr>
            </w:pPr>
            <w:r w:rsidRPr="000D420F">
              <w:rPr>
                <w:rFonts w:ascii="Arial" w:hAnsi="Arial" w:cs="Arial"/>
                <w:sz w:val="20"/>
                <w:szCs w:val="20"/>
              </w:rPr>
              <w:t>Traditional Owner Agreements</w:t>
            </w:r>
          </w:p>
        </w:tc>
        <w:tc>
          <w:tcPr>
            <w:tcW w:w="5386" w:type="dxa"/>
            <w:tcBorders>
              <w:top w:val="none" w:sz="0" w:space="0" w:color="auto"/>
              <w:bottom w:val="none" w:sz="0" w:space="0" w:color="auto"/>
            </w:tcBorders>
            <w:vAlign w:val="center"/>
          </w:tcPr>
          <w:p w14:paraId="6BA8F3EC" w14:textId="77777777" w:rsidR="00B84898" w:rsidRPr="000D420F" w:rsidRDefault="005825E1" w:rsidP="00CA623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 xml:space="preserve">Formal agreements describing how Traditional Owner groups work with Australian and Queensland governments to manage traditional use activities in sea country. </w:t>
            </w:r>
          </w:p>
          <w:p w14:paraId="159A3C52" w14:textId="4BA28398" w:rsidR="005825E1" w:rsidRPr="000D420F" w:rsidRDefault="005825E1" w:rsidP="00CA623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Indigenous Land Use Agreements are agreements between one or more native title groups and other people or parties about the use and management of land and waters.</w:t>
            </w:r>
          </w:p>
        </w:tc>
        <w:tc>
          <w:tcPr>
            <w:tcW w:w="1621" w:type="dxa"/>
            <w:tcBorders>
              <w:top w:val="none" w:sz="0" w:space="0" w:color="auto"/>
              <w:bottom w:val="none" w:sz="0" w:space="0" w:color="auto"/>
              <w:right w:val="none" w:sz="0" w:space="0" w:color="auto"/>
            </w:tcBorders>
            <w:vAlign w:val="center"/>
          </w:tcPr>
          <w:p w14:paraId="5908D3C1" w14:textId="677BC7D6" w:rsidR="005825E1" w:rsidRPr="000D420F" w:rsidRDefault="00B84898" w:rsidP="00CA623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Yes</w:t>
            </w:r>
          </w:p>
        </w:tc>
      </w:tr>
      <w:tr w:rsidR="005825E1" w:rsidRPr="000D420F" w14:paraId="10E30583" w14:textId="77777777" w:rsidTr="00362D65">
        <w:trPr>
          <w:cantSplit/>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068FAFF6" w14:textId="77777777" w:rsidR="005825E1" w:rsidRPr="000D420F" w:rsidRDefault="005825E1" w:rsidP="00CA6231">
            <w:pPr>
              <w:autoSpaceDE w:val="0"/>
              <w:autoSpaceDN w:val="0"/>
              <w:adjustRightInd w:val="0"/>
              <w:spacing w:before="60" w:after="60"/>
              <w:rPr>
                <w:rFonts w:ascii="Arial" w:hAnsi="Arial" w:cs="Arial"/>
                <w:b w:val="0"/>
                <w:bCs w:val="0"/>
                <w:sz w:val="20"/>
                <w:szCs w:val="20"/>
              </w:rPr>
            </w:pPr>
            <w:r w:rsidRPr="000D420F">
              <w:rPr>
                <w:rFonts w:ascii="Arial" w:hAnsi="Arial" w:cs="Arial"/>
                <w:sz w:val="20"/>
                <w:szCs w:val="20"/>
              </w:rPr>
              <w:t>Compliance</w:t>
            </w:r>
          </w:p>
        </w:tc>
        <w:tc>
          <w:tcPr>
            <w:tcW w:w="5386" w:type="dxa"/>
            <w:vAlign w:val="center"/>
          </w:tcPr>
          <w:p w14:paraId="23F0C2E0" w14:textId="63193D14" w:rsidR="005825E1" w:rsidRPr="000D420F" w:rsidRDefault="005825E1" w:rsidP="00CA623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Activities that encourage adherence with legal requirements, both through education and enforcement. Includes formal (e.g. the Field Management Program jointly undertaken with the Queensland Government) and informal (e.g. the Eyes and Ears Incident Reporting program) activities.</w:t>
            </w:r>
          </w:p>
        </w:tc>
        <w:tc>
          <w:tcPr>
            <w:tcW w:w="1621" w:type="dxa"/>
            <w:vAlign w:val="center"/>
          </w:tcPr>
          <w:p w14:paraId="6670CFDC" w14:textId="5E92E52C" w:rsidR="005825E1" w:rsidRPr="000D420F" w:rsidRDefault="00B84898" w:rsidP="00CA623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Yes</w:t>
            </w:r>
          </w:p>
        </w:tc>
      </w:tr>
      <w:tr w:rsidR="005825E1" w:rsidRPr="000D420F" w14:paraId="573FAFB5" w14:textId="77777777" w:rsidTr="00362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vAlign w:val="center"/>
          </w:tcPr>
          <w:p w14:paraId="5DD463E2" w14:textId="2236232E" w:rsidR="005825E1" w:rsidRPr="000D420F" w:rsidRDefault="005825E1" w:rsidP="00CA6231">
            <w:pPr>
              <w:autoSpaceDE w:val="0"/>
              <w:autoSpaceDN w:val="0"/>
              <w:adjustRightInd w:val="0"/>
              <w:spacing w:before="60" w:after="60"/>
              <w:rPr>
                <w:rFonts w:ascii="Arial" w:hAnsi="Arial" w:cs="Arial"/>
                <w:b w:val="0"/>
                <w:bCs w:val="0"/>
                <w:sz w:val="20"/>
                <w:szCs w:val="20"/>
              </w:rPr>
            </w:pPr>
            <w:r w:rsidRPr="000D420F">
              <w:rPr>
                <w:rFonts w:ascii="Arial" w:hAnsi="Arial" w:cs="Arial"/>
                <w:sz w:val="20"/>
                <w:szCs w:val="20"/>
              </w:rPr>
              <w:lastRenderedPageBreak/>
              <w:t>Policy documents</w:t>
            </w:r>
          </w:p>
        </w:tc>
        <w:tc>
          <w:tcPr>
            <w:tcW w:w="5386" w:type="dxa"/>
            <w:tcBorders>
              <w:top w:val="none" w:sz="0" w:space="0" w:color="auto"/>
              <w:bottom w:val="none" w:sz="0" w:space="0" w:color="auto"/>
            </w:tcBorders>
            <w:vAlign w:val="center"/>
          </w:tcPr>
          <w:p w14:paraId="3808CD83" w14:textId="77777777" w:rsidR="005825E1" w:rsidRPr="000D420F" w:rsidRDefault="005825E1" w:rsidP="00CA623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Specific arrangements that guide decision makers and the public. These include:</w:t>
            </w:r>
          </w:p>
          <w:p w14:paraId="1AE898A1" w14:textId="77777777" w:rsidR="000D420F" w:rsidRDefault="005825E1" w:rsidP="000D420F">
            <w:pPr>
              <w:pStyle w:val="ListParagraph"/>
              <w:numPr>
                <w:ilvl w:val="0"/>
                <w:numId w:val="21"/>
              </w:numPr>
              <w:autoSpaceDE w:val="0"/>
              <w:autoSpaceDN w:val="0"/>
              <w:adjustRightInd w:val="0"/>
              <w:spacing w:before="60" w:after="60"/>
              <w:ind w:left="322"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strategies which outline a long-ter</w:t>
            </w:r>
            <w:r w:rsidR="000D420F">
              <w:rPr>
                <w:rFonts w:ascii="Arial" w:hAnsi="Arial" w:cs="Arial"/>
                <w:sz w:val="20"/>
                <w:szCs w:val="20"/>
              </w:rPr>
              <w:t>m approach to managing an issue</w:t>
            </w:r>
          </w:p>
          <w:p w14:paraId="38D5987D" w14:textId="187269DD" w:rsidR="005825E1" w:rsidRPr="000D420F" w:rsidRDefault="005825E1" w:rsidP="000D420F">
            <w:pPr>
              <w:pStyle w:val="ListParagraph"/>
              <w:numPr>
                <w:ilvl w:val="0"/>
                <w:numId w:val="21"/>
              </w:numPr>
              <w:autoSpaceDE w:val="0"/>
              <w:autoSpaceDN w:val="0"/>
              <w:adjustRightInd w:val="0"/>
              <w:spacing w:before="60" w:after="60"/>
              <w:ind w:left="322"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 xml:space="preserve">policies which provide a statement of principles to guide </w:t>
            </w:r>
            <w:r w:rsidR="00CA6231" w:rsidRPr="000D420F">
              <w:rPr>
                <w:rFonts w:ascii="Arial" w:hAnsi="Arial" w:cs="Arial"/>
                <w:sz w:val="20"/>
                <w:szCs w:val="20"/>
              </w:rPr>
              <w:t>decision-making</w:t>
            </w:r>
          </w:p>
          <w:p w14:paraId="6F235099" w14:textId="70A98440" w:rsidR="000D420F" w:rsidRDefault="005825E1" w:rsidP="000D420F">
            <w:pPr>
              <w:pStyle w:val="ListParagraph"/>
              <w:numPr>
                <w:ilvl w:val="0"/>
                <w:numId w:val="21"/>
              </w:numPr>
              <w:autoSpaceDE w:val="0"/>
              <w:autoSpaceDN w:val="0"/>
              <w:adjustRightInd w:val="0"/>
              <w:spacing w:before="60" w:after="60"/>
              <w:ind w:left="322"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site management arrangements which are localised plans for use of sites with signi</w:t>
            </w:r>
            <w:r w:rsidR="000D420F">
              <w:rPr>
                <w:rFonts w:ascii="Arial" w:hAnsi="Arial" w:cs="Arial"/>
                <w:sz w:val="20"/>
                <w:szCs w:val="20"/>
              </w:rPr>
              <w:t>ficant values and/or use issues</w:t>
            </w:r>
          </w:p>
          <w:p w14:paraId="5CC55700" w14:textId="284F1838" w:rsidR="005825E1" w:rsidRPr="000D420F" w:rsidRDefault="005825E1" w:rsidP="000D420F">
            <w:pPr>
              <w:pStyle w:val="ListParagraph"/>
              <w:numPr>
                <w:ilvl w:val="0"/>
                <w:numId w:val="21"/>
              </w:numPr>
              <w:autoSpaceDE w:val="0"/>
              <w:autoSpaceDN w:val="0"/>
              <w:adjustRightInd w:val="0"/>
              <w:spacing w:before="60" w:after="60"/>
              <w:ind w:left="322"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position statements which outline the Authority’s position on an issue where it has a strong interest b</w:t>
            </w:r>
            <w:r w:rsidR="000D420F">
              <w:rPr>
                <w:rFonts w:ascii="Arial" w:hAnsi="Arial" w:cs="Arial"/>
                <w:sz w:val="20"/>
                <w:szCs w:val="20"/>
              </w:rPr>
              <w:t>ut no direct regulatory control</w:t>
            </w:r>
          </w:p>
          <w:p w14:paraId="4B1A0CAB" w14:textId="7D60D968" w:rsidR="005825E1" w:rsidRPr="000D420F" w:rsidRDefault="00B84898" w:rsidP="000D420F">
            <w:pPr>
              <w:pStyle w:val="ListParagraph"/>
              <w:numPr>
                <w:ilvl w:val="0"/>
                <w:numId w:val="21"/>
              </w:numPr>
              <w:autoSpaceDE w:val="0"/>
              <w:autoSpaceDN w:val="0"/>
              <w:adjustRightInd w:val="0"/>
              <w:spacing w:before="60" w:after="60"/>
              <w:ind w:left="322"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gramStart"/>
            <w:r w:rsidRPr="000D420F">
              <w:rPr>
                <w:rFonts w:ascii="Arial" w:hAnsi="Arial" w:cs="Arial"/>
                <w:sz w:val="20"/>
                <w:szCs w:val="20"/>
              </w:rPr>
              <w:t>g</w:t>
            </w:r>
            <w:r w:rsidR="005825E1" w:rsidRPr="000D420F">
              <w:rPr>
                <w:rFonts w:ascii="Arial" w:hAnsi="Arial" w:cs="Arial"/>
                <w:sz w:val="20"/>
                <w:szCs w:val="20"/>
              </w:rPr>
              <w:t>uidelines</w:t>
            </w:r>
            <w:proofErr w:type="gramEnd"/>
            <w:r w:rsidR="005825E1" w:rsidRPr="000D420F">
              <w:rPr>
                <w:rFonts w:ascii="Arial" w:hAnsi="Arial" w:cs="Arial"/>
                <w:sz w:val="20"/>
                <w:szCs w:val="20"/>
              </w:rPr>
              <w:t xml:space="preserve"> which detail recommended practice in support of a policy or position statement.</w:t>
            </w:r>
          </w:p>
        </w:tc>
        <w:tc>
          <w:tcPr>
            <w:tcW w:w="1621" w:type="dxa"/>
            <w:tcBorders>
              <w:top w:val="none" w:sz="0" w:space="0" w:color="auto"/>
              <w:bottom w:val="none" w:sz="0" w:space="0" w:color="auto"/>
              <w:right w:val="none" w:sz="0" w:space="0" w:color="auto"/>
            </w:tcBorders>
            <w:vAlign w:val="center"/>
          </w:tcPr>
          <w:p w14:paraId="4164E8B1" w14:textId="18570142" w:rsidR="005825E1" w:rsidRPr="000D420F" w:rsidRDefault="00B84898" w:rsidP="00467737">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No</w:t>
            </w:r>
            <w:r w:rsidR="00525DD5">
              <w:rPr>
                <w:rFonts w:ascii="Arial" w:hAnsi="Arial" w:cs="Arial"/>
                <w:sz w:val="20"/>
                <w:szCs w:val="20"/>
              </w:rPr>
              <w:t xml:space="preserve"> – but considered in this self-assessment </w:t>
            </w:r>
            <w:r w:rsidR="00467737">
              <w:rPr>
                <w:rFonts w:ascii="Arial" w:hAnsi="Arial" w:cs="Arial"/>
                <w:sz w:val="20"/>
                <w:szCs w:val="20"/>
              </w:rPr>
              <w:t xml:space="preserve">given the role of policy documents in the application </w:t>
            </w:r>
            <w:r w:rsidR="00157AE5">
              <w:rPr>
                <w:rFonts w:ascii="Arial" w:hAnsi="Arial" w:cs="Arial"/>
                <w:sz w:val="20"/>
                <w:szCs w:val="20"/>
              </w:rPr>
              <w:t xml:space="preserve">of </w:t>
            </w:r>
            <w:r w:rsidR="00467737">
              <w:rPr>
                <w:rFonts w:ascii="Arial" w:hAnsi="Arial" w:cs="Arial"/>
                <w:sz w:val="20"/>
                <w:szCs w:val="20"/>
              </w:rPr>
              <w:t>regulation</w:t>
            </w:r>
          </w:p>
        </w:tc>
      </w:tr>
      <w:tr w:rsidR="005825E1" w:rsidRPr="000D420F" w14:paraId="5F9853C1" w14:textId="77777777" w:rsidTr="00362D65">
        <w:trPr>
          <w:cantSplit/>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414491B0" w14:textId="77777777" w:rsidR="005825E1" w:rsidRPr="000D420F" w:rsidRDefault="005825E1" w:rsidP="00CA6231">
            <w:pPr>
              <w:autoSpaceDE w:val="0"/>
              <w:autoSpaceDN w:val="0"/>
              <w:adjustRightInd w:val="0"/>
              <w:spacing w:before="60" w:after="60"/>
              <w:rPr>
                <w:rFonts w:ascii="Arial" w:hAnsi="Arial" w:cs="Arial"/>
                <w:b w:val="0"/>
                <w:bCs w:val="0"/>
                <w:sz w:val="20"/>
                <w:szCs w:val="20"/>
              </w:rPr>
            </w:pPr>
            <w:r w:rsidRPr="000D420F">
              <w:rPr>
                <w:rFonts w:ascii="Arial" w:hAnsi="Arial" w:cs="Arial"/>
                <w:sz w:val="20"/>
                <w:szCs w:val="20"/>
              </w:rPr>
              <w:t>Site infrastructure</w:t>
            </w:r>
          </w:p>
        </w:tc>
        <w:tc>
          <w:tcPr>
            <w:tcW w:w="5386" w:type="dxa"/>
            <w:vAlign w:val="center"/>
          </w:tcPr>
          <w:p w14:paraId="588F48C8" w14:textId="3B630825" w:rsidR="005825E1" w:rsidRPr="000D420F" w:rsidRDefault="005825E1" w:rsidP="00CA623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On-ground infrastructure installed to better protect the values of individual sites (e.g. reef protection markers, public moorings, signs). Implemented and maintained by the Authority and Queensland Parks and Wildlife Service through the Field Management Program.</w:t>
            </w:r>
          </w:p>
        </w:tc>
        <w:tc>
          <w:tcPr>
            <w:tcW w:w="1621" w:type="dxa"/>
            <w:vAlign w:val="center"/>
          </w:tcPr>
          <w:p w14:paraId="0BE8086F" w14:textId="1E9EB208" w:rsidR="005825E1" w:rsidRPr="000D420F" w:rsidRDefault="00B84898" w:rsidP="00CA623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No</w:t>
            </w:r>
          </w:p>
        </w:tc>
      </w:tr>
      <w:tr w:rsidR="005825E1" w:rsidRPr="000D420F" w14:paraId="729D1F4E" w14:textId="77777777" w:rsidTr="00362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vAlign w:val="center"/>
          </w:tcPr>
          <w:p w14:paraId="71D1ED40" w14:textId="77777777" w:rsidR="005825E1" w:rsidRPr="000D420F" w:rsidRDefault="005825E1" w:rsidP="00CA6231">
            <w:pPr>
              <w:autoSpaceDE w:val="0"/>
              <w:autoSpaceDN w:val="0"/>
              <w:adjustRightInd w:val="0"/>
              <w:spacing w:before="60" w:after="60"/>
              <w:rPr>
                <w:rFonts w:ascii="Arial" w:hAnsi="Arial" w:cs="Arial"/>
                <w:b w:val="0"/>
                <w:bCs w:val="0"/>
                <w:sz w:val="20"/>
                <w:szCs w:val="20"/>
              </w:rPr>
            </w:pPr>
            <w:r w:rsidRPr="000D420F">
              <w:rPr>
                <w:rFonts w:ascii="Arial" w:hAnsi="Arial" w:cs="Arial"/>
                <w:sz w:val="20"/>
                <w:szCs w:val="20"/>
              </w:rPr>
              <w:t>Partnerships</w:t>
            </w:r>
          </w:p>
        </w:tc>
        <w:tc>
          <w:tcPr>
            <w:tcW w:w="5386" w:type="dxa"/>
            <w:tcBorders>
              <w:top w:val="none" w:sz="0" w:space="0" w:color="auto"/>
              <w:bottom w:val="none" w:sz="0" w:space="0" w:color="auto"/>
            </w:tcBorders>
            <w:vAlign w:val="center"/>
          </w:tcPr>
          <w:p w14:paraId="76BD6429" w14:textId="33B13466" w:rsidR="005825E1" w:rsidRPr="000D420F" w:rsidRDefault="005825E1" w:rsidP="000D420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Formal arrangements, often executed through a memorandum of understanding or an agreement to enable a partnership approach to management of the Marine Park (e.g. intergovernmental agreement with the Queensland Government, Reef Advisory Committees, Local Marine Advisory Committees, memorandum of understanding with a government authority).</w:t>
            </w:r>
          </w:p>
        </w:tc>
        <w:tc>
          <w:tcPr>
            <w:tcW w:w="1621" w:type="dxa"/>
            <w:tcBorders>
              <w:top w:val="none" w:sz="0" w:space="0" w:color="auto"/>
              <w:bottom w:val="none" w:sz="0" w:space="0" w:color="auto"/>
              <w:right w:val="none" w:sz="0" w:space="0" w:color="auto"/>
            </w:tcBorders>
            <w:vAlign w:val="center"/>
          </w:tcPr>
          <w:p w14:paraId="5AB87CEB" w14:textId="32A9AA91" w:rsidR="005825E1" w:rsidRPr="000D420F" w:rsidRDefault="00B84898" w:rsidP="00CA623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No</w:t>
            </w:r>
          </w:p>
        </w:tc>
      </w:tr>
      <w:tr w:rsidR="005825E1" w:rsidRPr="000D420F" w14:paraId="3D7B7595" w14:textId="77777777" w:rsidTr="00362D65">
        <w:trPr>
          <w:cantSplit/>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3ABEEF5D" w14:textId="62DA15A9" w:rsidR="005825E1" w:rsidRPr="000D420F" w:rsidRDefault="005825E1" w:rsidP="00CA6231">
            <w:pPr>
              <w:autoSpaceDE w:val="0"/>
              <w:autoSpaceDN w:val="0"/>
              <w:adjustRightInd w:val="0"/>
              <w:spacing w:before="60" w:after="60"/>
              <w:rPr>
                <w:rFonts w:ascii="Arial" w:hAnsi="Arial" w:cs="Arial"/>
                <w:b w:val="0"/>
                <w:bCs w:val="0"/>
                <w:sz w:val="20"/>
                <w:szCs w:val="20"/>
              </w:rPr>
            </w:pPr>
            <w:r w:rsidRPr="000D420F">
              <w:rPr>
                <w:rFonts w:ascii="Arial" w:hAnsi="Arial" w:cs="Arial"/>
                <w:sz w:val="20"/>
                <w:szCs w:val="20"/>
              </w:rPr>
              <w:t>Education and community awareness</w:t>
            </w:r>
          </w:p>
        </w:tc>
        <w:tc>
          <w:tcPr>
            <w:tcW w:w="5386" w:type="dxa"/>
            <w:vAlign w:val="center"/>
          </w:tcPr>
          <w:p w14:paraId="513E43E5" w14:textId="697A084C" w:rsidR="005825E1" w:rsidRPr="000D420F" w:rsidRDefault="005825E1" w:rsidP="00CA623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Programs to inform and motivate members of the community about the Great Barrier Reef and its protection and management, including ways they can contribute (e.g. Reef HQ, the Authority’s website, information sheets, zoning maps).</w:t>
            </w:r>
          </w:p>
        </w:tc>
        <w:tc>
          <w:tcPr>
            <w:tcW w:w="1621" w:type="dxa"/>
            <w:vAlign w:val="center"/>
          </w:tcPr>
          <w:p w14:paraId="5CBF99C8" w14:textId="346EF24D" w:rsidR="005825E1" w:rsidRPr="000D420F" w:rsidRDefault="00B84898" w:rsidP="00CA623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No</w:t>
            </w:r>
          </w:p>
        </w:tc>
      </w:tr>
      <w:tr w:rsidR="005825E1" w:rsidRPr="000D420F" w14:paraId="4D2F70D6" w14:textId="77777777" w:rsidTr="00362D6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vAlign w:val="center"/>
          </w:tcPr>
          <w:p w14:paraId="65985608" w14:textId="65B49F06" w:rsidR="005825E1" w:rsidRPr="000D420F" w:rsidRDefault="005825E1" w:rsidP="00CA6231">
            <w:pPr>
              <w:autoSpaceDE w:val="0"/>
              <w:autoSpaceDN w:val="0"/>
              <w:adjustRightInd w:val="0"/>
              <w:spacing w:before="60" w:after="60"/>
              <w:rPr>
                <w:rFonts w:ascii="Arial" w:hAnsi="Arial" w:cs="Arial"/>
                <w:b w:val="0"/>
                <w:bCs w:val="0"/>
                <w:sz w:val="20"/>
                <w:szCs w:val="20"/>
              </w:rPr>
            </w:pPr>
            <w:r w:rsidRPr="000D420F">
              <w:rPr>
                <w:rFonts w:ascii="Arial" w:hAnsi="Arial" w:cs="Arial"/>
                <w:sz w:val="20"/>
                <w:szCs w:val="20"/>
              </w:rPr>
              <w:t>Stewardship and best practice</w:t>
            </w:r>
          </w:p>
        </w:tc>
        <w:tc>
          <w:tcPr>
            <w:tcW w:w="5386" w:type="dxa"/>
            <w:tcBorders>
              <w:top w:val="none" w:sz="0" w:space="0" w:color="auto"/>
              <w:bottom w:val="none" w:sz="0" w:space="0" w:color="auto"/>
            </w:tcBorders>
            <w:vAlign w:val="center"/>
          </w:tcPr>
          <w:p w14:paraId="6E360FC0" w14:textId="7E90CB68" w:rsidR="005825E1" w:rsidRPr="000D420F" w:rsidRDefault="005825E1" w:rsidP="000D420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Voluntary arrangements with stakeholders that provide the opportunity for contributions to protection and managem</w:t>
            </w:r>
            <w:r w:rsidR="000D420F">
              <w:rPr>
                <w:rFonts w:ascii="Arial" w:hAnsi="Arial" w:cs="Arial"/>
                <w:sz w:val="20"/>
                <w:szCs w:val="20"/>
              </w:rPr>
              <w:t>ent (e.g. Reef Guardian Program,</w:t>
            </w:r>
            <w:r w:rsidRPr="000D420F">
              <w:rPr>
                <w:rFonts w:ascii="Arial" w:hAnsi="Arial" w:cs="Arial"/>
                <w:sz w:val="20"/>
                <w:szCs w:val="20"/>
              </w:rPr>
              <w:t xml:space="preserve"> best environmental practices).</w:t>
            </w:r>
          </w:p>
        </w:tc>
        <w:tc>
          <w:tcPr>
            <w:tcW w:w="1621" w:type="dxa"/>
            <w:tcBorders>
              <w:top w:val="none" w:sz="0" w:space="0" w:color="auto"/>
              <w:bottom w:val="none" w:sz="0" w:space="0" w:color="auto"/>
              <w:right w:val="none" w:sz="0" w:space="0" w:color="auto"/>
            </w:tcBorders>
            <w:vAlign w:val="center"/>
          </w:tcPr>
          <w:p w14:paraId="2B072BFE" w14:textId="42896372" w:rsidR="005825E1" w:rsidRPr="000D420F" w:rsidRDefault="00B84898" w:rsidP="00CA6231">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D420F">
              <w:rPr>
                <w:rFonts w:ascii="Arial" w:hAnsi="Arial" w:cs="Arial"/>
                <w:sz w:val="20"/>
                <w:szCs w:val="20"/>
              </w:rPr>
              <w:t>No</w:t>
            </w:r>
          </w:p>
        </w:tc>
      </w:tr>
      <w:tr w:rsidR="005825E1" w:rsidRPr="000D420F" w14:paraId="66ACCA08" w14:textId="77777777" w:rsidTr="00362D65">
        <w:trPr>
          <w:cantSplit/>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54E69911" w14:textId="199FBD30" w:rsidR="005825E1" w:rsidRPr="000D420F" w:rsidRDefault="005825E1" w:rsidP="00CA6231">
            <w:pPr>
              <w:autoSpaceDE w:val="0"/>
              <w:autoSpaceDN w:val="0"/>
              <w:adjustRightInd w:val="0"/>
              <w:spacing w:before="60" w:after="60"/>
              <w:rPr>
                <w:rFonts w:ascii="Arial" w:hAnsi="Arial" w:cs="Arial"/>
                <w:b w:val="0"/>
                <w:bCs w:val="0"/>
                <w:sz w:val="20"/>
                <w:szCs w:val="20"/>
              </w:rPr>
            </w:pPr>
            <w:r w:rsidRPr="000D420F">
              <w:rPr>
                <w:rFonts w:ascii="Arial" w:hAnsi="Arial" w:cs="Arial"/>
                <w:sz w:val="20"/>
                <w:szCs w:val="20"/>
              </w:rPr>
              <w:t>Research and monitoring</w:t>
            </w:r>
          </w:p>
        </w:tc>
        <w:tc>
          <w:tcPr>
            <w:tcW w:w="5386" w:type="dxa"/>
            <w:vAlign w:val="center"/>
          </w:tcPr>
          <w:p w14:paraId="4ADD56D2" w14:textId="79356A7A" w:rsidR="005825E1" w:rsidRPr="000D420F" w:rsidRDefault="005825E1" w:rsidP="00CA623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Undertaken or commissioned by the Authority to better inform decisions on protection and management of the Great Barrier Reef (e.g. Reef Health and Impact Surveys, Eye on the Reef monitoring, climate change research programs).</w:t>
            </w:r>
          </w:p>
        </w:tc>
        <w:tc>
          <w:tcPr>
            <w:tcW w:w="1621" w:type="dxa"/>
            <w:vAlign w:val="center"/>
          </w:tcPr>
          <w:p w14:paraId="2858832B" w14:textId="270C1DC5" w:rsidR="005825E1" w:rsidRPr="000D420F" w:rsidRDefault="00B84898" w:rsidP="00CA6231">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420F">
              <w:rPr>
                <w:rFonts w:ascii="Arial" w:hAnsi="Arial" w:cs="Arial"/>
                <w:sz w:val="20"/>
                <w:szCs w:val="20"/>
              </w:rPr>
              <w:t>No</w:t>
            </w:r>
          </w:p>
        </w:tc>
      </w:tr>
    </w:tbl>
    <w:p w14:paraId="2C309FEE" w14:textId="77777777" w:rsidR="00F30941" w:rsidRDefault="00F30941" w:rsidP="00F30941">
      <w:pPr>
        <w:rPr>
          <w:rFonts w:ascii="Arial" w:hAnsi="Arial" w:cs="Arial"/>
        </w:rPr>
      </w:pPr>
    </w:p>
    <w:p w14:paraId="34D46CF8" w14:textId="249337D7" w:rsidR="00F30941" w:rsidRPr="001933FB" w:rsidRDefault="00F30941" w:rsidP="00F30941">
      <w:pPr>
        <w:rPr>
          <w:rFonts w:ascii="Arial" w:hAnsi="Arial" w:cs="Arial"/>
        </w:rPr>
      </w:pPr>
      <w:r>
        <w:rPr>
          <w:rFonts w:ascii="Arial" w:hAnsi="Arial" w:cs="Arial"/>
        </w:rPr>
        <w:t>Groups regulated by GBRMPA may also be partners with GBRMPA in management</w:t>
      </w:r>
      <w:r w:rsidR="00D90C34">
        <w:rPr>
          <w:rFonts w:ascii="Arial" w:hAnsi="Arial" w:cs="Arial"/>
        </w:rPr>
        <w:t xml:space="preserve"> and presentation of </w:t>
      </w:r>
      <w:r w:rsidR="003C09FE">
        <w:rPr>
          <w:rFonts w:ascii="Arial" w:hAnsi="Arial" w:cs="Arial"/>
        </w:rPr>
        <w:t>Marine Park values</w:t>
      </w:r>
      <w:r>
        <w:rPr>
          <w:rFonts w:ascii="Arial" w:hAnsi="Arial" w:cs="Arial"/>
        </w:rPr>
        <w:t>, e.g. Traditional Owners, tourism industry, fishing industry, researchers.</w:t>
      </w:r>
    </w:p>
    <w:p w14:paraId="640E1799" w14:textId="6EFF4435" w:rsidR="00194232" w:rsidRPr="00640C2E" w:rsidRDefault="00194232" w:rsidP="00194232">
      <w:pPr>
        <w:pStyle w:val="Heading2"/>
        <w:numPr>
          <w:ilvl w:val="1"/>
          <w:numId w:val="10"/>
        </w:numPr>
        <w:pBdr>
          <w:top w:val="single" w:sz="4" w:space="1" w:color="4F81BD" w:themeColor="accent1"/>
          <w:left w:val="single" w:sz="4" w:space="4" w:color="4F81BD" w:themeColor="accent1"/>
        </w:pBdr>
        <w:spacing w:before="240" w:after="120"/>
        <w:ind w:left="567" w:hanging="573"/>
        <w:rPr>
          <w:rFonts w:ascii="Arial" w:hAnsi="Arial" w:cs="Arial"/>
          <w:b w:val="0"/>
          <w:color w:val="1F497D" w:themeColor="text2"/>
          <w:sz w:val="22"/>
        </w:rPr>
      </w:pPr>
      <w:bookmarkStart w:id="5" w:name="_Environment_Protection_(Sea"/>
      <w:bookmarkStart w:id="6" w:name="_Toc474753098"/>
      <w:bookmarkEnd w:id="5"/>
      <w:r w:rsidRPr="00640C2E">
        <w:rPr>
          <w:rFonts w:ascii="Arial" w:hAnsi="Arial" w:cs="Arial"/>
          <w:b w:val="0"/>
          <w:color w:val="1F497D" w:themeColor="text2"/>
          <w:sz w:val="22"/>
        </w:rPr>
        <w:t>Environment Protection (Sea Dumping) Act 1981</w:t>
      </w:r>
      <w:bookmarkEnd w:id="6"/>
    </w:p>
    <w:p w14:paraId="3D79D7FC" w14:textId="0F7C123D" w:rsidR="00194232" w:rsidRDefault="00194232" w:rsidP="00F12EF4">
      <w:pPr>
        <w:rPr>
          <w:rFonts w:ascii="Arial" w:hAnsi="Arial" w:cs="Arial"/>
        </w:rPr>
      </w:pPr>
      <w:r w:rsidRPr="00640C2E">
        <w:rPr>
          <w:rFonts w:ascii="Arial" w:hAnsi="Arial" w:cs="Arial"/>
        </w:rPr>
        <w:t xml:space="preserve">The </w:t>
      </w:r>
      <w:hyperlink r:id="rId14" w:history="1">
        <w:r w:rsidRPr="00E8462A">
          <w:rPr>
            <w:rStyle w:val="Hyperlink"/>
            <w:rFonts w:ascii="Arial" w:hAnsi="Arial" w:cs="Arial"/>
            <w:i/>
          </w:rPr>
          <w:t>Environment Protection (Sea Dumping) Act 1981</w:t>
        </w:r>
      </w:hyperlink>
      <w:r w:rsidRPr="00780B66">
        <w:rPr>
          <w:rFonts w:ascii="Arial" w:hAnsi="Arial" w:cs="Arial"/>
        </w:rPr>
        <w:t xml:space="preserve"> (Sea Dumping Act)</w:t>
      </w:r>
      <w:r>
        <w:rPr>
          <w:rFonts w:ascii="Arial" w:hAnsi="Arial" w:cs="Arial"/>
        </w:rPr>
        <w:t xml:space="preserve"> </w:t>
      </w:r>
      <w:r w:rsidRPr="00640C2E">
        <w:rPr>
          <w:rFonts w:ascii="Arial" w:hAnsi="Arial" w:cs="Arial"/>
        </w:rPr>
        <w:t xml:space="preserve">fulfils Australia's international obligations under the London Protocol to </w:t>
      </w:r>
      <w:r w:rsidR="00F12EF4" w:rsidRPr="00F12EF4">
        <w:rPr>
          <w:rFonts w:ascii="Arial" w:hAnsi="Arial" w:cs="Arial"/>
        </w:rPr>
        <w:t>prohibit ocean disposal of waste considered too harmful to be released in the marine environment and</w:t>
      </w:r>
      <w:r w:rsidR="00F12EF4">
        <w:rPr>
          <w:rFonts w:ascii="Arial" w:hAnsi="Arial" w:cs="Arial"/>
        </w:rPr>
        <w:t xml:space="preserve"> </w:t>
      </w:r>
      <w:r w:rsidR="00F12EF4" w:rsidRPr="00F12EF4">
        <w:rPr>
          <w:rFonts w:ascii="Arial" w:hAnsi="Arial" w:cs="Arial"/>
        </w:rPr>
        <w:t>regulat</w:t>
      </w:r>
      <w:r w:rsidR="00F12EF4">
        <w:rPr>
          <w:rFonts w:ascii="Arial" w:hAnsi="Arial" w:cs="Arial"/>
        </w:rPr>
        <w:t>e</w:t>
      </w:r>
      <w:r w:rsidR="00F12EF4" w:rsidRPr="00F12EF4">
        <w:rPr>
          <w:rFonts w:ascii="Arial" w:hAnsi="Arial" w:cs="Arial"/>
        </w:rPr>
        <w:t xml:space="preserve"> permitted waste disposal to ensure environmental impacts are minimised.</w:t>
      </w:r>
      <w:r w:rsidRPr="00640C2E">
        <w:rPr>
          <w:rFonts w:ascii="Arial" w:hAnsi="Arial" w:cs="Arial"/>
        </w:rPr>
        <w:t xml:space="preserve"> Under the Sea Dumping </w:t>
      </w:r>
      <w:r w:rsidRPr="00640C2E">
        <w:rPr>
          <w:rFonts w:ascii="Arial" w:hAnsi="Arial" w:cs="Arial"/>
        </w:rPr>
        <w:lastRenderedPageBreak/>
        <w:t xml:space="preserve">Act, a permit is required for the </w:t>
      </w:r>
      <w:r>
        <w:rPr>
          <w:rFonts w:ascii="Arial" w:hAnsi="Arial" w:cs="Arial"/>
        </w:rPr>
        <w:t xml:space="preserve">loading </w:t>
      </w:r>
      <w:r w:rsidR="00F12EF4">
        <w:rPr>
          <w:rFonts w:ascii="Arial" w:hAnsi="Arial" w:cs="Arial"/>
        </w:rPr>
        <w:t xml:space="preserve">for the purpose of dumping material at sea (such as dredge material, sewage), creation of artificial reefs, </w:t>
      </w:r>
      <w:r w:rsidR="00F12EF4" w:rsidRPr="00F12EF4">
        <w:rPr>
          <w:rFonts w:ascii="Arial" w:hAnsi="Arial" w:cs="Arial"/>
        </w:rPr>
        <w:t>dumping of vessels, platforms or other man-made structures and for burials at sea</w:t>
      </w:r>
      <w:r w:rsidRPr="00640C2E">
        <w:rPr>
          <w:rFonts w:ascii="Arial" w:hAnsi="Arial" w:cs="Arial"/>
        </w:rPr>
        <w:t xml:space="preserve">. </w:t>
      </w:r>
    </w:p>
    <w:p w14:paraId="6604B727" w14:textId="5A18B15C" w:rsidR="00194232" w:rsidRPr="00640C2E" w:rsidRDefault="00194232" w:rsidP="00194232">
      <w:pPr>
        <w:rPr>
          <w:rFonts w:ascii="Arial" w:hAnsi="Arial" w:cs="Arial"/>
        </w:rPr>
      </w:pPr>
      <w:r>
        <w:rPr>
          <w:rFonts w:ascii="Arial" w:hAnsi="Arial" w:cs="Arial"/>
        </w:rPr>
        <w:t xml:space="preserve">GBRMPA is </w:t>
      </w:r>
      <w:r w:rsidR="00F12EF4">
        <w:rPr>
          <w:rFonts w:ascii="Arial" w:hAnsi="Arial" w:cs="Arial"/>
        </w:rPr>
        <w:t>delegated by the Minister to make permit decisions under the Sea Dumping Act for activities within the Marine Park</w:t>
      </w:r>
    </w:p>
    <w:p w14:paraId="37771B1F" w14:textId="77777777" w:rsidR="005825E1" w:rsidRPr="002D5D1F" w:rsidRDefault="005825E1" w:rsidP="005825E1">
      <w:pPr>
        <w:pStyle w:val="Heading2"/>
        <w:numPr>
          <w:ilvl w:val="0"/>
          <w:numId w:val="10"/>
        </w:numPr>
        <w:shd w:val="clear" w:color="auto" w:fill="4F81BD" w:themeFill="accent1"/>
        <w:spacing w:before="240" w:after="120"/>
        <w:rPr>
          <w:rFonts w:ascii="Arial" w:hAnsi="Arial" w:cs="Arial"/>
          <w:b w:val="0"/>
          <w:color w:val="FFFFFF" w:themeColor="background1"/>
        </w:rPr>
      </w:pPr>
      <w:bookmarkStart w:id="7" w:name="_OUTCOMES_OF_RECENT"/>
      <w:bookmarkStart w:id="8" w:name="_Toc474753099"/>
      <w:bookmarkEnd w:id="7"/>
      <w:r>
        <w:rPr>
          <w:rFonts w:ascii="Arial" w:hAnsi="Arial" w:cs="Arial"/>
          <w:b w:val="0"/>
          <w:color w:val="FFFFFF" w:themeColor="background1"/>
        </w:rPr>
        <w:t>OUTCOMES OF RECENT REVIEWS</w:t>
      </w:r>
      <w:bookmarkEnd w:id="8"/>
    </w:p>
    <w:p w14:paraId="6F5857B0" w14:textId="78F5933E" w:rsidR="005825E1" w:rsidRDefault="00E51452" w:rsidP="005825E1">
      <w:pPr>
        <w:pStyle w:val="Heading2"/>
        <w:numPr>
          <w:ilvl w:val="1"/>
          <w:numId w:val="10"/>
        </w:numPr>
        <w:pBdr>
          <w:top w:val="single" w:sz="4" w:space="1" w:color="4F81BD" w:themeColor="accent1"/>
          <w:left w:val="single" w:sz="4" w:space="4" w:color="4F81BD" w:themeColor="accent1"/>
        </w:pBdr>
        <w:spacing w:before="240" w:after="120"/>
        <w:ind w:left="567" w:hanging="573"/>
        <w:rPr>
          <w:rFonts w:ascii="Arial" w:hAnsi="Arial" w:cs="Arial"/>
          <w:b w:val="0"/>
          <w:color w:val="1F497D" w:themeColor="text2"/>
          <w:sz w:val="22"/>
        </w:rPr>
      </w:pPr>
      <w:bookmarkStart w:id="9" w:name="_Assessment_of_Management"/>
      <w:bookmarkStart w:id="10" w:name="_Toc474753100"/>
      <w:bookmarkEnd w:id="9"/>
      <w:r>
        <w:rPr>
          <w:rFonts w:ascii="Arial" w:hAnsi="Arial" w:cs="Arial"/>
          <w:b w:val="0"/>
          <w:color w:val="1F497D" w:themeColor="text2"/>
          <w:sz w:val="22"/>
        </w:rPr>
        <w:t>Independent A</w:t>
      </w:r>
      <w:r w:rsidR="005825E1">
        <w:rPr>
          <w:rFonts w:ascii="Arial" w:hAnsi="Arial" w:cs="Arial"/>
          <w:b w:val="0"/>
          <w:color w:val="1F497D" w:themeColor="text2"/>
          <w:sz w:val="22"/>
        </w:rPr>
        <w:t>ssessment of Management Effectiveness for the Great Barrier Reef Outlook Report 2014</w:t>
      </w:r>
      <w:bookmarkEnd w:id="10"/>
    </w:p>
    <w:p w14:paraId="2B28FC91" w14:textId="77777777" w:rsidR="005825E1" w:rsidRDefault="005825E1" w:rsidP="005825E1">
      <w:pPr>
        <w:rPr>
          <w:rFonts w:ascii="Arial" w:hAnsi="Arial" w:cs="Arial"/>
        </w:rPr>
      </w:pPr>
      <w:r w:rsidRPr="003D624E">
        <w:rPr>
          <w:rFonts w:ascii="Arial" w:hAnsi="Arial" w:cs="Arial"/>
        </w:rPr>
        <w:t xml:space="preserve">Every five years, the Authority prepares an Outlook Report for the Great Barrier Reef. </w:t>
      </w:r>
    </w:p>
    <w:p w14:paraId="5E6E0371" w14:textId="22141225" w:rsidR="005825E1" w:rsidRPr="003D624E" w:rsidRDefault="005825E1" w:rsidP="005825E1">
      <w:pPr>
        <w:rPr>
          <w:rFonts w:ascii="Arial" w:hAnsi="Arial" w:cs="Arial"/>
        </w:rPr>
      </w:pPr>
      <w:r w:rsidRPr="003D624E">
        <w:rPr>
          <w:rFonts w:ascii="Arial" w:hAnsi="Arial" w:cs="Arial"/>
        </w:rPr>
        <w:t xml:space="preserve">The GBRMP Act and the </w:t>
      </w:r>
      <w:hyperlink r:id="rId15" w:history="1">
        <w:r w:rsidRPr="002149F9">
          <w:rPr>
            <w:rStyle w:val="Hyperlink"/>
            <w:rFonts w:ascii="Arial" w:hAnsi="Arial" w:cs="Arial"/>
            <w:i/>
          </w:rPr>
          <w:t>Great Barrier Reef Marine Park Regulation</w:t>
        </w:r>
        <w:r w:rsidR="00FF6BF8" w:rsidRPr="002149F9">
          <w:rPr>
            <w:rStyle w:val="Hyperlink"/>
            <w:rFonts w:ascii="Arial" w:hAnsi="Arial" w:cs="Arial"/>
            <w:i/>
          </w:rPr>
          <w:t>s</w:t>
        </w:r>
        <w:r w:rsidRPr="002149F9">
          <w:rPr>
            <w:rStyle w:val="Hyperlink"/>
            <w:rFonts w:ascii="Arial" w:hAnsi="Arial" w:cs="Arial"/>
            <w:i/>
          </w:rPr>
          <w:t xml:space="preserve"> 1983</w:t>
        </w:r>
      </w:hyperlink>
      <w:r w:rsidRPr="003D624E">
        <w:rPr>
          <w:rFonts w:ascii="Arial" w:hAnsi="Arial" w:cs="Arial"/>
        </w:rPr>
        <w:t xml:space="preserve"> (the Regulations) stipulate what the report must contain and that it must be given to the Australian Government Minister for the Environment </w:t>
      </w:r>
      <w:r w:rsidR="00F12EF4">
        <w:rPr>
          <w:rFonts w:ascii="Arial" w:hAnsi="Arial" w:cs="Arial"/>
        </w:rPr>
        <w:t xml:space="preserve">and Energy every five years by 30 June </w:t>
      </w:r>
      <w:r w:rsidRPr="003D624E">
        <w:rPr>
          <w:rFonts w:ascii="Arial" w:hAnsi="Arial" w:cs="Arial"/>
        </w:rPr>
        <w:t>for tabling</w:t>
      </w:r>
      <w:r w:rsidR="00FF6BF8">
        <w:rPr>
          <w:rFonts w:ascii="Arial" w:hAnsi="Arial" w:cs="Arial"/>
        </w:rPr>
        <w:t xml:space="preserve"> in</w:t>
      </w:r>
      <w:r w:rsidRPr="003D624E">
        <w:rPr>
          <w:rFonts w:ascii="Arial" w:hAnsi="Arial" w:cs="Arial"/>
        </w:rPr>
        <w:t xml:space="preserve"> both houses of the Australian Parliament.</w:t>
      </w:r>
    </w:p>
    <w:p w14:paraId="3D86EBCE" w14:textId="71AFEA1B" w:rsidR="005825E1" w:rsidRDefault="005825E1" w:rsidP="005825E1">
      <w:pPr>
        <w:rPr>
          <w:rFonts w:ascii="Arial" w:hAnsi="Arial" w:cs="Arial"/>
        </w:rPr>
      </w:pPr>
      <w:r w:rsidRPr="003D624E">
        <w:rPr>
          <w:rFonts w:ascii="Arial" w:hAnsi="Arial" w:cs="Arial"/>
        </w:rPr>
        <w:t xml:space="preserve">Part of the Outlook Report is an </w:t>
      </w:r>
      <w:hyperlink r:id="rId16" w:history="1">
        <w:r w:rsidRPr="00C66337">
          <w:rPr>
            <w:rStyle w:val="Hyperlink"/>
            <w:rFonts w:ascii="Arial" w:hAnsi="Arial" w:cs="Arial"/>
          </w:rPr>
          <w:t>independent assessment of management effectiveness</w:t>
        </w:r>
      </w:hyperlink>
      <w:r w:rsidRPr="003D624E">
        <w:rPr>
          <w:rFonts w:ascii="Arial" w:hAnsi="Arial" w:cs="Arial"/>
        </w:rPr>
        <w:t>. The assessment follows the framework for assessing management effectiveness of protected areas developed by the International Union for the Conservation of Nature and Natural Resources (IUCN) World Commission on Protected Areas. This framework is based on a management cycle in which management is continuously evaluated and refined (Figure 1).</w:t>
      </w:r>
    </w:p>
    <w:p w14:paraId="1F41B8B1" w14:textId="0C0C8788" w:rsidR="00F12EF4" w:rsidRPr="003D624E" w:rsidRDefault="00F12EF4" w:rsidP="00C54ADB">
      <w:pPr>
        <w:spacing w:after="120"/>
        <w:rPr>
          <w:rFonts w:ascii="Arial" w:hAnsi="Arial" w:cs="Arial"/>
        </w:rPr>
      </w:pPr>
      <w:r>
        <w:rPr>
          <w:rFonts w:ascii="Arial" w:hAnsi="Arial" w:cs="Arial"/>
        </w:rPr>
        <w:t>The independent assessment is broader than just GBRMPA’s management as it encompasses management within the Great Barrier Reef Region which includes many Australian and Queensland government agencies.</w:t>
      </w:r>
    </w:p>
    <w:p w14:paraId="7C110AEF" w14:textId="6802D408" w:rsidR="005825E1" w:rsidRPr="003D624E" w:rsidRDefault="005825E1" w:rsidP="00C54ADB">
      <w:pPr>
        <w:keepNext/>
        <w:tabs>
          <w:tab w:val="left" w:pos="6804"/>
          <w:tab w:val="left" w:pos="8647"/>
        </w:tabs>
        <w:ind w:left="709" w:right="804"/>
        <w:rPr>
          <w:rFonts w:ascii="Arial" w:hAnsi="Arial" w:cs="Arial"/>
          <w:sz w:val="18"/>
        </w:rPr>
      </w:pPr>
      <w:r>
        <w:rPr>
          <w:noProof/>
          <w:lang w:eastAsia="en-AU"/>
        </w:rPr>
        <w:lastRenderedPageBreak/>
        <w:drawing>
          <wp:inline distT="0" distB="0" distL="0" distR="0" wp14:anchorId="5D1340A0" wp14:editId="0B5C2A79">
            <wp:extent cx="3960000" cy="3960000"/>
            <wp:effectExtent l="19050" t="19050" r="21590" b="21590"/>
            <wp:docPr id="17" name="Picture 11" descr="The diagram represents a cycle of continuous evaluation and improvement. The first part of the is design and planning covering Context - status and threats, where are we now?; and Planning - where do we want to be and how do we get there?. The second part is Adequacy and Appropriateness covering Inputs - what do we need; and Process - how do we go about management. The third and final part is Delivery. This covers Outputs - what did we do and what products or services were produced; and Outcomes - what did we achieve." title="Framework for assessing management effectiveness of protected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rcle_with_frame-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960000" cy="3960000"/>
                    </a:xfrm>
                    <a:prstGeom prst="rect">
                      <a:avLst/>
                    </a:prstGeom>
                    <a:noFill/>
                    <a:ln w="3175">
                      <a:solidFill>
                        <a:srgbClr val="59534D"/>
                      </a:solidFill>
                    </a:ln>
                    <a:extLst>
                      <a:ext uri="{53640926-AAD7-44D8-BBD7-CCE9431645EC}">
                        <a14:shadowObscured xmlns:a14="http://schemas.microsoft.com/office/drawing/2010/main"/>
                      </a:ext>
                    </a:extLst>
                  </pic:spPr>
                </pic:pic>
              </a:graphicData>
            </a:graphic>
          </wp:inline>
        </w:drawing>
      </w:r>
      <w:r w:rsidRPr="003D624E">
        <w:rPr>
          <w:rFonts w:ascii="Arial" w:hAnsi="Arial" w:cs="Arial"/>
        </w:rPr>
        <w:br/>
      </w:r>
      <w:r w:rsidRPr="003D624E">
        <w:rPr>
          <w:rFonts w:ascii="Arial" w:hAnsi="Arial" w:cs="Arial"/>
          <w:b/>
          <w:sz w:val="20"/>
        </w:rPr>
        <w:t xml:space="preserve">Figure 1: Framework for assessing management effectiveness of </w:t>
      </w:r>
      <w:r w:rsidR="00BE2BB5">
        <w:rPr>
          <w:rFonts w:ascii="Arial" w:hAnsi="Arial" w:cs="Arial"/>
          <w:b/>
          <w:sz w:val="20"/>
        </w:rPr>
        <w:br/>
      </w:r>
      <w:r w:rsidRPr="003D624E">
        <w:rPr>
          <w:rFonts w:ascii="Arial" w:hAnsi="Arial" w:cs="Arial"/>
          <w:b/>
          <w:sz w:val="20"/>
        </w:rPr>
        <w:t>protected areas</w:t>
      </w:r>
      <w:r w:rsidRPr="003D624E">
        <w:rPr>
          <w:rFonts w:ascii="Arial" w:hAnsi="Arial" w:cs="Arial"/>
          <w:sz w:val="20"/>
        </w:rPr>
        <w:br/>
      </w:r>
      <w:r w:rsidRPr="003D624E">
        <w:rPr>
          <w:rFonts w:ascii="Arial" w:hAnsi="Arial" w:cs="Arial"/>
          <w:sz w:val="18"/>
        </w:rPr>
        <w:t xml:space="preserve">Source: Adapted from Hockings et al. 2006, </w:t>
      </w:r>
      <w:hyperlink r:id="rId18" w:history="1">
        <w:r w:rsidRPr="003D624E">
          <w:rPr>
            <w:rStyle w:val="Hyperlink"/>
            <w:rFonts w:ascii="Arial" w:hAnsi="Arial" w:cs="Arial"/>
            <w:i/>
            <w:sz w:val="18"/>
          </w:rPr>
          <w:t>Evaluating effectiveness: a framework for assessing management effectiveness of protected areas</w:t>
        </w:r>
      </w:hyperlink>
      <w:r w:rsidRPr="003D624E">
        <w:rPr>
          <w:rFonts w:ascii="Arial" w:hAnsi="Arial" w:cs="Arial"/>
          <w:sz w:val="18"/>
        </w:rPr>
        <w:t>, 2</w:t>
      </w:r>
      <w:r w:rsidRPr="003D624E">
        <w:rPr>
          <w:rFonts w:ascii="Arial" w:hAnsi="Arial" w:cs="Arial"/>
          <w:sz w:val="18"/>
          <w:vertAlign w:val="superscript"/>
        </w:rPr>
        <w:t>nd</w:t>
      </w:r>
      <w:r w:rsidR="00986D9D">
        <w:rPr>
          <w:rFonts w:ascii="Arial" w:hAnsi="Arial" w:cs="Arial"/>
          <w:sz w:val="18"/>
        </w:rPr>
        <w:t> </w:t>
      </w:r>
      <w:r w:rsidRPr="003D624E">
        <w:rPr>
          <w:rFonts w:ascii="Arial" w:hAnsi="Arial" w:cs="Arial"/>
          <w:sz w:val="18"/>
        </w:rPr>
        <w:t>edn, IUCN, Gland, Switzerland.</w:t>
      </w:r>
    </w:p>
    <w:p w14:paraId="34DD6F82" w14:textId="1E5960D8" w:rsidR="005825E1" w:rsidRDefault="005825E1" w:rsidP="005825E1">
      <w:pPr>
        <w:rPr>
          <w:rFonts w:ascii="Arial" w:hAnsi="Arial" w:cs="Arial"/>
        </w:rPr>
      </w:pPr>
      <w:r w:rsidRPr="003D624E">
        <w:rPr>
          <w:rFonts w:ascii="Arial" w:hAnsi="Arial" w:cs="Arial"/>
        </w:rPr>
        <w:t xml:space="preserve">As part of the assessment, the three main management approaches </w:t>
      </w:r>
      <w:r w:rsidR="0047302C">
        <w:rPr>
          <w:rFonts w:ascii="Arial" w:hAnsi="Arial" w:cs="Arial"/>
        </w:rPr>
        <w:t>– environmental regulation; engagement; and k</w:t>
      </w:r>
      <w:r w:rsidR="0047302C" w:rsidRPr="0047302C">
        <w:rPr>
          <w:rFonts w:ascii="Arial" w:hAnsi="Arial" w:cs="Arial"/>
        </w:rPr>
        <w:t xml:space="preserve">nowledge, integration and innovation </w:t>
      </w:r>
      <w:r w:rsidR="0047302C">
        <w:rPr>
          <w:rFonts w:ascii="Arial" w:hAnsi="Arial" w:cs="Arial"/>
        </w:rPr>
        <w:t xml:space="preserve">– </w:t>
      </w:r>
      <w:r w:rsidRPr="003D624E">
        <w:rPr>
          <w:rFonts w:ascii="Arial" w:hAnsi="Arial" w:cs="Arial"/>
        </w:rPr>
        <w:t xml:space="preserve">are considered. </w:t>
      </w:r>
    </w:p>
    <w:p w14:paraId="673F9D42" w14:textId="581458AD" w:rsidR="00264A9B" w:rsidRDefault="005825E1" w:rsidP="00264A9B">
      <w:pPr>
        <w:rPr>
          <w:rFonts w:ascii="Arial" w:hAnsi="Arial" w:cs="Arial"/>
        </w:rPr>
      </w:pPr>
      <w:r w:rsidRPr="003D624E">
        <w:rPr>
          <w:rFonts w:ascii="Arial" w:hAnsi="Arial" w:cs="Arial"/>
        </w:rPr>
        <w:t xml:space="preserve">The </w:t>
      </w:r>
      <w:r w:rsidR="00C17229">
        <w:rPr>
          <w:rFonts w:ascii="Arial" w:hAnsi="Arial" w:cs="Arial"/>
        </w:rPr>
        <w:t xml:space="preserve">assessment of management effectiveness for the </w:t>
      </w:r>
      <w:r w:rsidR="00FF6BF8" w:rsidRPr="00FF6BF8">
        <w:rPr>
          <w:rFonts w:ascii="Arial" w:hAnsi="Arial" w:cs="Arial"/>
          <w:i/>
        </w:rPr>
        <w:t>Great Barrier Reef</w:t>
      </w:r>
      <w:r w:rsidRPr="00FF6BF8">
        <w:rPr>
          <w:rFonts w:ascii="Arial" w:hAnsi="Arial" w:cs="Arial"/>
          <w:i/>
        </w:rPr>
        <w:t xml:space="preserve"> Outlook Report </w:t>
      </w:r>
      <w:r w:rsidR="00FF6BF8" w:rsidRPr="00FF6BF8">
        <w:rPr>
          <w:rFonts w:ascii="Arial" w:hAnsi="Arial" w:cs="Arial"/>
          <w:i/>
        </w:rPr>
        <w:t>2014</w:t>
      </w:r>
      <w:r w:rsidR="00FF6BF8">
        <w:rPr>
          <w:rFonts w:ascii="Arial" w:hAnsi="Arial" w:cs="Arial"/>
          <w:i/>
        </w:rPr>
        <w:t xml:space="preserve"> </w:t>
      </w:r>
      <w:r w:rsidRPr="003D624E">
        <w:rPr>
          <w:rFonts w:ascii="Arial" w:hAnsi="Arial" w:cs="Arial"/>
        </w:rPr>
        <w:t>found</w:t>
      </w:r>
      <w:r w:rsidR="008E28FB">
        <w:rPr>
          <w:rFonts w:ascii="Arial" w:hAnsi="Arial" w:cs="Arial"/>
        </w:rPr>
        <w:t xml:space="preserve"> </w:t>
      </w:r>
      <w:r w:rsidR="008E28FB" w:rsidRPr="008E28FB">
        <w:rPr>
          <w:rFonts w:ascii="Arial" w:hAnsi="Arial" w:cs="Arial"/>
        </w:rPr>
        <w:t>managers of the Region are striving to manage effectively in all areas, and there has been</w:t>
      </w:r>
      <w:r w:rsidR="008E28FB">
        <w:rPr>
          <w:rFonts w:ascii="Arial" w:hAnsi="Arial" w:cs="Arial"/>
        </w:rPr>
        <w:t xml:space="preserve"> </w:t>
      </w:r>
      <w:r w:rsidR="008E28FB" w:rsidRPr="008E28FB">
        <w:rPr>
          <w:rFonts w:ascii="Arial" w:hAnsi="Arial" w:cs="Arial"/>
        </w:rPr>
        <w:t xml:space="preserve">considerable improvement in a number of areas since the </w:t>
      </w:r>
      <w:r w:rsidR="008E28FB" w:rsidRPr="008E28FB">
        <w:rPr>
          <w:rFonts w:ascii="Arial" w:hAnsi="Arial" w:cs="Arial"/>
          <w:i/>
        </w:rPr>
        <w:t>Great Barrier Reef Outlook Report 2009</w:t>
      </w:r>
      <w:r w:rsidR="008E28FB">
        <w:rPr>
          <w:rFonts w:ascii="Arial" w:hAnsi="Arial" w:cs="Arial"/>
        </w:rPr>
        <w:t xml:space="preserve">. </w:t>
      </w:r>
      <w:r w:rsidR="00264A9B">
        <w:rPr>
          <w:rFonts w:ascii="Arial" w:hAnsi="Arial" w:cs="Arial"/>
        </w:rPr>
        <w:t>The trend for most indicators was either improving or stable. The exceptions were financial inputs and cross-jurisdictional cooperation.</w:t>
      </w:r>
    </w:p>
    <w:p w14:paraId="2E0B8B4B" w14:textId="130E3E5C" w:rsidR="005825E1" w:rsidRDefault="008E28FB" w:rsidP="00264A9B">
      <w:pPr>
        <w:rPr>
          <w:rFonts w:ascii="Arial" w:hAnsi="Arial" w:cs="Arial"/>
        </w:rPr>
      </w:pPr>
      <w:r>
        <w:rPr>
          <w:rFonts w:ascii="Arial" w:hAnsi="Arial" w:cs="Arial"/>
        </w:rPr>
        <w:t>W</w:t>
      </w:r>
      <w:r w:rsidR="005825E1" w:rsidRPr="003D624E">
        <w:rPr>
          <w:rFonts w:ascii="Arial" w:hAnsi="Arial" w:cs="Arial"/>
        </w:rPr>
        <w:t xml:space="preserve">hile some </w:t>
      </w:r>
      <w:r w:rsidR="00FF6BF8">
        <w:rPr>
          <w:rFonts w:ascii="Arial" w:hAnsi="Arial" w:cs="Arial"/>
        </w:rPr>
        <w:t>updating and aligning is needed,</w:t>
      </w:r>
      <w:r w:rsidR="005825E1" w:rsidRPr="003D624E">
        <w:rPr>
          <w:rFonts w:ascii="Arial" w:hAnsi="Arial" w:cs="Arial"/>
        </w:rPr>
        <w:t xml:space="preserve"> environmental regulation </w:t>
      </w:r>
      <w:r w:rsidR="00485141">
        <w:rPr>
          <w:rFonts w:ascii="Arial" w:hAnsi="Arial" w:cs="Arial"/>
        </w:rPr>
        <w:t>was assessed to be</w:t>
      </w:r>
      <w:r w:rsidR="005825E1" w:rsidRPr="003D624E">
        <w:rPr>
          <w:rFonts w:ascii="Arial" w:hAnsi="Arial" w:cs="Arial"/>
        </w:rPr>
        <w:t xml:space="preserve"> generally contemporary and appropriate</w:t>
      </w:r>
      <w:r w:rsidR="00FF6BF8">
        <w:rPr>
          <w:rFonts w:ascii="Arial" w:hAnsi="Arial" w:cs="Arial"/>
        </w:rPr>
        <w:t>. Some inconsistencies with Queensland legislation were identified,</w:t>
      </w:r>
      <w:r w:rsidR="00264A9B" w:rsidRPr="00264A9B">
        <w:rPr>
          <w:rFonts w:ascii="Arial" w:hAnsi="Arial" w:cs="Arial"/>
        </w:rPr>
        <w:t xml:space="preserve"> often due to differences in </w:t>
      </w:r>
      <w:r w:rsidR="00F12EF4">
        <w:rPr>
          <w:rFonts w:ascii="Arial" w:hAnsi="Arial" w:cs="Arial"/>
        </w:rPr>
        <w:t xml:space="preserve">legislative </w:t>
      </w:r>
      <w:r w:rsidR="00264A9B" w:rsidRPr="00264A9B">
        <w:rPr>
          <w:rFonts w:ascii="Arial" w:hAnsi="Arial" w:cs="Arial"/>
        </w:rPr>
        <w:t>objectives</w:t>
      </w:r>
      <w:r w:rsidR="00264A9B">
        <w:rPr>
          <w:rFonts w:ascii="Arial" w:hAnsi="Arial" w:cs="Arial"/>
        </w:rPr>
        <w:t>.</w:t>
      </w:r>
    </w:p>
    <w:p w14:paraId="2DECADC4" w14:textId="2DA4AAAD" w:rsidR="00264A9B" w:rsidRDefault="00264A9B" w:rsidP="00264A9B">
      <w:pPr>
        <w:rPr>
          <w:rFonts w:ascii="Arial" w:hAnsi="Arial" w:cs="Arial"/>
        </w:rPr>
      </w:pPr>
      <w:r>
        <w:rPr>
          <w:rFonts w:ascii="Arial" w:hAnsi="Arial" w:cs="Arial"/>
        </w:rPr>
        <w:t xml:space="preserve">The </w:t>
      </w:r>
      <w:r w:rsidR="00485141">
        <w:rPr>
          <w:rFonts w:ascii="Arial" w:hAnsi="Arial" w:cs="Arial"/>
        </w:rPr>
        <w:t>assessment found</w:t>
      </w:r>
      <w:r w:rsidR="00987C3D">
        <w:rPr>
          <w:rFonts w:ascii="Arial" w:hAnsi="Arial" w:cs="Arial"/>
        </w:rPr>
        <w: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8"/>
      </w:tblGrid>
      <w:tr w:rsidR="00264A9B" w14:paraId="1A77C992" w14:textId="77777777" w:rsidTr="008C3AF3">
        <w:tc>
          <w:tcPr>
            <w:tcW w:w="9242" w:type="dxa"/>
            <w:shd w:val="clear" w:color="auto" w:fill="DBE5F1" w:themeFill="accent1" w:themeFillTint="33"/>
          </w:tcPr>
          <w:p w14:paraId="0B08D6B1" w14:textId="77777777" w:rsidR="00264A9B" w:rsidRPr="00987C3D" w:rsidRDefault="00264A9B" w:rsidP="00264A9B">
            <w:pPr>
              <w:pStyle w:val="Default"/>
              <w:spacing w:after="60"/>
              <w:ind w:left="360" w:right="284"/>
              <w:rPr>
                <w:rFonts w:ascii="Arial" w:hAnsi="Arial" w:cs="Arial"/>
                <w:sz w:val="22"/>
                <w:szCs w:val="20"/>
              </w:rPr>
            </w:pPr>
            <w:r w:rsidRPr="00987C3D">
              <w:rPr>
                <w:rFonts w:ascii="Arial" w:hAnsi="Arial" w:cs="Arial"/>
                <w:sz w:val="22"/>
                <w:szCs w:val="20"/>
              </w:rPr>
              <w:t>Some areas of assessment of management inputs (staffing and funding) have declined since the Outlook Report 2009. This appears to be largely a result of competing requirements for management of other high priority issues. In the face of essentially static resources for overall management outside specially funded programs such as Reef Rescue, Reef Plan and TUMRAs, redirection of effort is the main recourse for addressing these emerging priorities. However it has meant that management of issues such as tourism and research has not kept pace with plans or recognised needs. While not necessarily presenting a high risk to the Reef overall, the reputation of the Region’s management is likely to decline if additional resources to strengthen management in these areas cannot be found.</w:t>
            </w:r>
          </w:p>
          <w:p w14:paraId="427EEDDB" w14:textId="7CD3DAA4" w:rsidR="00485141" w:rsidRPr="00987C3D" w:rsidRDefault="00485141" w:rsidP="00485141">
            <w:pPr>
              <w:pStyle w:val="Default"/>
              <w:spacing w:after="60"/>
              <w:ind w:left="360" w:right="284"/>
              <w:rPr>
                <w:rFonts w:ascii="Arial" w:hAnsi="Arial" w:cs="Arial"/>
                <w:sz w:val="22"/>
                <w:szCs w:val="20"/>
              </w:rPr>
            </w:pPr>
            <w:r w:rsidRPr="00987C3D">
              <w:rPr>
                <w:rFonts w:ascii="Arial" w:hAnsi="Arial" w:cs="Arial"/>
                <w:sz w:val="22"/>
                <w:szCs w:val="20"/>
              </w:rPr>
              <w:lastRenderedPageBreak/>
              <w:t xml:space="preserve">Source: Hockings, M., Leverington, A. Trinder, C and Polglaze, J. 2014, </w:t>
            </w:r>
            <w:hyperlink r:id="rId19" w:history="1">
              <w:r w:rsidRPr="00987C3D">
                <w:rPr>
                  <w:rStyle w:val="Hyperlink"/>
                  <w:rFonts w:ascii="Arial" w:hAnsi="Arial" w:cs="Arial"/>
                  <w:i/>
                  <w:sz w:val="22"/>
                  <w:szCs w:val="20"/>
                </w:rPr>
                <w:t>Independent assessment of management effectiveness for the Great Barrier Reef Outlook Report 2014</w:t>
              </w:r>
            </w:hyperlink>
            <w:r w:rsidRPr="00987C3D">
              <w:rPr>
                <w:rFonts w:ascii="Arial" w:hAnsi="Arial" w:cs="Arial"/>
                <w:sz w:val="22"/>
                <w:szCs w:val="20"/>
              </w:rPr>
              <w:t xml:space="preserve">, Great Barrier Reef Marine Park Authority, Townsville. </w:t>
            </w:r>
            <w:proofErr w:type="gramStart"/>
            <w:r w:rsidRPr="00987C3D">
              <w:rPr>
                <w:rFonts w:ascii="Arial" w:hAnsi="Arial" w:cs="Arial"/>
                <w:sz w:val="22"/>
                <w:szCs w:val="20"/>
              </w:rPr>
              <w:t>p</w:t>
            </w:r>
            <w:proofErr w:type="gramEnd"/>
            <w:r w:rsidRPr="00987C3D">
              <w:rPr>
                <w:rFonts w:ascii="Arial" w:hAnsi="Arial" w:cs="Arial"/>
                <w:sz w:val="22"/>
                <w:szCs w:val="20"/>
              </w:rPr>
              <w:t xml:space="preserve">. ix </w:t>
            </w:r>
            <w:r w:rsidR="00987C3D">
              <w:rPr>
                <w:rFonts w:ascii="Arial" w:hAnsi="Arial" w:cs="Arial"/>
                <w:sz w:val="22"/>
                <w:szCs w:val="20"/>
              </w:rPr>
              <w:t>.</w:t>
            </w:r>
          </w:p>
        </w:tc>
      </w:tr>
    </w:tbl>
    <w:p w14:paraId="007CA5CF" w14:textId="77777777" w:rsidR="00264A9B" w:rsidRDefault="00264A9B" w:rsidP="00264A9B">
      <w:pPr>
        <w:rPr>
          <w:rFonts w:ascii="Arial" w:hAnsi="Arial" w:cs="Arial"/>
        </w:rPr>
      </w:pPr>
    </w:p>
    <w:p w14:paraId="7C353096" w14:textId="3EF16CF0" w:rsidR="00264A9B" w:rsidRDefault="00485141" w:rsidP="00264A9B">
      <w:pPr>
        <w:rPr>
          <w:rFonts w:ascii="Arial" w:hAnsi="Arial" w:cs="Arial"/>
        </w:rPr>
      </w:pPr>
      <w:r>
        <w:rPr>
          <w:rFonts w:ascii="Arial" w:hAnsi="Arial" w:cs="Arial"/>
        </w:rPr>
        <w:t>The findings of the</w:t>
      </w:r>
      <w:r w:rsidR="00625C93">
        <w:rPr>
          <w:rFonts w:ascii="Arial" w:hAnsi="Arial" w:cs="Arial"/>
        </w:rPr>
        <w:t xml:space="preserve"> Outlook Report, including the review of management e</w:t>
      </w:r>
      <w:r>
        <w:rPr>
          <w:rFonts w:ascii="Arial" w:hAnsi="Arial" w:cs="Arial"/>
        </w:rPr>
        <w:t xml:space="preserve">ffectiveness, inform GBRMPA’s corporate planning. </w:t>
      </w:r>
      <w:r w:rsidR="00CC3A2D">
        <w:rPr>
          <w:rFonts w:ascii="Arial" w:hAnsi="Arial" w:cs="Arial"/>
        </w:rPr>
        <w:t>The speed with which improvements can be implemented is contingent on available resourcing and competing priorities.</w:t>
      </w:r>
    </w:p>
    <w:p w14:paraId="0BEB9783" w14:textId="179345AF" w:rsidR="005825E1" w:rsidRPr="002D5D1F" w:rsidRDefault="00E51452" w:rsidP="005825E1">
      <w:pPr>
        <w:pStyle w:val="Heading2"/>
        <w:numPr>
          <w:ilvl w:val="1"/>
          <w:numId w:val="10"/>
        </w:numPr>
        <w:pBdr>
          <w:top w:val="single" w:sz="4" w:space="1" w:color="4F81BD" w:themeColor="accent1"/>
          <w:left w:val="single" w:sz="4" w:space="4" w:color="4F81BD" w:themeColor="accent1"/>
        </w:pBdr>
        <w:spacing w:before="240" w:after="120"/>
        <w:ind w:left="567" w:hanging="573"/>
        <w:rPr>
          <w:rFonts w:ascii="Arial" w:hAnsi="Arial" w:cs="Arial"/>
          <w:b w:val="0"/>
          <w:color w:val="1F497D" w:themeColor="text2"/>
          <w:sz w:val="22"/>
        </w:rPr>
      </w:pPr>
      <w:bookmarkStart w:id="11" w:name="_Assessment_of_Management_1"/>
      <w:bookmarkStart w:id="12" w:name="_Toc474753101"/>
      <w:bookmarkEnd w:id="11"/>
      <w:r>
        <w:rPr>
          <w:rFonts w:ascii="Arial" w:hAnsi="Arial" w:cs="Arial"/>
          <w:b w:val="0"/>
          <w:color w:val="1F497D" w:themeColor="text2"/>
          <w:sz w:val="22"/>
        </w:rPr>
        <w:t>Independent A</w:t>
      </w:r>
      <w:r w:rsidR="005825E1">
        <w:rPr>
          <w:rFonts w:ascii="Arial" w:hAnsi="Arial" w:cs="Arial"/>
          <w:b w:val="0"/>
          <w:color w:val="1F497D" w:themeColor="text2"/>
          <w:sz w:val="22"/>
        </w:rPr>
        <w:t>ssessment of Management Effectiveness for the Strategic Assessment of the Great Barrier Reef Region</w:t>
      </w:r>
      <w:bookmarkEnd w:id="12"/>
      <w:r w:rsidR="005825E1">
        <w:rPr>
          <w:rFonts w:ascii="Arial" w:hAnsi="Arial" w:cs="Arial"/>
          <w:b w:val="0"/>
          <w:color w:val="1F497D" w:themeColor="text2"/>
          <w:sz w:val="22"/>
        </w:rPr>
        <w:t xml:space="preserve"> </w:t>
      </w:r>
    </w:p>
    <w:p w14:paraId="68203934" w14:textId="3FE35331" w:rsidR="005825E1" w:rsidRDefault="005825E1" w:rsidP="005825E1">
      <w:pPr>
        <w:rPr>
          <w:rFonts w:ascii="Arial" w:hAnsi="Arial" w:cs="Arial"/>
        </w:rPr>
      </w:pPr>
      <w:r>
        <w:rPr>
          <w:rFonts w:ascii="Arial" w:hAnsi="Arial" w:cs="Arial"/>
        </w:rPr>
        <w:t xml:space="preserve">In parallel with the 2014 Outlook Report, GBRMPA also developed a </w:t>
      </w:r>
      <w:hyperlink r:id="rId20" w:history="1">
        <w:r w:rsidRPr="00394E83">
          <w:rPr>
            <w:rStyle w:val="Hyperlink"/>
            <w:rFonts w:ascii="Arial" w:hAnsi="Arial" w:cs="Arial"/>
          </w:rPr>
          <w:t>Strategic Assessment of the Great Barrier Reef Region</w:t>
        </w:r>
      </w:hyperlink>
      <w:r>
        <w:rPr>
          <w:rFonts w:ascii="Arial" w:hAnsi="Arial" w:cs="Arial"/>
        </w:rPr>
        <w:t xml:space="preserve"> under the </w:t>
      </w:r>
      <w:r w:rsidRPr="003D624E">
        <w:rPr>
          <w:rFonts w:ascii="Arial" w:hAnsi="Arial" w:cs="Arial"/>
          <w:i/>
        </w:rPr>
        <w:t>Environment Protection and Biodiversity Conservation Act 1999</w:t>
      </w:r>
      <w:r>
        <w:rPr>
          <w:rFonts w:ascii="Arial" w:hAnsi="Arial" w:cs="Arial"/>
        </w:rPr>
        <w:t xml:space="preserve"> (EPBC Act). </w:t>
      </w:r>
    </w:p>
    <w:p w14:paraId="3679031D" w14:textId="77777777" w:rsidR="008E28FB" w:rsidRDefault="008E28FB" w:rsidP="008E28FB">
      <w:pPr>
        <w:rPr>
          <w:rFonts w:ascii="Arial" w:hAnsi="Arial" w:cs="Arial"/>
        </w:rPr>
      </w:pPr>
      <w:r>
        <w:rPr>
          <w:rFonts w:ascii="Arial" w:hAnsi="Arial" w:cs="Arial"/>
        </w:rPr>
        <w:t xml:space="preserve">An </w:t>
      </w:r>
      <w:hyperlink r:id="rId21" w:history="1">
        <w:r w:rsidRPr="003D624E">
          <w:rPr>
            <w:rStyle w:val="Hyperlink"/>
            <w:rFonts w:ascii="Arial" w:hAnsi="Arial" w:cs="Arial"/>
          </w:rPr>
          <w:t>independent assessment of management effectiveness</w:t>
        </w:r>
      </w:hyperlink>
      <w:r>
        <w:rPr>
          <w:rFonts w:ascii="Arial" w:hAnsi="Arial" w:cs="Arial"/>
        </w:rPr>
        <w:t xml:space="preserve"> was commissioned to support the strategic assessment.</w:t>
      </w:r>
    </w:p>
    <w:p w14:paraId="6E27D85C" w14:textId="60A69755" w:rsidR="00987C3D" w:rsidRDefault="00C17229" w:rsidP="00C17229">
      <w:pPr>
        <w:rPr>
          <w:rFonts w:ascii="Arial" w:hAnsi="Arial" w:cs="Arial"/>
        </w:rPr>
      </w:pPr>
      <w:r w:rsidRPr="00C17229">
        <w:rPr>
          <w:rFonts w:ascii="Arial" w:hAnsi="Arial" w:cs="Arial"/>
        </w:rPr>
        <w:t xml:space="preserve">Unlike the </w:t>
      </w:r>
      <w:r w:rsidRPr="00C17229">
        <w:rPr>
          <w:rFonts w:ascii="Arial" w:hAnsi="Arial" w:cs="Arial"/>
          <w:i/>
          <w:iCs/>
        </w:rPr>
        <w:t xml:space="preserve">Outlook Report </w:t>
      </w:r>
      <w:r w:rsidRPr="00C17229">
        <w:rPr>
          <w:rFonts w:ascii="Arial" w:hAnsi="Arial" w:cs="Arial"/>
        </w:rPr>
        <w:t>that considered management activ</w:t>
      </w:r>
      <w:r w:rsidR="00205E14">
        <w:rPr>
          <w:rFonts w:ascii="Arial" w:hAnsi="Arial" w:cs="Arial"/>
        </w:rPr>
        <w:t xml:space="preserve">ities across the Australian and </w:t>
      </w:r>
      <w:r w:rsidRPr="00C17229">
        <w:rPr>
          <w:rFonts w:ascii="Arial" w:hAnsi="Arial" w:cs="Arial"/>
        </w:rPr>
        <w:t>Queensland gove</w:t>
      </w:r>
      <w:r w:rsidR="00625C93">
        <w:rPr>
          <w:rFonts w:ascii="Arial" w:hAnsi="Arial" w:cs="Arial"/>
        </w:rPr>
        <w:t>rnments, this evaluation focused</w:t>
      </w:r>
      <w:r w:rsidRPr="00C17229">
        <w:rPr>
          <w:rFonts w:ascii="Arial" w:hAnsi="Arial" w:cs="Arial"/>
        </w:rPr>
        <w:t xml:space="preserve"> on the management activities within the</w:t>
      </w:r>
      <w:r w:rsidR="00205E14">
        <w:rPr>
          <w:rFonts w:ascii="Arial" w:hAnsi="Arial" w:cs="Arial"/>
        </w:rPr>
        <w:t xml:space="preserve"> </w:t>
      </w:r>
      <w:r w:rsidRPr="00C17229">
        <w:rPr>
          <w:rFonts w:ascii="Arial" w:hAnsi="Arial" w:cs="Arial"/>
        </w:rPr>
        <w:t>Authority’s jurisdiction and any joint management arrangements with the Queensland</w:t>
      </w:r>
      <w:r w:rsidR="00205E14">
        <w:rPr>
          <w:rFonts w:ascii="Arial" w:hAnsi="Arial" w:cs="Arial"/>
        </w:rPr>
        <w:t xml:space="preserve"> </w:t>
      </w:r>
      <w:r w:rsidRPr="00C17229">
        <w:rPr>
          <w:rFonts w:ascii="Arial" w:hAnsi="Arial" w:cs="Arial"/>
        </w:rPr>
        <w:t>Government (for example, joint permitting arrangements and the Field Management</w:t>
      </w:r>
      <w:r w:rsidR="00205E14">
        <w:rPr>
          <w:rFonts w:ascii="Arial" w:hAnsi="Arial" w:cs="Arial"/>
        </w:rPr>
        <w:t xml:space="preserve"> </w:t>
      </w:r>
      <w:r w:rsidRPr="00C17229">
        <w:rPr>
          <w:rFonts w:ascii="Arial" w:hAnsi="Arial" w:cs="Arial"/>
        </w:rPr>
        <w:t xml:space="preserve">Program). While based on the </w:t>
      </w:r>
      <w:r w:rsidR="00625C93">
        <w:rPr>
          <w:rFonts w:ascii="Arial" w:hAnsi="Arial" w:cs="Arial"/>
        </w:rPr>
        <w:t xml:space="preserve">method used in </w:t>
      </w:r>
      <w:r w:rsidRPr="00625C93">
        <w:rPr>
          <w:rFonts w:ascii="Arial" w:hAnsi="Arial" w:cs="Arial"/>
          <w:iCs/>
        </w:rPr>
        <w:t>Outlook Report</w:t>
      </w:r>
      <w:r w:rsidR="00625C93" w:rsidRPr="00625C93">
        <w:rPr>
          <w:rFonts w:ascii="Arial" w:hAnsi="Arial" w:cs="Arial"/>
          <w:iCs/>
        </w:rPr>
        <w:t>s</w:t>
      </w:r>
      <w:r w:rsidRPr="00625C93">
        <w:rPr>
          <w:rFonts w:ascii="Arial" w:hAnsi="Arial" w:cs="Arial"/>
          <w:iCs/>
        </w:rPr>
        <w:t>,</w:t>
      </w:r>
      <w:r w:rsidRPr="00C17229">
        <w:rPr>
          <w:rFonts w:ascii="Arial" w:hAnsi="Arial" w:cs="Arial"/>
          <w:i/>
          <w:iCs/>
        </w:rPr>
        <w:t xml:space="preserve"> </w:t>
      </w:r>
      <w:r w:rsidR="008E28FB">
        <w:rPr>
          <w:rFonts w:ascii="Arial" w:hAnsi="Arial" w:cs="Arial"/>
        </w:rPr>
        <w:t>this evaluation w</w:t>
      </w:r>
      <w:r w:rsidRPr="00C17229">
        <w:rPr>
          <w:rFonts w:ascii="Arial" w:hAnsi="Arial" w:cs="Arial"/>
        </w:rPr>
        <w:t>as broadened to take</w:t>
      </w:r>
      <w:r w:rsidR="00205E14">
        <w:rPr>
          <w:rFonts w:ascii="Arial" w:hAnsi="Arial" w:cs="Arial"/>
        </w:rPr>
        <w:t xml:space="preserve"> </w:t>
      </w:r>
      <w:r w:rsidRPr="00C17229">
        <w:rPr>
          <w:rFonts w:ascii="Arial" w:hAnsi="Arial" w:cs="Arial"/>
        </w:rPr>
        <w:t>more explicit account of matters of national environmental significance, including the</w:t>
      </w:r>
      <w:r w:rsidR="00205E14">
        <w:rPr>
          <w:rFonts w:ascii="Arial" w:hAnsi="Arial" w:cs="Arial"/>
        </w:rPr>
        <w:t xml:space="preserve"> </w:t>
      </w:r>
      <w:r w:rsidRPr="00C17229">
        <w:rPr>
          <w:rFonts w:ascii="Arial" w:hAnsi="Arial" w:cs="Arial"/>
        </w:rPr>
        <w:t>outstanding universal value of the Great Barrier Reef World Heritage Area.</w:t>
      </w:r>
      <w:r w:rsidR="00987C3D">
        <w:rPr>
          <w:rFonts w:ascii="Arial" w:hAnsi="Arial" w:cs="Arial"/>
        </w:rPr>
        <w:t xml:space="preserve"> </w:t>
      </w:r>
    </w:p>
    <w:p w14:paraId="19D44DE3" w14:textId="0A4C8983" w:rsidR="005825E1" w:rsidRDefault="00987C3D" w:rsidP="00987C3D">
      <w:pPr>
        <w:rPr>
          <w:rFonts w:ascii="Arial" w:hAnsi="Arial" w:cs="Arial"/>
        </w:rPr>
      </w:pPr>
      <w:r>
        <w:rPr>
          <w:rFonts w:ascii="Arial" w:hAnsi="Arial" w:cs="Arial"/>
        </w:rPr>
        <w:t>The assessment found:</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8"/>
      </w:tblGrid>
      <w:tr w:rsidR="00987C3D" w14:paraId="5FDD690E" w14:textId="77777777" w:rsidTr="008C3AF3">
        <w:tc>
          <w:tcPr>
            <w:tcW w:w="9242" w:type="dxa"/>
            <w:shd w:val="clear" w:color="auto" w:fill="DBE5F1" w:themeFill="accent1" w:themeFillTint="33"/>
          </w:tcPr>
          <w:p w14:paraId="047905EC" w14:textId="77777777" w:rsidR="00987C3D" w:rsidRPr="00987C3D" w:rsidRDefault="00987C3D" w:rsidP="00987C3D">
            <w:pPr>
              <w:pStyle w:val="Default"/>
              <w:spacing w:after="60"/>
              <w:ind w:left="360" w:right="284"/>
              <w:rPr>
                <w:rFonts w:ascii="Arial" w:hAnsi="Arial" w:cs="Arial"/>
                <w:sz w:val="22"/>
                <w:szCs w:val="20"/>
              </w:rPr>
            </w:pPr>
            <w:r w:rsidRPr="00987C3D">
              <w:rPr>
                <w:rFonts w:ascii="Arial" w:hAnsi="Arial" w:cs="Arial"/>
                <w:sz w:val="22"/>
                <w:szCs w:val="20"/>
              </w:rPr>
              <w:t>Management effectiveness is strongest on issues limited in scale or intensity and presenting only minor or moderate complexity such as defence and research activities. Tourism operates across much of the region and is moderately complex. It has received significant management attention and is effectively managed.</w:t>
            </w:r>
          </w:p>
          <w:p w14:paraId="59E3A4B3" w14:textId="31E4EE33" w:rsidR="00987C3D" w:rsidRPr="00987C3D" w:rsidRDefault="00987C3D" w:rsidP="00987C3D">
            <w:pPr>
              <w:pStyle w:val="Default"/>
              <w:spacing w:after="60"/>
              <w:ind w:left="360" w:right="284"/>
              <w:rPr>
                <w:rFonts w:ascii="Arial" w:hAnsi="Arial" w:cs="Arial"/>
                <w:sz w:val="22"/>
                <w:szCs w:val="20"/>
              </w:rPr>
            </w:pPr>
            <w:r w:rsidRPr="00987C3D">
              <w:rPr>
                <w:rFonts w:ascii="Arial" w:hAnsi="Arial" w:cs="Arial"/>
                <w:sz w:val="22"/>
                <w:szCs w:val="20"/>
              </w:rPr>
              <w:t>Management effectiveness challenges are evident for those broad scale issues which are complex socially, biophysically and jurisdictionally. These include ports, shipping, climate change and extreme weather, coastal development, water quality protection, commercial and recreational fishing, and Indigenous heritage.</w:t>
            </w:r>
          </w:p>
          <w:p w14:paraId="0D325B18" w14:textId="1C58532E" w:rsidR="00987C3D" w:rsidRPr="00987C3D" w:rsidRDefault="00987C3D" w:rsidP="00987C3D">
            <w:pPr>
              <w:pStyle w:val="Default"/>
              <w:spacing w:after="60"/>
              <w:ind w:left="360" w:right="284"/>
              <w:rPr>
                <w:rFonts w:ascii="Arial" w:hAnsi="Arial" w:cs="Arial"/>
                <w:sz w:val="22"/>
                <w:szCs w:val="20"/>
              </w:rPr>
            </w:pPr>
            <w:r w:rsidRPr="00987C3D">
              <w:rPr>
                <w:rFonts w:ascii="Arial" w:hAnsi="Arial" w:cs="Arial"/>
                <w:sz w:val="22"/>
                <w:szCs w:val="20"/>
              </w:rPr>
              <w:t xml:space="preserve">Source: </w:t>
            </w:r>
            <w:r>
              <w:rPr>
                <w:rFonts w:ascii="Arial" w:hAnsi="Arial" w:cs="Arial"/>
                <w:sz w:val="22"/>
                <w:szCs w:val="20"/>
              </w:rPr>
              <w:t>Hockings, M., L</w:t>
            </w:r>
            <w:r w:rsidR="00E8462A">
              <w:rPr>
                <w:rFonts w:ascii="Arial" w:hAnsi="Arial" w:cs="Arial"/>
                <w:sz w:val="22"/>
                <w:szCs w:val="20"/>
              </w:rPr>
              <w:t>everington, A., Gilligan, B.</w:t>
            </w:r>
            <w:r>
              <w:rPr>
                <w:rFonts w:ascii="Arial" w:hAnsi="Arial" w:cs="Arial"/>
                <w:sz w:val="22"/>
                <w:szCs w:val="20"/>
              </w:rPr>
              <w:t xml:space="preserve"> 2013</w:t>
            </w:r>
            <w:r w:rsidRPr="00987C3D">
              <w:rPr>
                <w:rFonts w:ascii="Arial" w:hAnsi="Arial" w:cs="Arial"/>
                <w:sz w:val="22"/>
                <w:szCs w:val="20"/>
              </w:rPr>
              <w:t xml:space="preserve">, </w:t>
            </w:r>
            <w:hyperlink r:id="rId22" w:history="1">
              <w:r w:rsidRPr="00E8462A">
                <w:rPr>
                  <w:rStyle w:val="Hyperlink"/>
                  <w:rFonts w:ascii="Arial" w:hAnsi="Arial" w:cs="Arial"/>
                  <w:i/>
                  <w:sz w:val="22"/>
                  <w:szCs w:val="20"/>
                </w:rPr>
                <w:t>Assessment of Management Effectiveness for the Strategic Assessment of the Great Barrier Reef Region</w:t>
              </w:r>
            </w:hyperlink>
            <w:r w:rsidRPr="00987C3D">
              <w:rPr>
                <w:rFonts w:ascii="Arial" w:hAnsi="Arial" w:cs="Arial"/>
                <w:sz w:val="22"/>
                <w:szCs w:val="20"/>
              </w:rPr>
              <w:t xml:space="preserve">, Great Barrier Reef Marine Park Authority, Townsville. </w:t>
            </w:r>
            <w:r>
              <w:rPr>
                <w:rFonts w:ascii="Arial" w:hAnsi="Arial" w:cs="Arial"/>
                <w:sz w:val="22"/>
                <w:szCs w:val="20"/>
              </w:rPr>
              <w:t>p. 4.</w:t>
            </w:r>
          </w:p>
        </w:tc>
      </w:tr>
    </w:tbl>
    <w:p w14:paraId="4C1426E9" w14:textId="77777777" w:rsidR="00987C3D" w:rsidRDefault="00987C3D" w:rsidP="00987C3D">
      <w:pPr>
        <w:rPr>
          <w:rFonts w:ascii="Arial" w:hAnsi="Arial" w:cs="Arial"/>
        </w:rPr>
      </w:pPr>
    </w:p>
    <w:p w14:paraId="2EF2A717" w14:textId="31B77D91" w:rsidR="00987C3D" w:rsidRDefault="00394E83" w:rsidP="00987C3D">
      <w:pPr>
        <w:rPr>
          <w:rFonts w:ascii="Arial" w:hAnsi="Arial" w:cs="Arial"/>
        </w:rPr>
      </w:pPr>
      <w:r>
        <w:rPr>
          <w:rFonts w:ascii="Arial" w:hAnsi="Arial" w:cs="Arial"/>
        </w:rPr>
        <w:t>The findings of the review, together with the findings of the Strategic Assessment, informed the development of the</w:t>
      </w:r>
      <w:r w:rsidRPr="00394E83">
        <w:rPr>
          <w:rFonts w:ascii="Arial" w:hAnsi="Arial" w:cs="Arial"/>
        </w:rPr>
        <w:t xml:space="preserve"> </w:t>
      </w:r>
      <w:hyperlink r:id="rId23" w:history="1">
        <w:r w:rsidRPr="00394E83">
          <w:rPr>
            <w:rStyle w:val="Hyperlink"/>
            <w:rFonts w:ascii="Arial" w:hAnsi="Arial" w:cs="Arial"/>
          </w:rPr>
          <w:t xml:space="preserve">Great Barrier Reef Region Strategic Assessment: Program </w:t>
        </w:r>
        <w:r w:rsidR="00F12EF4">
          <w:rPr>
            <w:rStyle w:val="Hyperlink"/>
            <w:rFonts w:ascii="Arial" w:hAnsi="Arial" w:cs="Arial"/>
          </w:rPr>
          <w:t>R</w:t>
        </w:r>
        <w:r w:rsidRPr="00394E83">
          <w:rPr>
            <w:rStyle w:val="Hyperlink"/>
            <w:rFonts w:ascii="Arial" w:hAnsi="Arial" w:cs="Arial"/>
          </w:rPr>
          <w:t>eport</w:t>
        </w:r>
      </w:hyperlink>
      <w:r w:rsidRPr="00394E83">
        <w:rPr>
          <w:rFonts w:ascii="Arial" w:hAnsi="Arial" w:cs="Arial"/>
        </w:rPr>
        <w:t xml:space="preserve"> — </w:t>
      </w:r>
      <w:r>
        <w:rPr>
          <w:rFonts w:ascii="Arial" w:hAnsi="Arial" w:cs="Arial"/>
        </w:rPr>
        <w:t>GBRMPA’s</w:t>
      </w:r>
      <w:r w:rsidRPr="00394E83">
        <w:rPr>
          <w:rFonts w:ascii="Arial" w:hAnsi="Arial" w:cs="Arial"/>
        </w:rPr>
        <w:t xml:space="preserve"> 25-year plan for reef management — </w:t>
      </w:r>
      <w:r>
        <w:rPr>
          <w:rFonts w:ascii="Arial" w:hAnsi="Arial" w:cs="Arial"/>
        </w:rPr>
        <w:t xml:space="preserve">which </w:t>
      </w:r>
      <w:r w:rsidRPr="00394E83">
        <w:rPr>
          <w:rFonts w:ascii="Arial" w:hAnsi="Arial" w:cs="Arial"/>
        </w:rPr>
        <w:t xml:space="preserve">outlines how the Reef will </w:t>
      </w:r>
      <w:r>
        <w:rPr>
          <w:rFonts w:ascii="Arial" w:hAnsi="Arial" w:cs="Arial"/>
        </w:rPr>
        <w:t>be managed for the years ahead.</w:t>
      </w:r>
    </w:p>
    <w:p w14:paraId="493B67B6" w14:textId="751A3D45" w:rsidR="00394E83" w:rsidRDefault="00394E83" w:rsidP="00987C3D">
      <w:pPr>
        <w:rPr>
          <w:rFonts w:ascii="Arial" w:hAnsi="Arial" w:cs="Arial"/>
        </w:rPr>
      </w:pPr>
      <w:r w:rsidRPr="00394E83">
        <w:rPr>
          <w:rFonts w:ascii="Arial" w:hAnsi="Arial" w:cs="Arial"/>
        </w:rPr>
        <w:t xml:space="preserve">The areas of environmental regulation identified in the </w:t>
      </w:r>
      <w:r>
        <w:rPr>
          <w:rFonts w:ascii="Arial" w:hAnsi="Arial" w:cs="Arial"/>
        </w:rPr>
        <w:t>S</w:t>
      </w:r>
      <w:r w:rsidRPr="00394E83">
        <w:rPr>
          <w:rFonts w:ascii="Arial" w:hAnsi="Arial" w:cs="Arial"/>
        </w:rPr>
        <w:t xml:space="preserve">trategic </w:t>
      </w:r>
      <w:r w:rsidR="00B74966">
        <w:rPr>
          <w:rFonts w:ascii="Arial" w:hAnsi="Arial" w:cs="Arial"/>
        </w:rPr>
        <w:t>A</w:t>
      </w:r>
      <w:r w:rsidRPr="00394E83">
        <w:rPr>
          <w:rFonts w:ascii="Arial" w:hAnsi="Arial" w:cs="Arial"/>
        </w:rPr>
        <w:t xml:space="preserve">ssessment as requiring strengthening are: regional standards for protection; managing cumulative impacts; enhancing protection and restoration; improving certainty; improving consideration of climate change impacts; strengthening consideration of heritage values and community benefits; </w:t>
      </w:r>
      <w:r w:rsidRPr="00394E83">
        <w:rPr>
          <w:rFonts w:ascii="Arial" w:hAnsi="Arial" w:cs="Arial"/>
        </w:rPr>
        <w:lastRenderedPageBreak/>
        <w:t>improving compliance; improving incident response capacity; and streamlining and harmonising regulatory tool</w:t>
      </w:r>
      <w:r w:rsidR="00B74966">
        <w:rPr>
          <w:rFonts w:ascii="Arial" w:hAnsi="Arial" w:cs="Arial"/>
        </w:rPr>
        <w:t>s.</w:t>
      </w:r>
    </w:p>
    <w:p w14:paraId="00BCACAD" w14:textId="77777777" w:rsidR="005825E1" w:rsidRPr="002D5D1F" w:rsidRDefault="005825E1" w:rsidP="005825E1">
      <w:pPr>
        <w:pStyle w:val="Heading2"/>
        <w:numPr>
          <w:ilvl w:val="1"/>
          <w:numId w:val="10"/>
        </w:numPr>
        <w:pBdr>
          <w:top w:val="single" w:sz="4" w:space="1" w:color="4F81BD" w:themeColor="accent1"/>
          <w:left w:val="single" w:sz="4" w:space="4" w:color="4F81BD" w:themeColor="accent1"/>
        </w:pBdr>
        <w:spacing w:before="240" w:after="120"/>
        <w:ind w:left="567" w:hanging="573"/>
        <w:rPr>
          <w:rFonts w:ascii="Arial" w:hAnsi="Arial" w:cs="Arial"/>
          <w:b w:val="0"/>
          <w:color w:val="1F497D" w:themeColor="text2"/>
          <w:sz w:val="22"/>
        </w:rPr>
      </w:pPr>
      <w:bookmarkStart w:id="13" w:name="_Toc474753102"/>
      <w:r>
        <w:rPr>
          <w:rFonts w:ascii="Arial" w:hAnsi="Arial" w:cs="Arial"/>
          <w:b w:val="0"/>
          <w:color w:val="1F497D" w:themeColor="text2"/>
          <w:sz w:val="22"/>
        </w:rPr>
        <w:t>ANAO Report No. 3 2015-16 – Regulation of Great Barrier Reef Marine Park Permits and Approvals</w:t>
      </w:r>
      <w:bookmarkEnd w:id="13"/>
    </w:p>
    <w:p w14:paraId="61390698" w14:textId="46F0483A" w:rsidR="005825E1" w:rsidRDefault="005F6D70" w:rsidP="00125CCE">
      <w:pPr>
        <w:rPr>
          <w:rFonts w:ascii="Arial" w:hAnsi="Arial" w:cs="Arial"/>
        </w:rPr>
      </w:pPr>
      <w:r>
        <w:rPr>
          <w:rFonts w:ascii="Arial" w:hAnsi="Arial" w:cs="Arial"/>
        </w:rPr>
        <w:t xml:space="preserve">The Australian National Audit Office (ANAO) conducted a </w:t>
      </w:r>
      <w:hyperlink r:id="rId24" w:history="1">
        <w:r w:rsidR="00125CCE" w:rsidRPr="00125CCE">
          <w:rPr>
            <w:rStyle w:val="Hyperlink"/>
            <w:rFonts w:ascii="Arial" w:hAnsi="Arial" w:cs="Arial"/>
          </w:rPr>
          <w:t>performance audit to assess the effectiveness of GBRMPA’s regulation of permits and approvals within the Marine Park</w:t>
        </w:r>
      </w:hyperlink>
      <w:r w:rsidR="00125CCE" w:rsidRPr="00125CCE">
        <w:rPr>
          <w:rFonts w:ascii="Arial" w:hAnsi="Arial" w:cs="Arial"/>
        </w:rPr>
        <w:t>.</w:t>
      </w:r>
    </w:p>
    <w:p w14:paraId="4E22D050" w14:textId="16175682" w:rsidR="00125CCE" w:rsidRDefault="00125CCE" w:rsidP="00125CCE">
      <w:pPr>
        <w:rPr>
          <w:rFonts w:ascii="Arial" w:hAnsi="Arial" w:cs="Arial"/>
        </w:rPr>
      </w:pPr>
      <w:r w:rsidRPr="00125CCE">
        <w:rPr>
          <w:rFonts w:ascii="Arial" w:hAnsi="Arial" w:cs="Arial"/>
        </w:rPr>
        <w:t>The ANAO examined GBRMPA’s a</w:t>
      </w:r>
      <w:r>
        <w:rPr>
          <w:rFonts w:ascii="Arial" w:hAnsi="Arial" w:cs="Arial"/>
        </w:rPr>
        <w:t xml:space="preserve">ssessment of Marine Park permit </w:t>
      </w:r>
      <w:r w:rsidRPr="00125CCE">
        <w:rPr>
          <w:rFonts w:ascii="Arial" w:hAnsi="Arial" w:cs="Arial"/>
        </w:rPr>
        <w:t>applications, monitoring of permit holders’ co</w:t>
      </w:r>
      <w:r>
        <w:rPr>
          <w:rFonts w:ascii="Arial" w:hAnsi="Arial" w:cs="Arial"/>
        </w:rPr>
        <w:t xml:space="preserve">mpliance and response to permit </w:t>
      </w:r>
      <w:r w:rsidRPr="00125CCE">
        <w:rPr>
          <w:rFonts w:ascii="Arial" w:hAnsi="Arial" w:cs="Arial"/>
        </w:rPr>
        <w:t>hol</w:t>
      </w:r>
      <w:r>
        <w:rPr>
          <w:rFonts w:ascii="Arial" w:hAnsi="Arial" w:cs="Arial"/>
        </w:rPr>
        <w:t xml:space="preserve">ders’ non-compliance. </w:t>
      </w:r>
      <w:r w:rsidRPr="00125CCE">
        <w:rPr>
          <w:rFonts w:ascii="Arial" w:hAnsi="Arial" w:cs="Arial"/>
        </w:rPr>
        <w:t>The ANAO</w:t>
      </w:r>
      <w:r>
        <w:rPr>
          <w:rFonts w:ascii="Arial" w:hAnsi="Arial" w:cs="Arial"/>
        </w:rPr>
        <w:t xml:space="preserve"> did not examine GBRMPA’s other </w:t>
      </w:r>
      <w:r w:rsidRPr="00125CCE">
        <w:rPr>
          <w:rFonts w:ascii="Arial" w:hAnsi="Arial" w:cs="Arial"/>
        </w:rPr>
        <w:t xml:space="preserve">regulatory activities, such as the </w:t>
      </w:r>
      <w:r>
        <w:rPr>
          <w:rFonts w:ascii="Arial" w:hAnsi="Arial" w:cs="Arial"/>
        </w:rPr>
        <w:t>Field Management Compliance Unit’s investigation and enforcement activities associated with</w:t>
      </w:r>
      <w:r w:rsidRPr="00125CCE">
        <w:rPr>
          <w:rFonts w:ascii="Arial" w:hAnsi="Arial" w:cs="Arial"/>
        </w:rPr>
        <w:t xml:space="preserve"> activities not subjec</w:t>
      </w:r>
      <w:r>
        <w:rPr>
          <w:rFonts w:ascii="Arial" w:hAnsi="Arial" w:cs="Arial"/>
        </w:rPr>
        <w:t xml:space="preserve">t to a permit; the state marine </w:t>
      </w:r>
      <w:r w:rsidRPr="00125CCE">
        <w:rPr>
          <w:rFonts w:ascii="Arial" w:hAnsi="Arial" w:cs="Arial"/>
        </w:rPr>
        <w:t>park; or permits and licenses granted under state legislation.</w:t>
      </w:r>
    </w:p>
    <w:p w14:paraId="73ABFB26" w14:textId="7764BBA2" w:rsidR="00125CCE" w:rsidRDefault="00125CCE" w:rsidP="00125CCE">
      <w:pPr>
        <w:rPr>
          <w:rFonts w:ascii="Arial" w:hAnsi="Arial" w:cs="Arial"/>
        </w:rPr>
      </w:pPr>
      <w:r w:rsidRPr="00125CCE">
        <w:rPr>
          <w:rFonts w:ascii="Arial" w:hAnsi="Arial" w:cs="Arial"/>
        </w:rPr>
        <w:t>To improve GBRMPA’s regulatio</w:t>
      </w:r>
      <w:r>
        <w:rPr>
          <w:rFonts w:ascii="Arial" w:hAnsi="Arial" w:cs="Arial"/>
        </w:rPr>
        <w:t xml:space="preserve">n of Marine Park permits and to </w:t>
      </w:r>
      <w:r w:rsidRPr="00125CCE">
        <w:rPr>
          <w:rFonts w:ascii="Arial" w:hAnsi="Arial" w:cs="Arial"/>
        </w:rPr>
        <w:t>inform the work being undertaken t</w:t>
      </w:r>
      <w:r>
        <w:rPr>
          <w:rFonts w:ascii="Arial" w:hAnsi="Arial" w:cs="Arial"/>
        </w:rPr>
        <w:t xml:space="preserve">o enhance compliance management </w:t>
      </w:r>
      <w:r w:rsidRPr="00125CCE">
        <w:rPr>
          <w:rFonts w:ascii="Arial" w:hAnsi="Arial" w:cs="Arial"/>
        </w:rPr>
        <w:t>practices, the ANAO made five rec</w:t>
      </w:r>
      <w:r>
        <w:rPr>
          <w:rFonts w:ascii="Arial" w:hAnsi="Arial" w:cs="Arial"/>
        </w:rPr>
        <w:t xml:space="preserve">ommendations to strengthen the: </w:t>
      </w:r>
    </w:p>
    <w:p w14:paraId="4392BE64" w14:textId="77777777" w:rsidR="00125CCE" w:rsidRPr="00125CCE" w:rsidRDefault="00125CCE" w:rsidP="00987C3D">
      <w:pPr>
        <w:pStyle w:val="ListParagraph"/>
        <w:numPr>
          <w:ilvl w:val="0"/>
          <w:numId w:val="26"/>
        </w:numPr>
        <w:shd w:val="clear" w:color="auto" w:fill="DBE5F1" w:themeFill="accent1" w:themeFillTint="33"/>
        <w:ind w:left="851" w:hanging="425"/>
        <w:rPr>
          <w:rFonts w:ascii="Arial" w:hAnsi="Arial" w:cs="Arial"/>
        </w:rPr>
      </w:pPr>
      <w:r w:rsidRPr="00125CCE">
        <w:rPr>
          <w:rFonts w:ascii="Arial" w:hAnsi="Arial" w:cs="Arial"/>
        </w:rPr>
        <w:t xml:space="preserve">processing of permit applications; </w:t>
      </w:r>
    </w:p>
    <w:p w14:paraId="3D7103C9" w14:textId="77777777" w:rsidR="00125CCE" w:rsidRPr="00125CCE" w:rsidRDefault="00125CCE" w:rsidP="00987C3D">
      <w:pPr>
        <w:pStyle w:val="ListParagraph"/>
        <w:numPr>
          <w:ilvl w:val="0"/>
          <w:numId w:val="26"/>
        </w:numPr>
        <w:shd w:val="clear" w:color="auto" w:fill="DBE5F1" w:themeFill="accent1" w:themeFillTint="33"/>
        <w:ind w:left="851" w:hanging="425"/>
        <w:rPr>
          <w:rFonts w:ascii="Arial" w:hAnsi="Arial" w:cs="Arial"/>
        </w:rPr>
      </w:pPr>
      <w:r w:rsidRPr="00125CCE">
        <w:rPr>
          <w:rFonts w:ascii="Arial" w:hAnsi="Arial" w:cs="Arial"/>
        </w:rPr>
        <w:t xml:space="preserve">rigour of the permit application assessment and decision-making processes; </w:t>
      </w:r>
    </w:p>
    <w:p w14:paraId="4144E25B" w14:textId="77777777" w:rsidR="00125CCE" w:rsidRPr="00125CCE" w:rsidRDefault="00125CCE" w:rsidP="00987C3D">
      <w:pPr>
        <w:pStyle w:val="ListParagraph"/>
        <w:numPr>
          <w:ilvl w:val="0"/>
          <w:numId w:val="26"/>
        </w:numPr>
        <w:shd w:val="clear" w:color="auto" w:fill="DBE5F1" w:themeFill="accent1" w:themeFillTint="33"/>
        <w:ind w:left="851" w:hanging="425"/>
        <w:rPr>
          <w:rFonts w:ascii="Arial" w:hAnsi="Arial" w:cs="Arial"/>
        </w:rPr>
      </w:pPr>
      <w:r w:rsidRPr="00125CCE">
        <w:rPr>
          <w:rFonts w:ascii="Arial" w:hAnsi="Arial" w:cs="Arial"/>
        </w:rPr>
        <w:t xml:space="preserve">effectiveness of permit conditions; </w:t>
      </w:r>
    </w:p>
    <w:p w14:paraId="1C30EFB1" w14:textId="77777777" w:rsidR="00125CCE" w:rsidRPr="00125CCE" w:rsidRDefault="00125CCE" w:rsidP="00987C3D">
      <w:pPr>
        <w:pStyle w:val="ListParagraph"/>
        <w:numPr>
          <w:ilvl w:val="0"/>
          <w:numId w:val="26"/>
        </w:numPr>
        <w:shd w:val="clear" w:color="auto" w:fill="DBE5F1" w:themeFill="accent1" w:themeFillTint="33"/>
        <w:ind w:left="851" w:hanging="425"/>
        <w:rPr>
          <w:rFonts w:ascii="Arial" w:hAnsi="Arial" w:cs="Arial"/>
        </w:rPr>
      </w:pPr>
      <w:r w:rsidRPr="00125CCE">
        <w:rPr>
          <w:rFonts w:ascii="Arial" w:hAnsi="Arial" w:cs="Arial"/>
        </w:rPr>
        <w:t xml:space="preserve">effectiveness of permit compliance monitoring; and </w:t>
      </w:r>
    </w:p>
    <w:p w14:paraId="6E8597A4" w14:textId="1C681D90" w:rsidR="00125CCE" w:rsidRPr="00125CCE" w:rsidRDefault="00125CCE" w:rsidP="00987C3D">
      <w:pPr>
        <w:pStyle w:val="ListParagraph"/>
        <w:numPr>
          <w:ilvl w:val="0"/>
          <w:numId w:val="26"/>
        </w:numPr>
        <w:shd w:val="clear" w:color="auto" w:fill="DBE5F1" w:themeFill="accent1" w:themeFillTint="33"/>
        <w:ind w:left="851" w:hanging="425"/>
        <w:rPr>
          <w:rFonts w:ascii="Arial" w:hAnsi="Arial" w:cs="Arial"/>
        </w:rPr>
      </w:pPr>
      <w:proofErr w:type="gramStart"/>
      <w:r w:rsidRPr="00125CCE">
        <w:rPr>
          <w:rFonts w:ascii="Arial" w:hAnsi="Arial" w:cs="Arial"/>
        </w:rPr>
        <w:t>response</w:t>
      </w:r>
      <w:proofErr w:type="gramEnd"/>
      <w:r w:rsidRPr="00125CCE">
        <w:rPr>
          <w:rFonts w:ascii="Arial" w:hAnsi="Arial" w:cs="Arial"/>
        </w:rPr>
        <w:t xml:space="preserve"> to instances of non-compliance.</w:t>
      </w:r>
    </w:p>
    <w:p w14:paraId="0BE32F8E" w14:textId="1DFCF520" w:rsidR="00125CCE" w:rsidRDefault="00125CCE" w:rsidP="005825E1">
      <w:pPr>
        <w:rPr>
          <w:rFonts w:ascii="Arial" w:hAnsi="Arial" w:cs="Arial"/>
        </w:rPr>
      </w:pPr>
      <w:r>
        <w:rPr>
          <w:rFonts w:ascii="Arial" w:hAnsi="Arial" w:cs="Arial"/>
        </w:rPr>
        <w:t xml:space="preserve">GBRMPA agreed without qualification to all five recommendations from </w:t>
      </w:r>
      <w:r w:rsidR="00625C93">
        <w:rPr>
          <w:rFonts w:ascii="Arial" w:hAnsi="Arial" w:cs="Arial"/>
        </w:rPr>
        <w:t xml:space="preserve">the </w:t>
      </w:r>
      <w:r>
        <w:rPr>
          <w:rFonts w:ascii="Arial" w:hAnsi="Arial" w:cs="Arial"/>
        </w:rPr>
        <w:t xml:space="preserve">ANAO. GBRMPA had already identified the need to strengthen </w:t>
      </w:r>
      <w:r w:rsidR="00625C93">
        <w:rPr>
          <w:rFonts w:ascii="Arial" w:hAnsi="Arial" w:cs="Arial"/>
        </w:rPr>
        <w:t>its</w:t>
      </w:r>
      <w:r>
        <w:rPr>
          <w:rFonts w:ascii="Arial" w:hAnsi="Arial" w:cs="Arial"/>
        </w:rPr>
        <w:t xml:space="preserve"> permission system through the commitment</w:t>
      </w:r>
      <w:r w:rsidR="005F21EF">
        <w:rPr>
          <w:rFonts w:ascii="Arial" w:hAnsi="Arial" w:cs="Arial"/>
        </w:rPr>
        <w:t>s</w:t>
      </w:r>
      <w:r>
        <w:rPr>
          <w:rFonts w:ascii="Arial" w:hAnsi="Arial" w:cs="Arial"/>
        </w:rPr>
        <w:t xml:space="preserve"> in the </w:t>
      </w:r>
      <w:hyperlink r:id="rId25" w:history="1">
        <w:r w:rsidRPr="005F21EF">
          <w:rPr>
            <w:rStyle w:val="Hyperlink"/>
            <w:rFonts w:ascii="Arial" w:hAnsi="Arial" w:cs="Arial"/>
            <w:i/>
          </w:rPr>
          <w:t>Great Barrier Reef Region Strategic Assessment Program Report</w:t>
        </w:r>
      </w:hyperlink>
      <w:r>
        <w:rPr>
          <w:rFonts w:ascii="Arial" w:hAnsi="Arial" w:cs="Arial"/>
        </w:rPr>
        <w:t xml:space="preserve"> and commenced strengthening activities in 2014-15. The ANAO recommendations have been incorporated into this work as part of GBRMPA’s Corporate Plan. </w:t>
      </w:r>
    </w:p>
    <w:p w14:paraId="171D6B8B" w14:textId="04DE680D" w:rsidR="005F6D70" w:rsidRDefault="005F6D70" w:rsidP="005825E1">
      <w:pPr>
        <w:rPr>
          <w:rFonts w:ascii="Arial" w:hAnsi="Arial" w:cs="Arial"/>
        </w:rPr>
      </w:pPr>
      <w:r>
        <w:rPr>
          <w:rFonts w:ascii="Arial" w:hAnsi="Arial" w:cs="Arial"/>
        </w:rPr>
        <w:t xml:space="preserve">Over the four years to 2020 GBRMPA is undertaking staged implementation of </w:t>
      </w:r>
      <w:r w:rsidR="00125CCE">
        <w:rPr>
          <w:rFonts w:ascii="Arial" w:hAnsi="Arial" w:cs="Arial"/>
        </w:rPr>
        <w:t xml:space="preserve">the </w:t>
      </w:r>
      <w:r>
        <w:rPr>
          <w:rFonts w:ascii="Arial" w:hAnsi="Arial" w:cs="Arial"/>
        </w:rPr>
        <w:t>initiatives designed to strengthen and enhance the permissions system</w:t>
      </w:r>
      <w:r w:rsidR="00125CCE">
        <w:rPr>
          <w:rFonts w:ascii="Arial" w:hAnsi="Arial" w:cs="Arial"/>
        </w:rPr>
        <w:t>,</w:t>
      </w:r>
      <w:r>
        <w:rPr>
          <w:rFonts w:ascii="Arial" w:hAnsi="Arial" w:cs="Arial"/>
        </w:rPr>
        <w:t xml:space="preserve"> while maintaining high environmental standards. As part of this work the following actions </w:t>
      </w:r>
      <w:r w:rsidR="00125CCE">
        <w:rPr>
          <w:rFonts w:ascii="Arial" w:hAnsi="Arial" w:cs="Arial"/>
        </w:rPr>
        <w:t>are underway</w:t>
      </w:r>
      <w:r>
        <w:rPr>
          <w:rFonts w:ascii="Arial" w:hAnsi="Arial" w:cs="Arial"/>
        </w:rPr>
        <w:t>:</w:t>
      </w:r>
    </w:p>
    <w:p w14:paraId="6B9374AD" w14:textId="2230C945" w:rsidR="005F6D70" w:rsidRPr="005F6D70" w:rsidRDefault="005F6D70" w:rsidP="005F6D70">
      <w:pPr>
        <w:pStyle w:val="ListParagraph"/>
        <w:numPr>
          <w:ilvl w:val="0"/>
          <w:numId w:val="25"/>
        </w:numPr>
        <w:rPr>
          <w:rFonts w:ascii="Arial" w:hAnsi="Arial" w:cs="Arial"/>
        </w:rPr>
      </w:pPr>
      <w:r w:rsidRPr="005F6D70">
        <w:rPr>
          <w:rFonts w:ascii="Arial" w:hAnsi="Arial" w:cs="Arial"/>
        </w:rPr>
        <w:t>Assessment and decisions enhancement project – commenced in 2014-15 and has been designed to enhance the effectiveness of the permission system to achieve objectives and outcomes for the protection and management of the Marine Park, as well as harmonise requirements with relevant Commonwealth and State legislation and reduce regulatory burden.</w:t>
      </w:r>
    </w:p>
    <w:p w14:paraId="131DCB05" w14:textId="26ADA647" w:rsidR="005F6D70" w:rsidRPr="005F6D70" w:rsidRDefault="005F6D70" w:rsidP="005F6D70">
      <w:pPr>
        <w:pStyle w:val="ListParagraph"/>
        <w:numPr>
          <w:ilvl w:val="0"/>
          <w:numId w:val="25"/>
        </w:numPr>
        <w:rPr>
          <w:rFonts w:ascii="Arial" w:hAnsi="Arial" w:cs="Arial"/>
        </w:rPr>
      </w:pPr>
      <w:r w:rsidRPr="005F6D70">
        <w:rPr>
          <w:rFonts w:ascii="Arial" w:hAnsi="Arial" w:cs="Arial"/>
        </w:rPr>
        <w:t xml:space="preserve">Strengthening permissions compliance action plan 2015-2020 – was developed in 2014-15 and </w:t>
      </w:r>
      <w:r w:rsidR="00897BB1">
        <w:rPr>
          <w:rFonts w:ascii="Arial" w:hAnsi="Arial" w:cs="Arial"/>
        </w:rPr>
        <w:t>is</w:t>
      </w:r>
      <w:r w:rsidR="00897BB1" w:rsidRPr="005F6D70">
        <w:rPr>
          <w:rFonts w:ascii="Arial" w:hAnsi="Arial" w:cs="Arial"/>
        </w:rPr>
        <w:t xml:space="preserve"> </w:t>
      </w:r>
      <w:r w:rsidRPr="005F6D70">
        <w:rPr>
          <w:rFonts w:ascii="Arial" w:hAnsi="Arial" w:cs="Arial"/>
        </w:rPr>
        <w:t>facilitat</w:t>
      </w:r>
      <w:r w:rsidR="00897BB1">
        <w:rPr>
          <w:rFonts w:ascii="Arial" w:hAnsi="Arial" w:cs="Arial"/>
        </w:rPr>
        <w:t>ing</w:t>
      </w:r>
      <w:r w:rsidRPr="005F6D70">
        <w:rPr>
          <w:rFonts w:ascii="Arial" w:hAnsi="Arial" w:cs="Arial"/>
        </w:rPr>
        <w:t xml:space="preserve"> the sustainable deliver</w:t>
      </w:r>
      <w:r w:rsidR="00897BB1">
        <w:rPr>
          <w:rFonts w:ascii="Arial" w:hAnsi="Arial" w:cs="Arial"/>
        </w:rPr>
        <w:t>y</w:t>
      </w:r>
      <w:r w:rsidRPr="005F6D70">
        <w:rPr>
          <w:rFonts w:ascii="Arial" w:hAnsi="Arial" w:cs="Arial"/>
        </w:rPr>
        <w:t xml:space="preserve"> of an enhanced permission compliance program, which demonstrates regulatory integrity and consistency with Australian Government requirements.</w:t>
      </w:r>
    </w:p>
    <w:p w14:paraId="1CF6297C" w14:textId="6713258D" w:rsidR="005F6D70" w:rsidRPr="00F12EF4" w:rsidRDefault="005F6D70" w:rsidP="00F12EF4">
      <w:pPr>
        <w:pStyle w:val="ListParagraph"/>
        <w:numPr>
          <w:ilvl w:val="0"/>
          <w:numId w:val="25"/>
        </w:numPr>
        <w:rPr>
          <w:rFonts w:ascii="Arial" w:hAnsi="Arial" w:cs="Arial"/>
        </w:rPr>
      </w:pPr>
      <w:r w:rsidRPr="00F12EF4">
        <w:rPr>
          <w:rFonts w:ascii="Arial" w:hAnsi="Arial" w:cs="Arial"/>
        </w:rPr>
        <w:t>Annual permissions compliance plan – outlines the activities, services and resources to be provided to the compliance management of permissions for the year. Actions have been designed to mitigate compliance risks, and cover education approaches, assisted self-regulation initiatives, and stronger mechanisms designed to coerce and enforce compliance.</w:t>
      </w:r>
    </w:p>
    <w:p w14:paraId="59A21D8D" w14:textId="63B959B9" w:rsidR="00F12EF4" w:rsidRDefault="00F12EF4" w:rsidP="00F12EF4">
      <w:pPr>
        <w:pStyle w:val="Heading2"/>
        <w:numPr>
          <w:ilvl w:val="1"/>
          <w:numId w:val="10"/>
        </w:numPr>
        <w:pBdr>
          <w:top w:val="single" w:sz="4" w:space="1" w:color="4F81BD" w:themeColor="accent1"/>
          <w:left w:val="single" w:sz="4" w:space="4" w:color="4F81BD" w:themeColor="accent1"/>
        </w:pBdr>
        <w:spacing w:before="240" w:after="120"/>
        <w:ind w:left="567" w:hanging="573"/>
        <w:rPr>
          <w:rFonts w:ascii="Arial" w:hAnsi="Arial" w:cs="Arial"/>
          <w:b w:val="0"/>
          <w:color w:val="1F497D" w:themeColor="text2"/>
          <w:sz w:val="22"/>
        </w:rPr>
      </w:pPr>
      <w:bookmarkStart w:id="14" w:name="_Toc474753103"/>
      <w:r>
        <w:rPr>
          <w:rFonts w:ascii="Arial" w:hAnsi="Arial" w:cs="Arial"/>
          <w:b w:val="0"/>
          <w:color w:val="1F497D" w:themeColor="text2"/>
          <w:sz w:val="22"/>
        </w:rPr>
        <w:lastRenderedPageBreak/>
        <w:t>J</w:t>
      </w:r>
      <w:r w:rsidR="008053CD">
        <w:rPr>
          <w:rFonts w:ascii="Arial" w:hAnsi="Arial" w:cs="Arial"/>
          <w:b w:val="0"/>
          <w:color w:val="1F497D" w:themeColor="text2"/>
          <w:sz w:val="22"/>
        </w:rPr>
        <w:t xml:space="preserve">oint </w:t>
      </w:r>
      <w:r>
        <w:rPr>
          <w:rFonts w:ascii="Arial" w:hAnsi="Arial" w:cs="Arial"/>
          <w:b w:val="0"/>
          <w:color w:val="1F497D" w:themeColor="text2"/>
          <w:sz w:val="22"/>
        </w:rPr>
        <w:t>C</w:t>
      </w:r>
      <w:r w:rsidR="008053CD">
        <w:rPr>
          <w:rFonts w:ascii="Arial" w:hAnsi="Arial" w:cs="Arial"/>
          <w:b w:val="0"/>
          <w:color w:val="1F497D" w:themeColor="text2"/>
          <w:sz w:val="22"/>
        </w:rPr>
        <w:t xml:space="preserve">ommittee of </w:t>
      </w:r>
      <w:r>
        <w:rPr>
          <w:rFonts w:ascii="Arial" w:hAnsi="Arial" w:cs="Arial"/>
          <w:b w:val="0"/>
          <w:color w:val="1F497D" w:themeColor="text2"/>
          <w:sz w:val="22"/>
        </w:rPr>
        <w:t>P</w:t>
      </w:r>
      <w:r w:rsidR="008053CD">
        <w:rPr>
          <w:rFonts w:ascii="Arial" w:hAnsi="Arial" w:cs="Arial"/>
          <w:b w:val="0"/>
          <w:color w:val="1F497D" w:themeColor="text2"/>
          <w:sz w:val="22"/>
        </w:rPr>
        <w:t xml:space="preserve">ublic </w:t>
      </w:r>
      <w:r>
        <w:rPr>
          <w:rFonts w:ascii="Arial" w:hAnsi="Arial" w:cs="Arial"/>
          <w:b w:val="0"/>
          <w:color w:val="1F497D" w:themeColor="text2"/>
          <w:sz w:val="22"/>
        </w:rPr>
        <w:t>A</w:t>
      </w:r>
      <w:r w:rsidR="008053CD">
        <w:rPr>
          <w:rFonts w:ascii="Arial" w:hAnsi="Arial" w:cs="Arial"/>
          <w:b w:val="0"/>
          <w:color w:val="1F497D" w:themeColor="text2"/>
          <w:sz w:val="22"/>
        </w:rPr>
        <w:t xml:space="preserve">ccounts and </w:t>
      </w:r>
      <w:r>
        <w:rPr>
          <w:rFonts w:ascii="Arial" w:hAnsi="Arial" w:cs="Arial"/>
          <w:b w:val="0"/>
          <w:color w:val="1F497D" w:themeColor="text2"/>
          <w:sz w:val="22"/>
        </w:rPr>
        <w:t>A</w:t>
      </w:r>
      <w:r w:rsidR="008053CD">
        <w:rPr>
          <w:rFonts w:ascii="Arial" w:hAnsi="Arial" w:cs="Arial"/>
          <w:b w:val="0"/>
          <w:color w:val="1F497D" w:themeColor="text2"/>
          <w:sz w:val="22"/>
        </w:rPr>
        <w:t>udit</w:t>
      </w:r>
      <w:r>
        <w:rPr>
          <w:rFonts w:ascii="Arial" w:hAnsi="Arial" w:cs="Arial"/>
          <w:b w:val="0"/>
          <w:color w:val="1F497D" w:themeColor="text2"/>
          <w:sz w:val="22"/>
        </w:rPr>
        <w:t xml:space="preserve"> Report 456 – Great Barrier Reef Regulation</w:t>
      </w:r>
      <w:bookmarkEnd w:id="14"/>
    </w:p>
    <w:p w14:paraId="0806D405" w14:textId="010B719F" w:rsidR="00F12EF4" w:rsidRPr="00C54ADB" w:rsidRDefault="00897BB1" w:rsidP="00F12EF4">
      <w:pPr>
        <w:rPr>
          <w:rFonts w:ascii="Arial" w:hAnsi="Arial" w:cs="Arial"/>
        </w:rPr>
      </w:pPr>
      <w:r w:rsidRPr="00897BB1">
        <w:rPr>
          <w:rFonts w:ascii="Arial" w:hAnsi="Arial" w:cs="Arial"/>
        </w:rPr>
        <w:t xml:space="preserve">The </w:t>
      </w:r>
      <w:hyperlink r:id="rId26" w:history="1">
        <w:r w:rsidRPr="008053CD">
          <w:rPr>
            <w:rStyle w:val="Hyperlink"/>
            <w:rFonts w:ascii="Arial" w:hAnsi="Arial" w:cs="Arial"/>
          </w:rPr>
          <w:t>Joint Committee of Public Accounts and Audit chose to inquire into the ANAO’s Report No. 3 2015-16 – Regulation of Great Barrier Reef Marine Park Permits and Approvals</w:t>
        </w:r>
      </w:hyperlink>
      <w:r>
        <w:rPr>
          <w:rFonts w:ascii="Arial" w:hAnsi="Arial" w:cs="Arial"/>
          <w:color w:val="1F497D" w:themeColor="text2"/>
        </w:rPr>
        <w:t xml:space="preserve">. </w:t>
      </w:r>
      <w:r w:rsidRPr="00C54ADB">
        <w:rPr>
          <w:rFonts w:ascii="Arial" w:hAnsi="Arial" w:cs="Arial"/>
        </w:rPr>
        <w:t xml:space="preserve">They were strongly concerned that shortcomings in regulating the permit system for the Great Barrier Reef Marine Park may be undermining the system as a means of managing risks to the Park. The Committee’s key recommendations were that the Authority </w:t>
      </w:r>
      <w:proofErr w:type="gramStart"/>
      <w:r w:rsidRPr="00C54ADB">
        <w:rPr>
          <w:rFonts w:ascii="Arial" w:hAnsi="Arial" w:cs="Arial"/>
        </w:rPr>
        <w:t>accelerate</w:t>
      </w:r>
      <w:proofErr w:type="gramEnd"/>
      <w:r w:rsidRPr="00C54ADB">
        <w:rPr>
          <w:rFonts w:ascii="Arial" w:hAnsi="Arial" w:cs="Arial"/>
        </w:rPr>
        <w:t xml:space="preserve"> its projected timeframe for implementation of the ANAO audit recommendations and report back on progress to the Committee. GBRMPA will provide its report back to the Committee by 1 March 2017.</w:t>
      </w:r>
    </w:p>
    <w:p w14:paraId="63BED354" w14:textId="3820F710" w:rsidR="005825E1" w:rsidRPr="002D5D1F" w:rsidRDefault="00C6082F" w:rsidP="005825E1">
      <w:pPr>
        <w:pStyle w:val="Heading2"/>
        <w:numPr>
          <w:ilvl w:val="0"/>
          <w:numId w:val="10"/>
        </w:numPr>
        <w:shd w:val="clear" w:color="auto" w:fill="4F81BD" w:themeFill="accent1"/>
        <w:spacing w:before="240" w:after="120"/>
        <w:rPr>
          <w:rFonts w:ascii="Arial" w:hAnsi="Arial" w:cs="Arial"/>
          <w:b w:val="0"/>
          <w:color w:val="FFFFFF" w:themeColor="background1"/>
        </w:rPr>
      </w:pPr>
      <w:bookmarkStart w:id="15" w:name="_Toc474753104"/>
      <w:r>
        <w:rPr>
          <w:rFonts w:ascii="Arial" w:hAnsi="Arial" w:cs="Arial"/>
          <w:b w:val="0"/>
          <w:color w:val="FFFFFF" w:themeColor="background1"/>
        </w:rPr>
        <w:t>METHODOLOGY</w:t>
      </w:r>
      <w:bookmarkEnd w:id="15"/>
    </w:p>
    <w:p w14:paraId="2ABE2837" w14:textId="60A23F19" w:rsidR="005825E1" w:rsidRDefault="005825E1" w:rsidP="005825E1">
      <w:pPr>
        <w:rPr>
          <w:rFonts w:ascii="Arial" w:hAnsi="Arial" w:cs="Arial"/>
        </w:rPr>
      </w:pPr>
      <w:r w:rsidRPr="0053529E">
        <w:rPr>
          <w:rFonts w:ascii="Arial" w:hAnsi="Arial" w:cs="Arial"/>
        </w:rPr>
        <w:t xml:space="preserve">For </w:t>
      </w:r>
      <w:r w:rsidR="004F43D9">
        <w:rPr>
          <w:rFonts w:ascii="Arial" w:hAnsi="Arial" w:cs="Arial"/>
        </w:rPr>
        <w:t>GBRMPA</w:t>
      </w:r>
      <w:r w:rsidRPr="0053529E">
        <w:rPr>
          <w:rFonts w:ascii="Arial" w:hAnsi="Arial" w:cs="Arial"/>
        </w:rPr>
        <w:t xml:space="preserve">, the </w:t>
      </w:r>
      <w:r w:rsidR="004F43D9">
        <w:rPr>
          <w:rFonts w:ascii="Arial" w:hAnsi="Arial" w:cs="Arial"/>
        </w:rPr>
        <w:t xml:space="preserve">Regulatory Performance </w:t>
      </w:r>
      <w:r w:rsidRPr="0053529E">
        <w:rPr>
          <w:rFonts w:ascii="Arial" w:hAnsi="Arial" w:cs="Arial"/>
        </w:rPr>
        <w:t>Framework cover</w:t>
      </w:r>
      <w:r w:rsidR="00640C2E">
        <w:rPr>
          <w:rFonts w:ascii="Arial" w:hAnsi="Arial" w:cs="Arial"/>
        </w:rPr>
        <w:t>s</w:t>
      </w:r>
      <w:r w:rsidRPr="0053529E">
        <w:rPr>
          <w:rFonts w:ascii="Arial" w:hAnsi="Arial" w:cs="Arial"/>
        </w:rPr>
        <w:t xml:space="preserve"> </w:t>
      </w:r>
      <w:r w:rsidR="004F43D9">
        <w:rPr>
          <w:rFonts w:ascii="Arial" w:hAnsi="Arial" w:cs="Arial"/>
        </w:rPr>
        <w:t>its permission s</w:t>
      </w:r>
      <w:r w:rsidRPr="0053529E">
        <w:rPr>
          <w:rFonts w:ascii="Arial" w:hAnsi="Arial" w:cs="Arial"/>
        </w:rPr>
        <w:t>ystem</w:t>
      </w:r>
      <w:r w:rsidR="00670FF7">
        <w:rPr>
          <w:rFonts w:ascii="Arial" w:hAnsi="Arial" w:cs="Arial"/>
        </w:rPr>
        <w:t>, traditional use of marine resources, plans of management</w:t>
      </w:r>
      <w:r w:rsidRPr="0053529E">
        <w:rPr>
          <w:rFonts w:ascii="Arial" w:hAnsi="Arial" w:cs="Arial"/>
        </w:rPr>
        <w:t xml:space="preserve"> and compliance activities under the </w:t>
      </w:r>
      <w:r w:rsidR="004F43D9" w:rsidRPr="004F43D9">
        <w:rPr>
          <w:rFonts w:ascii="Arial" w:hAnsi="Arial" w:cs="Arial"/>
        </w:rPr>
        <w:t>GBRMP Act</w:t>
      </w:r>
      <w:r w:rsidRPr="004F43D9">
        <w:rPr>
          <w:rFonts w:ascii="Arial" w:hAnsi="Arial" w:cs="Arial"/>
        </w:rPr>
        <w:t>;</w:t>
      </w:r>
      <w:r w:rsidRPr="0053529E">
        <w:rPr>
          <w:rFonts w:ascii="Arial" w:hAnsi="Arial" w:cs="Arial"/>
        </w:rPr>
        <w:t xml:space="preserve"> and </w:t>
      </w:r>
      <w:r w:rsidR="004F43D9">
        <w:rPr>
          <w:rFonts w:ascii="Arial" w:hAnsi="Arial" w:cs="Arial"/>
        </w:rPr>
        <w:t>its</w:t>
      </w:r>
      <w:r w:rsidRPr="0053529E">
        <w:rPr>
          <w:rFonts w:ascii="Arial" w:hAnsi="Arial" w:cs="Arial"/>
        </w:rPr>
        <w:t xml:space="preserve"> </w:t>
      </w:r>
      <w:r w:rsidR="004F43D9">
        <w:rPr>
          <w:rFonts w:ascii="Arial" w:hAnsi="Arial" w:cs="Arial"/>
        </w:rPr>
        <w:t>administration,</w:t>
      </w:r>
      <w:r w:rsidRPr="0053529E">
        <w:rPr>
          <w:rFonts w:ascii="Arial" w:hAnsi="Arial" w:cs="Arial"/>
        </w:rPr>
        <w:t xml:space="preserve"> as </w:t>
      </w:r>
      <w:r w:rsidR="00670FF7">
        <w:rPr>
          <w:rFonts w:ascii="Arial" w:hAnsi="Arial" w:cs="Arial"/>
        </w:rPr>
        <w:t>delegate</w:t>
      </w:r>
      <w:r w:rsidR="004F43D9">
        <w:rPr>
          <w:rFonts w:ascii="Arial" w:hAnsi="Arial" w:cs="Arial"/>
        </w:rPr>
        <w:t>,</w:t>
      </w:r>
      <w:r w:rsidRPr="0053529E">
        <w:rPr>
          <w:rFonts w:ascii="Arial" w:hAnsi="Arial" w:cs="Arial"/>
        </w:rPr>
        <w:t xml:space="preserve"> </w:t>
      </w:r>
      <w:r w:rsidR="004F43D9">
        <w:rPr>
          <w:rFonts w:ascii="Arial" w:hAnsi="Arial" w:cs="Arial"/>
        </w:rPr>
        <w:t>under</w:t>
      </w:r>
      <w:r w:rsidRPr="0053529E">
        <w:rPr>
          <w:rFonts w:ascii="Arial" w:hAnsi="Arial" w:cs="Arial"/>
        </w:rPr>
        <w:t xml:space="preserve"> the </w:t>
      </w:r>
      <w:r w:rsidR="004F43D9" w:rsidRPr="004F43D9">
        <w:rPr>
          <w:rFonts w:ascii="Arial" w:hAnsi="Arial" w:cs="Arial"/>
        </w:rPr>
        <w:t>Sea Dumping Act</w:t>
      </w:r>
      <w:r w:rsidR="00670FF7">
        <w:rPr>
          <w:rFonts w:ascii="Arial" w:hAnsi="Arial" w:cs="Arial"/>
        </w:rPr>
        <w:t xml:space="preserve"> (ref</w:t>
      </w:r>
      <w:r w:rsidR="008053CD">
        <w:rPr>
          <w:rFonts w:ascii="Arial" w:hAnsi="Arial" w:cs="Arial"/>
        </w:rPr>
        <w:t>er section</w:t>
      </w:r>
      <w:r w:rsidR="00670FF7">
        <w:rPr>
          <w:rFonts w:ascii="Arial" w:hAnsi="Arial" w:cs="Arial"/>
        </w:rPr>
        <w:t xml:space="preserve"> </w:t>
      </w:r>
      <w:hyperlink w:anchor="_Environment_Protection_(Sea" w:history="1">
        <w:r w:rsidR="008053CD" w:rsidRPr="008053CD">
          <w:rPr>
            <w:rStyle w:val="Hyperlink"/>
            <w:rFonts w:ascii="Arial" w:hAnsi="Arial" w:cs="Arial"/>
          </w:rPr>
          <w:t>2.3</w:t>
        </w:r>
      </w:hyperlink>
      <w:r w:rsidR="00670FF7">
        <w:rPr>
          <w:rFonts w:ascii="Arial" w:hAnsi="Arial" w:cs="Arial"/>
        </w:rPr>
        <w:t>)</w:t>
      </w:r>
      <w:r w:rsidRPr="004F43D9">
        <w:rPr>
          <w:rFonts w:ascii="Arial" w:hAnsi="Arial" w:cs="Arial"/>
        </w:rPr>
        <w:t>.</w:t>
      </w:r>
    </w:p>
    <w:p w14:paraId="4C9775E9" w14:textId="409F9A0E" w:rsidR="001902F3" w:rsidRDefault="001902F3" w:rsidP="005825E1">
      <w:pPr>
        <w:rPr>
          <w:rFonts w:ascii="Arial" w:hAnsi="Arial" w:cs="Arial"/>
        </w:rPr>
      </w:pPr>
      <w:r>
        <w:rPr>
          <w:rFonts w:ascii="Arial" w:hAnsi="Arial" w:cs="Arial"/>
        </w:rPr>
        <w:t>In 2015 t</w:t>
      </w:r>
      <w:r w:rsidR="00F95C27">
        <w:rPr>
          <w:rFonts w:ascii="Arial" w:hAnsi="Arial" w:cs="Arial"/>
        </w:rPr>
        <w:t xml:space="preserve">he metrics and data sources </w:t>
      </w:r>
      <w:r>
        <w:rPr>
          <w:rFonts w:ascii="Arial" w:hAnsi="Arial" w:cs="Arial"/>
        </w:rPr>
        <w:t xml:space="preserve">against which the six KPIs would be assessed </w:t>
      </w:r>
      <w:r w:rsidR="004F43D9">
        <w:rPr>
          <w:rFonts w:ascii="Arial" w:hAnsi="Arial" w:cs="Arial"/>
        </w:rPr>
        <w:t>were determined by GBRMPA. Key</w:t>
      </w:r>
      <w:r w:rsidR="00F95C27">
        <w:rPr>
          <w:rFonts w:ascii="Arial" w:hAnsi="Arial" w:cs="Arial"/>
        </w:rPr>
        <w:t xml:space="preserve"> stakeholders were consulted </w:t>
      </w:r>
      <w:r w:rsidR="008053CD">
        <w:rPr>
          <w:rFonts w:ascii="Arial" w:hAnsi="Arial" w:cs="Arial"/>
        </w:rPr>
        <w:t>on the metrics and data sources to inform assessment against the KPIs. There was</w:t>
      </w:r>
      <w:r w:rsidR="00F95C27">
        <w:rPr>
          <w:rFonts w:ascii="Arial" w:hAnsi="Arial" w:cs="Arial"/>
        </w:rPr>
        <w:t xml:space="preserve"> a </w:t>
      </w:r>
      <w:r w:rsidR="009335F1">
        <w:rPr>
          <w:rFonts w:ascii="Arial" w:hAnsi="Arial" w:cs="Arial"/>
        </w:rPr>
        <w:t xml:space="preserve">20 </w:t>
      </w:r>
      <w:r w:rsidR="00F95C27">
        <w:rPr>
          <w:rFonts w:ascii="Arial" w:hAnsi="Arial" w:cs="Arial"/>
        </w:rPr>
        <w:t>per cent response rate</w:t>
      </w:r>
      <w:r w:rsidR="003D130A">
        <w:rPr>
          <w:rFonts w:ascii="Arial" w:hAnsi="Arial" w:cs="Arial"/>
        </w:rPr>
        <w:t xml:space="preserve"> </w:t>
      </w:r>
      <w:r w:rsidR="00F95C27">
        <w:rPr>
          <w:rFonts w:ascii="Arial" w:hAnsi="Arial" w:cs="Arial"/>
        </w:rPr>
        <w:t>from stakeholders</w:t>
      </w:r>
      <w:r w:rsidR="008053CD">
        <w:rPr>
          <w:rFonts w:ascii="Arial" w:hAnsi="Arial" w:cs="Arial"/>
        </w:rPr>
        <w:t>. The stakeholder feedback</w:t>
      </w:r>
      <w:r w:rsidR="00F95C27">
        <w:rPr>
          <w:rFonts w:ascii="Arial" w:hAnsi="Arial" w:cs="Arial"/>
        </w:rPr>
        <w:t xml:space="preserve"> was </w:t>
      </w:r>
      <w:r w:rsidR="008053CD">
        <w:rPr>
          <w:rFonts w:ascii="Arial" w:hAnsi="Arial" w:cs="Arial"/>
        </w:rPr>
        <w:t xml:space="preserve">more general in nature, ie. </w:t>
      </w:r>
      <w:proofErr w:type="gramStart"/>
      <w:r w:rsidR="00F95C27">
        <w:rPr>
          <w:rFonts w:ascii="Arial" w:hAnsi="Arial" w:cs="Arial"/>
        </w:rPr>
        <w:t>not</w:t>
      </w:r>
      <w:proofErr w:type="gramEnd"/>
      <w:r w:rsidR="00F95C27">
        <w:rPr>
          <w:rFonts w:ascii="Arial" w:hAnsi="Arial" w:cs="Arial"/>
        </w:rPr>
        <w:t xml:space="preserve"> </w:t>
      </w:r>
      <w:r w:rsidR="008053CD">
        <w:rPr>
          <w:rFonts w:ascii="Arial" w:hAnsi="Arial" w:cs="Arial"/>
        </w:rPr>
        <w:t xml:space="preserve">specifically about </w:t>
      </w:r>
      <w:r w:rsidR="00F95C27">
        <w:rPr>
          <w:rFonts w:ascii="Arial" w:hAnsi="Arial" w:cs="Arial"/>
        </w:rPr>
        <w:t xml:space="preserve"> the metrics or data sources. </w:t>
      </w:r>
    </w:p>
    <w:p w14:paraId="0E3B5E56" w14:textId="69934FBF" w:rsidR="00F95C27" w:rsidRDefault="00F95C27" w:rsidP="001902F3">
      <w:pPr>
        <w:rPr>
          <w:rFonts w:ascii="Arial" w:hAnsi="Arial" w:cs="Arial"/>
        </w:rPr>
      </w:pPr>
      <w:r>
        <w:rPr>
          <w:rFonts w:ascii="Arial" w:hAnsi="Arial" w:cs="Arial"/>
        </w:rPr>
        <w:t>Our stakeholders supported:</w:t>
      </w:r>
    </w:p>
    <w:p w14:paraId="4326BD2D" w14:textId="1D12427E" w:rsidR="00F95C27" w:rsidRPr="00F95C27" w:rsidRDefault="00DC6C08" w:rsidP="00194232">
      <w:pPr>
        <w:pStyle w:val="ListParagraph"/>
        <w:numPr>
          <w:ilvl w:val="0"/>
          <w:numId w:val="12"/>
        </w:numPr>
        <w:shd w:val="clear" w:color="auto" w:fill="DBE5F1" w:themeFill="accent1" w:themeFillTint="33"/>
        <w:rPr>
          <w:rFonts w:ascii="Arial" w:hAnsi="Arial" w:cs="Arial"/>
        </w:rPr>
      </w:pPr>
      <w:r>
        <w:rPr>
          <w:rFonts w:ascii="Arial" w:hAnsi="Arial" w:cs="Arial"/>
        </w:rPr>
        <w:t>t</w:t>
      </w:r>
      <w:r w:rsidR="00F95C27" w:rsidRPr="00F95C27">
        <w:rPr>
          <w:rFonts w:ascii="Arial" w:hAnsi="Arial" w:cs="Arial"/>
        </w:rPr>
        <w:t>he strong link between the health of the Great Barrier Reef and the health of the industries that rely on the Reef for their livelihood;</w:t>
      </w:r>
    </w:p>
    <w:p w14:paraId="2E9B374E" w14:textId="378FBC8D" w:rsidR="00F95C27" w:rsidRPr="00F95C27" w:rsidRDefault="00DC6C08" w:rsidP="00194232">
      <w:pPr>
        <w:pStyle w:val="ListParagraph"/>
        <w:numPr>
          <w:ilvl w:val="0"/>
          <w:numId w:val="12"/>
        </w:numPr>
        <w:shd w:val="clear" w:color="auto" w:fill="DBE5F1" w:themeFill="accent1" w:themeFillTint="33"/>
        <w:rPr>
          <w:rFonts w:ascii="Arial" w:hAnsi="Arial" w:cs="Arial"/>
        </w:rPr>
      </w:pPr>
      <w:r>
        <w:rPr>
          <w:rFonts w:ascii="Arial" w:hAnsi="Arial" w:cs="Arial"/>
        </w:rPr>
        <w:t>a</w:t>
      </w:r>
      <w:r w:rsidR="00F95C27" w:rsidRPr="00F95C27">
        <w:rPr>
          <w:rFonts w:ascii="Arial" w:hAnsi="Arial" w:cs="Arial"/>
        </w:rPr>
        <w:t xml:space="preserve">ctions taken by GBRMPA </w:t>
      </w:r>
      <w:r w:rsidR="00C66337">
        <w:rPr>
          <w:rFonts w:ascii="Arial" w:hAnsi="Arial" w:cs="Arial"/>
        </w:rPr>
        <w:t>being</w:t>
      </w:r>
      <w:r w:rsidR="00F95C27" w:rsidRPr="00F95C27">
        <w:rPr>
          <w:rFonts w:ascii="Arial" w:hAnsi="Arial" w:cs="Arial"/>
        </w:rPr>
        <w:t xml:space="preserve"> proportionate to the risk;</w:t>
      </w:r>
    </w:p>
    <w:p w14:paraId="2978A94C" w14:textId="66D6F0BC" w:rsidR="00F95C27" w:rsidRPr="00F95C27" w:rsidRDefault="00DC6C08" w:rsidP="00194232">
      <w:pPr>
        <w:pStyle w:val="ListParagraph"/>
        <w:numPr>
          <w:ilvl w:val="0"/>
          <w:numId w:val="12"/>
        </w:numPr>
        <w:shd w:val="clear" w:color="auto" w:fill="DBE5F1" w:themeFill="accent1" w:themeFillTint="33"/>
        <w:rPr>
          <w:rFonts w:ascii="Arial" w:hAnsi="Arial" w:cs="Arial"/>
        </w:rPr>
      </w:pPr>
      <w:r>
        <w:rPr>
          <w:rFonts w:ascii="Arial" w:hAnsi="Arial" w:cs="Arial"/>
        </w:rPr>
        <w:t>a</w:t>
      </w:r>
      <w:r w:rsidR="00C66337">
        <w:rPr>
          <w:rFonts w:ascii="Arial" w:hAnsi="Arial" w:cs="Arial"/>
        </w:rPr>
        <w:t>ctions by GBRMPA taking</w:t>
      </w:r>
      <w:r w:rsidR="00F95C27" w:rsidRPr="00F95C27">
        <w:rPr>
          <w:rFonts w:ascii="Arial" w:hAnsi="Arial" w:cs="Arial"/>
        </w:rPr>
        <w:t xml:space="preserve"> into account the impact and benefit to the Great Barrier Reef and all stakeholders; and</w:t>
      </w:r>
    </w:p>
    <w:p w14:paraId="46B5905F" w14:textId="5FC60606" w:rsidR="00F95C27" w:rsidRPr="00F95C27" w:rsidRDefault="00DC6C08" w:rsidP="00194232">
      <w:pPr>
        <w:pStyle w:val="ListParagraph"/>
        <w:numPr>
          <w:ilvl w:val="0"/>
          <w:numId w:val="12"/>
        </w:numPr>
        <w:shd w:val="clear" w:color="auto" w:fill="DBE5F1" w:themeFill="accent1" w:themeFillTint="33"/>
        <w:rPr>
          <w:rFonts w:ascii="Arial" w:hAnsi="Arial" w:cs="Arial"/>
        </w:rPr>
      </w:pPr>
      <w:proofErr w:type="gramStart"/>
      <w:r>
        <w:rPr>
          <w:rFonts w:ascii="Arial" w:hAnsi="Arial" w:cs="Arial"/>
        </w:rPr>
        <w:t>e</w:t>
      </w:r>
      <w:r w:rsidR="00F95C27" w:rsidRPr="00F95C27">
        <w:rPr>
          <w:rFonts w:ascii="Arial" w:hAnsi="Arial" w:cs="Arial"/>
        </w:rPr>
        <w:t>nsuring</w:t>
      </w:r>
      <w:proofErr w:type="gramEnd"/>
      <w:r w:rsidR="00F95C27" w:rsidRPr="00F95C27">
        <w:rPr>
          <w:rFonts w:ascii="Arial" w:hAnsi="Arial" w:cs="Arial"/>
        </w:rPr>
        <w:t xml:space="preserve"> the final document (</w:t>
      </w:r>
      <w:r w:rsidR="00F95C27" w:rsidRPr="00DC6C08">
        <w:rPr>
          <w:rFonts w:ascii="Arial" w:hAnsi="Arial" w:cs="Arial"/>
          <w:i/>
        </w:rPr>
        <w:t>self-assessment annual report</w:t>
      </w:r>
      <w:r w:rsidR="00F95C27" w:rsidRPr="00F95C27">
        <w:rPr>
          <w:rFonts w:ascii="Arial" w:hAnsi="Arial" w:cs="Arial"/>
        </w:rPr>
        <w:t>) is easy to read and takes into account the level of understanding of all parties involved.</w:t>
      </w:r>
    </w:p>
    <w:p w14:paraId="33713E8D" w14:textId="6D2AB7CE" w:rsidR="001902F3" w:rsidRDefault="001902F3" w:rsidP="005825E1">
      <w:pPr>
        <w:rPr>
          <w:rFonts w:ascii="Arial" w:hAnsi="Arial" w:cs="Arial"/>
        </w:rPr>
      </w:pPr>
      <w:r>
        <w:rPr>
          <w:rFonts w:ascii="Arial" w:hAnsi="Arial" w:cs="Arial"/>
        </w:rPr>
        <w:t xml:space="preserve">Following Ministerial approval the KPIs and relevant metrics were made available on the GBRMPA website – </w:t>
      </w:r>
      <w:hyperlink r:id="rId27" w:history="1">
        <w:r w:rsidRPr="004839AA">
          <w:rPr>
            <w:rStyle w:val="Hyperlink"/>
            <w:rFonts w:ascii="Arial" w:hAnsi="Arial" w:cs="Arial"/>
          </w:rPr>
          <w:t>http://www.gbrmpa.gov.au/about-us/legislation-regulations-and-policies/regulator-performance-framework</w:t>
        </w:r>
      </w:hyperlink>
      <w:r>
        <w:rPr>
          <w:rFonts w:ascii="Arial" w:hAnsi="Arial" w:cs="Arial"/>
        </w:rPr>
        <w:t>.</w:t>
      </w:r>
    </w:p>
    <w:p w14:paraId="21401791" w14:textId="0464EF75" w:rsidR="00C6082F" w:rsidRDefault="00C6082F" w:rsidP="005825E1">
      <w:pPr>
        <w:rPr>
          <w:rFonts w:ascii="Arial" w:hAnsi="Arial" w:cs="Arial"/>
        </w:rPr>
      </w:pPr>
      <w:r>
        <w:rPr>
          <w:rFonts w:ascii="Arial" w:hAnsi="Arial" w:cs="Arial"/>
        </w:rPr>
        <w:t xml:space="preserve">The </w:t>
      </w:r>
      <w:r w:rsidR="00F95C27">
        <w:rPr>
          <w:rFonts w:ascii="Arial" w:hAnsi="Arial" w:cs="Arial"/>
        </w:rPr>
        <w:t>self-</w:t>
      </w:r>
      <w:r>
        <w:rPr>
          <w:rFonts w:ascii="Arial" w:hAnsi="Arial" w:cs="Arial"/>
        </w:rPr>
        <w:t xml:space="preserve">assessment is based on qualitative </w:t>
      </w:r>
      <w:proofErr w:type="gramStart"/>
      <w:r>
        <w:rPr>
          <w:rFonts w:ascii="Arial" w:hAnsi="Arial" w:cs="Arial"/>
        </w:rPr>
        <w:t>data,</w:t>
      </w:r>
      <w:proofErr w:type="gramEnd"/>
      <w:r>
        <w:rPr>
          <w:rFonts w:ascii="Arial" w:hAnsi="Arial" w:cs="Arial"/>
        </w:rPr>
        <w:t xml:space="preserve"> and quantitative data where this </w:t>
      </w:r>
      <w:r w:rsidR="00F95C27">
        <w:rPr>
          <w:rFonts w:ascii="Arial" w:hAnsi="Arial" w:cs="Arial"/>
        </w:rPr>
        <w:t>was</w:t>
      </w:r>
      <w:r>
        <w:rPr>
          <w:rFonts w:ascii="Arial" w:hAnsi="Arial" w:cs="Arial"/>
        </w:rPr>
        <w:t xml:space="preserve"> available. </w:t>
      </w:r>
      <w:r w:rsidR="00F95C27">
        <w:rPr>
          <w:rFonts w:ascii="Arial" w:hAnsi="Arial" w:cs="Arial"/>
        </w:rPr>
        <w:t xml:space="preserve">The data was provided by GBRMPA sections. </w:t>
      </w:r>
      <w:r>
        <w:rPr>
          <w:rFonts w:ascii="Arial" w:hAnsi="Arial" w:cs="Arial"/>
        </w:rPr>
        <w:t xml:space="preserve">The outcomes of recent reviews, as outlined </w:t>
      </w:r>
      <w:r w:rsidR="00DC6C08">
        <w:rPr>
          <w:rFonts w:ascii="Arial" w:hAnsi="Arial" w:cs="Arial"/>
        </w:rPr>
        <w:t xml:space="preserve">in </w:t>
      </w:r>
      <w:hyperlink w:anchor="_OUTCOMES_OF_RECENT" w:history="1">
        <w:r w:rsidR="00DC6C08" w:rsidRPr="00DC6C08">
          <w:rPr>
            <w:rStyle w:val="Hyperlink"/>
            <w:rFonts w:ascii="Arial" w:hAnsi="Arial" w:cs="Arial"/>
          </w:rPr>
          <w:t>Section 3</w:t>
        </w:r>
      </w:hyperlink>
      <w:r>
        <w:rPr>
          <w:rFonts w:ascii="Arial" w:hAnsi="Arial" w:cs="Arial"/>
        </w:rPr>
        <w:t xml:space="preserve">, have </w:t>
      </w:r>
      <w:r w:rsidR="00F95C27">
        <w:rPr>
          <w:rFonts w:ascii="Arial" w:hAnsi="Arial" w:cs="Arial"/>
        </w:rPr>
        <w:t xml:space="preserve">also </w:t>
      </w:r>
      <w:r>
        <w:rPr>
          <w:rFonts w:ascii="Arial" w:hAnsi="Arial" w:cs="Arial"/>
        </w:rPr>
        <w:t>been taken into consideration to provide a more fulsome account.</w:t>
      </w:r>
    </w:p>
    <w:p w14:paraId="7BA8F4CF" w14:textId="602977B5" w:rsidR="00640C2E" w:rsidRDefault="00C6082F" w:rsidP="005825E1">
      <w:pPr>
        <w:rPr>
          <w:rFonts w:ascii="Arial" w:hAnsi="Arial" w:cs="Arial"/>
        </w:rPr>
      </w:pPr>
      <w:r>
        <w:rPr>
          <w:rFonts w:ascii="Arial" w:hAnsi="Arial" w:cs="Arial"/>
        </w:rPr>
        <w:t>GBRMPA has used a four-point rating scale to assess performance against each of the six KPIs. The scale is consistent with that used</w:t>
      </w:r>
      <w:r w:rsidR="00C63592">
        <w:rPr>
          <w:rFonts w:ascii="Arial" w:hAnsi="Arial" w:cs="Arial"/>
        </w:rPr>
        <w:t xml:space="preserve"> for the independent a</w:t>
      </w:r>
      <w:r>
        <w:rPr>
          <w:rFonts w:ascii="Arial" w:hAnsi="Arial" w:cs="Arial"/>
        </w:rPr>
        <w:t>ssessment</w:t>
      </w:r>
      <w:r w:rsidR="00C63592">
        <w:rPr>
          <w:rFonts w:ascii="Arial" w:hAnsi="Arial" w:cs="Arial"/>
        </w:rPr>
        <w:t>s</w:t>
      </w:r>
      <w:r>
        <w:rPr>
          <w:rFonts w:ascii="Arial" w:hAnsi="Arial" w:cs="Arial"/>
        </w:rPr>
        <w:t xml:space="preserve"> of </w:t>
      </w:r>
      <w:r w:rsidR="00C63592">
        <w:rPr>
          <w:rFonts w:ascii="Arial" w:hAnsi="Arial" w:cs="Arial"/>
        </w:rPr>
        <w:t>m</w:t>
      </w:r>
      <w:r>
        <w:rPr>
          <w:rFonts w:ascii="Arial" w:hAnsi="Arial" w:cs="Arial"/>
        </w:rPr>
        <w:t xml:space="preserve">anagement </w:t>
      </w:r>
      <w:r w:rsidR="00C63592">
        <w:rPr>
          <w:rFonts w:ascii="Arial" w:hAnsi="Arial" w:cs="Arial"/>
        </w:rPr>
        <w:t>e</w:t>
      </w:r>
      <w:r>
        <w:rPr>
          <w:rFonts w:ascii="Arial" w:hAnsi="Arial" w:cs="Arial"/>
        </w:rPr>
        <w:t>ffectiveness</w:t>
      </w:r>
      <w:r w:rsidR="00194232">
        <w:rPr>
          <w:rFonts w:ascii="Arial" w:hAnsi="Arial" w:cs="Arial"/>
        </w:rPr>
        <w:t xml:space="preserve"> (refer sections </w:t>
      </w:r>
      <w:hyperlink w:anchor="_Assessment_of_Management" w:history="1">
        <w:r w:rsidR="00C66337">
          <w:rPr>
            <w:rStyle w:val="Hyperlink"/>
            <w:rFonts w:ascii="Arial" w:hAnsi="Arial" w:cs="Arial"/>
          </w:rPr>
          <w:t>3</w:t>
        </w:r>
        <w:r w:rsidR="00194232" w:rsidRPr="00194232">
          <w:rPr>
            <w:rStyle w:val="Hyperlink"/>
            <w:rFonts w:ascii="Arial" w:hAnsi="Arial" w:cs="Arial"/>
          </w:rPr>
          <w:t>.1</w:t>
        </w:r>
      </w:hyperlink>
      <w:r w:rsidR="00194232">
        <w:rPr>
          <w:rFonts w:ascii="Arial" w:hAnsi="Arial" w:cs="Arial"/>
        </w:rPr>
        <w:t xml:space="preserve"> and </w:t>
      </w:r>
      <w:hyperlink w:anchor="_Assessment_of_Management_1" w:history="1">
        <w:r w:rsidR="00C66337">
          <w:rPr>
            <w:rStyle w:val="Hyperlink"/>
            <w:rFonts w:ascii="Arial" w:hAnsi="Arial" w:cs="Arial"/>
          </w:rPr>
          <w:t>3</w:t>
        </w:r>
        <w:r w:rsidR="00194232" w:rsidRPr="00194232">
          <w:rPr>
            <w:rStyle w:val="Hyperlink"/>
            <w:rFonts w:ascii="Arial" w:hAnsi="Arial" w:cs="Arial"/>
          </w:rPr>
          <w:t>.2</w:t>
        </w:r>
      </w:hyperlink>
      <w:r w:rsidR="00194232">
        <w:rPr>
          <w:rFonts w:ascii="Arial" w:hAnsi="Arial" w:cs="Arial"/>
        </w:rPr>
        <w:t>)</w:t>
      </w:r>
      <w:r>
        <w:rPr>
          <w:rFonts w:ascii="Arial" w:hAnsi="Arial" w:cs="Arial"/>
        </w:rPr>
        <w:t>.</w:t>
      </w:r>
    </w:p>
    <w:p w14:paraId="33805AE5" w14:textId="37851C18" w:rsidR="0067306A" w:rsidRPr="0067306A" w:rsidRDefault="0067306A" w:rsidP="0067306A">
      <w:pPr>
        <w:keepNext/>
        <w:rPr>
          <w:rFonts w:ascii="Arial" w:hAnsi="Arial" w:cs="Arial"/>
          <w:u w:val="single"/>
        </w:rPr>
      </w:pPr>
      <w:r w:rsidRPr="0067306A">
        <w:rPr>
          <w:rFonts w:ascii="Arial" w:hAnsi="Arial" w:cs="Arial"/>
          <w:u w:val="single"/>
        </w:rPr>
        <w:lastRenderedPageBreak/>
        <w:t>Rating scale:</w:t>
      </w:r>
    </w:p>
    <w:tbl>
      <w:tblPr>
        <w:tblStyle w:val="TableGrid"/>
        <w:tblW w:w="0" w:type="auto"/>
        <w:jc w:val="center"/>
        <w:tblInd w:w="-1127" w:type="dxa"/>
        <w:tblLook w:val="04A0" w:firstRow="1" w:lastRow="0" w:firstColumn="1" w:lastColumn="0" w:noHBand="0" w:noVBand="1"/>
      </w:tblPr>
      <w:tblGrid>
        <w:gridCol w:w="4779"/>
      </w:tblGrid>
      <w:tr w:rsidR="0067306A" w:rsidRPr="002C19BB" w14:paraId="4DC5F617" w14:textId="77777777" w:rsidTr="0067306A">
        <w:trPr>
          <w:cantSplit/>
          <w:jc w:val="center"/>
        </w:trPr>
        <w:tc>
          <w:tcPr>
            <w:tcW w:w="4779" w:type="dxa"/>
            <w:shd w:val="clear" w:color="auto" w:fill="00B050"/>
            <w:vAlign w:val="center"/>
          </w:tcPr>
          <w:p w14:paraId="05EC1A9F" w14:textId="77777777" w:rsidR="0067306A" w:rsidRPr="002C19BB" w:rsidRDefault="0067306A" w:rsidP="0067306A">
            <w:pPr>
              <w:spacing w:before="120" w:after="120"/>
              <w:jc w:val="center"/>
              <w:rPr>
                <w:rFonts w:ascii="Arial" w:hAnsi="Arial" w:cs="Arial"/>
                <w:b/>
              </w:rPr>
            </w:pPr>
            <w:r w:rsidRPr="002C19BB">
              <w:rPr>
                <w:rFonts w:ascii="Arial" w:hAnsi="Arial" w:cs="Arial"/>
                <w:b/>
              </w:rPr>
              <w:t>Effective</w:t>
            </w:r>
            <w:r>
              <w:rPr>
                <w:rFonts w:ascii="Arial" w:hAnsi="Arial" w:cs="Arial"/>
                <w:b/>
              </w:rPr>
              <w:br/>
            </w:r>
            <w:r w:rsidRPr="0067306A">
              <w:rPr>
                <w:rFonts w:ascii="Arial" w:hAnsi="Arial" w:cs="Arial"/>
              </w:rPr>
              <w:t>(81-100% of optimum)</w:t>
            </w:r>
          </w:p>
        </w:tc>
      </w:tr>
      <w:tr w:rsidR="0067306A" w:rsidRPr="002C19BB" w14:paraId="1D3CE75D" w14:textId="77777777" w:rsidTr="0067306A">
        <w:trPr>
          <w:cantSplit/>
          <w:jc w:val="center"/>
        </w:trPr>
        <w:tc>
          <w:tcPr>
            <w:tcW w:w="4779" w:type="dxa"/>
            <w:shd w:val="clear" w:color="auto" w:fill="92D050"/>
            <w:vAlign w:val="center"/>
          </w:tcPr>
          <w:p w14:paraId="3E7EB044" w14:textId="77777777" w:rsidR="0067306A" w:rsidRPr="002C19BB" w:rsidRDefault="0067306A" w:rsidP="0067306A">
            <w:pPr>
              <w:spacing w:before="120" w:after="120"/>
              <w:jc w:val="center"/>
              <w:rPr>
                <w:rFonts w:ascii="Arial" w:hAnsi="Arial" w:cs="Arial"/>
                <w:b/>
              </w:rPr>
            </w:pPr>
            <w:r w:rsidRPr="002C19BB">
              <w:rPr>
                <w:rFonts w:ascii="Arial" w:hAnsi="Arial" w:cs="Arial"/>
                <w:b/>
              </w:rPr>
              <w:t>Mostly effective</w:t>
            </w:r>
            <w:r>
              <w:rPr>
                <w:rFonts w:ascii="Arial" w:hAnsi="Arial" w:cs="Arial"/>
                <w:b/>
              </w:rPr>
              <w:br/>
            </w:r>
            <w:r w:rsidRPr="0067306A">
              <w:rPr>
                <w:rFonts w:ascii="Arial" w:hAnsi="Arial" w:cs="Arial"/>
              </w:rPr>
              <w:t>(51-80% of optimum)</w:t>
            </w:r>
          </w:p>
        </w:tc>
      </w:tr>
      <w:tr w:rsidR="0067306A" w:rsidRPr="002C19BB" w14:paraId="2DF8FF01" w14:textId="77777777" w:rsidTr="0067306A">
        <w:trPr>
          <w:cantSplit/>
          <w:jc w:val="center"/>
        </w:trPr>
        <w:tc>
          <w:tcPr>
            <w:tcW w:w="4779" w:type="dxa"/>
            <w:shd w:val="clear" w:color="auto" w:fill="FFC000"/>
            <w:vAlign w:val="center"/>
          </w:tcPr>
          <w:p w14:paraId="44849947" w14:textId="77777777" w:rsidR="0067306A" w:rsidRPr="002C19BB" w:rsidRDefault="0067306A" w:rsidP="0067306A">
            <w:pPr>
              <w:spacing w:before="120" w:after="120"/>
              <w:jc w:val="center"/>
              <w:rPr>
                <w:rFonts w:ascii="Arial" w:hAnsi="Arial" w:cs="Arial"/>
                <w:b/>
              </w:rPr>
            </w:pPr>
            <w:r w:rsidRPr="002C19BB">
              <w:rPr>
                <w:rFonts w:ascii="Arial" w:hAnsi="Arial" w:cs="Arial"/>
                <w:b/>
              </w:rPr>
              <w:t>Partially effective</w:t>
            </w:r>
            <w:r>
              <w:rPr>
                <w:rFonts w:ascii="Arial" w:hAnsi="Arial" w:cs="Arial"/>
                <w:b/>
              </w:rPr>
              <w:br/>
            </w:r>
            <w:r w:rsidRPr="0067306A">
              <w:rPr>
                <w:rFonts w:ascii="Arial" w:hAnsi="Arial" w:cs="Arial"/>
              </w:rPr>
              <w:t>(21-50% of optimum)</w:t>
            </w:r>
          </w:p>
        </w:tc>
      </w:tr>
      <w:tr w:rsidR="0067306A" w:rsidRPr="002C19BB" w14:paraId="05F368B8" w14:textId="77777777" w:rsidTr="0067306A">
        <w:trPr>
          <w:cantSplit/>
          <w:jc w:val="center"/>
        </w:trPr>
        <w:tc>
          <w:tcPr>
            <w:tcW w:w="4779" w:type="dxa"/>
            <w:shd w:val="clear" w:color="auto" w:fill="FF0000"/>
            <w:vAlign w:val="center"/>
          </w:tcPr>
          <w:p w14:paraId="445B8468" w14:textId="77777777" w:rsidR="0067306A" w:rsidRPr="002C19BB" w:rsidRDefault="0067306A" w:rsidP="0067306A">
            <w:pPr>
              <w:spacing w:before="120" w:after="120"/>
              <w:jc w:val="center"/>
              <w:rPr>
                <w:rFonts w:ascii="Arial" w:hAnsi="Arial" w:cs="Arial"/>
                <w:b/>
              </w:rPr>
            </w:pPr>
            <w:r w:rsidRPr="002C19BB">
              <w:rPr>
                <w:rFonts w:ascii="Arial" w:hAnsi="Arial" w:cs="Arial"/>
                <w:b/>
              </w:rPr>
              <w:t>Ineffective</w:t>
            </w:r>
            <w:r>
              <w:rPr>
                <w:rFonts w:ascii="Arial" w:hAnsi="Arial" w:cs="Arial"/>
                <w:b/>
              </w:rPr>
              <w:br/>
            </w:r>
            <w:r w:rsidRPr="0067306A">
              <w:rPr>
                <w:rFonts w:ascii="Arial" w:hAnsi="Arial" w:cs="Arial"/>
              </w:rPr>
              <w:t>(1-20% of optimum)</w:t>
            </w:r>
          </w:p>
        </w:tc>
      </w:tr>
    </w:tbl>
    <w:p w14:paraId="04CFCF70" w14:textId="77777777" w:rsidR="0067306A" w:rsidRDefault="0067306A" w:rsidP="005825E1">
      <w:pPr>
        <w:rPr>
          <w:rFonts w:ascii="Arial" w:hAnsi="Arial" w:cs="Arial"/>
        </w:rPr>
      </w:pPr>
    </w:p>
    <w:p w14:paraId="33D9D918" w14:textId="242854FB" w:rsidR="00C63592" w:rsidRDefault="00F95C27" w:rsidP="005825E1">
      <w:pPr>
        <w:rPr>
          <w:rFonts w:ascii="Arial" w:hAnsi="Arial" w:cs="Arial"/>
        </w:rPr>
      </w:pPr>
      <w:r>
        <w:rPr>
          <w:rFonts w:ascii="Arial" w:hAnsi="Arial" w:cs="Arial"/>
        </w:rPr>
        <w:t xml:space="preserve">Grading statements for each of the KPIs are </w:t>
      </w:r>
      <w:r w:rsidR="00CA4E79">
        <w:rPr>
          <w:rFonts w:ascii="Arial" w:hAnsi="Arial" w:cs="Arial"/>
        </w:rPr>
        <w:t xml:space="preserve">provided at </w:t>
      </w:r>
      <w:hyperlink w:anchor="_Attachment_A_–" w:history="1">
        <w:r w:rsidR="00CA4E79" w:rsidRPr="0067306A">
          <w:rPr>
            <w:rStyle w:val="Hyperlink"/>
            <w:rFonts w:ascii="Arial" w:hAnsi="Arial" w:cs="Arial"/>
          </w:rPr>
          <w:t>Attachment A</w:t>
        </w:r>
      </w:hyperlink>
      <w:r>
        <w:rPr>
          <w:rFonts w:ascii="Arial" w:hAnsi="Arial" w:cs="Arial"/>
        </w:rPr>
        <w:t>.</w:t>
      </w:r>
    </w:p>
    <w:p w14:paraId="61218720" w14:textId="1B45E503" w:rsidR="002545C7" w:rsidRDefault="002545C7" w:rsidP="005825E1">
      <w:pPr>
        <w:rPr>
          <w:rFonts w:ascii="Arial" w:hAnsi="Arial" w:cs="Arial"/>
        </w:rPr>
      </w:pPr>
      <w:r>
        <w:rPr>
          <w:rFonts w:ascii="Arial" w:hAnsi="Arial" w:cs="Arial"/>
        </w:rPr>
        <w:t>Key stakeholders were provided with a copy of the draft self-assessment report for comment. No comments were received.</w:t>
      </w:r>
    </w:p>
    <w:p w14:paraId="5C1992A1" w14:textId="77777777" w:rsidR="005825E1" w:rsidRPr="002D5D1F" w:rsidRDefault="005825E1" w:rsidP="005825E1">
      <w:pPr>
        <w:pStyle w:val="Heading2"/>
        <w:numPr>
          <w:ilvl w:val="0"/>
          <w:numId w:val="10"/>
        </w:numPr>
        <w:shd w:val="clear" w:color="auto" w:fill="4F81BD" w:themeFill="accent1"/>
        <w:spacing w:before="240" w:after="120"/>
        <w:rPr>
          <w:rFonts w:ascii="Arial" w:hAnsi="Arial" w:cs="Arial"/>
          <w:b w:val="0"/>
          <w:color w:val="FFFFFF" w:themeColor="background1"/>
        </w:rPr>
      </w:pPr>
      <w:bookmarkStart w:id="16" w:name="_Toc474753105"/>
      <w:r w:rsidRPr="002D5D1F">
        <w:rPr>
          <w:rFonts w:ascii="Arial" w:hAnsi="Arial" w:cs="Arial"/>
          <w:b w:val="0"/>
          <w:color w:val="FFFFFF" w:themeColor="background1"/>
        </w:rPr>
        <w:t>ASSESSMENT</w:t>
      </w:r>
      <w:bookmarkEnd w:id="16"/>
    </w:p>
    <w:p w14:paraId="18364601" w14:textId="77777777" w:rsidR="005825E1" w:rsidRDefault="005825E1" w:rsidP="005825E1">
      <w:pPr>
        <w:rPr>
          <w:rFonts w:ascii="Arial" w:hAnsi="Arial" w:cs="Arial"/>
        </w:rPr>
      </w:pPr>
      <w:r>
        <w:rPr>
          <w:rFonts w:ascii="Arial" w:hAnsi="Arial" w:cs="Arial"/>
        </w:rPr>
        <w:t>The following assessment provides an overview of the Authority’s work and how it relates to achieving the KPIs for the Framework.</w:t>
      </w:r>
    </w:p>
    <w:p w14:paraId="75284703" w14:textId="53579169" w:rsidR="005825E1" w:rsidRPr="002D5D1F" w:rsidRDefault="005825E1" w:rsidP="005825E1">
      <w:pPr>
        <w:pStyle w:val="Heading2"/>
        <w:numPr>
          <w:ilvl w:val="1"/>
          <w:numId w:val="10"/>
        </w:numPr>
        <w:pBdr>
          <w:top w:val="single" w:sz="4" w:space="1" w:color="4F81BD" w:themeColor="accent1"/>
          <w:left w:val="single" w:sz="4" w:space="4" w:color="4F81BD" w:themeColor="accent1"/>
        </w:pBdr>
        <w:spacing w:before="240" w:after="120"/>
        <w:ind w:left="567" w:hanging="573"/>
        <w:rPr>
          <w:rFonts w:ascii="Arial" w:hAnsi="Arial" w:cs="Arial"/>
          <w:b w:val="0"/>
          <w:color w:val="1F497D" w:themeColor="text2"/>
          <w:sz w:val="22"/>
        </w:rPr>
      </w:pPr>
      <w:bookmarkStart w:id="17" w:name="_Toc474753106"/>
      <w:r>
        <w:rPr>
          <w:rFonts w:ascii="Arial" w:hAnsi="Arial" w:cs="Arial"/>
          <w:b w:val="0"/>
          <w:color w:val="1F497D" w:themeColor="text2"/>
          <w:sz w:val="22"/>
        </w:rPr>
        <w:t xml:space="preserve">KPI 1 </w:t>
      </w:r>
      <w:r w:rsidR="006726B1">
        <w:rPr>
          <w:rFonts w:ascii="Arial" w:hAnsi="Arial" w:cs="Arial"/>
          <w:b w:val="0"/>
          <w:color w:val="1F497D" w:themeColor="text2"/>
          <w:sz w:val="22"/>
        </w:rPr>
        <w:t>—</w:t>
      </w:r>
      <w:r>
        <w:rPr>
          <w:rFonts w:ascii="Arial" w:hAnsi="Arial" w:cs="Arial"/>
          <w:b w:val="0"/>
          <w:color w:val="1F497D" w:themeColor="text2"/>
          <w:sz w:val="22"/>
        </w:rPr>
        <w:t xml:space="preserve">- </w:t>
      </w:r>
      <w:r w:rsidR="00A32FF6">
        <w:rPr>
          <w:rFonts w:ascii="Arial" w:hAnsi="Arial" w:cs="Arial"/>
          <w:b w:val="0"/>
          <w:color w:val="1F497D" w:themeColor="text2"/>
          <w:sz w:val="22"/>
        </w:rPr>
        <w:t>GBRMPA</w:t>
      </w:r>
      <w:r w:rsidRPr="002D5D1F">
        <w:rPr>
          <w:rFonts w:ascii="Arial" w:hAnsi="Arial" w:cs="Arial"/>
          <w:b w:val="0"/>
          <w:color w:val="1F497D" w:themeColor="text2"/>
          <w:sz w:val="22"/>
        </w:rPr>
        <w:t xml:space="preserve"> do</w:t>
      </w:r>
      <w:r w:rsidR="00A32FF6">
        <w:rPr>
          <w:rFonts w:ascii="Arial" w:hAnsi="Arial" w:cs="Arial"/>
          <w:b w:val="0"/>
          <w:color w:val="1F497D" w:themeColor="text2"/>
          <w:sz w:val="22"/>
        </w:rPr>
        <w:t>es</w:t>
      </w:r>
      <w:r w:rsidRPr="002D5D1F">
        <w:rPr>
          <w:rFonts w:ascii="Arial" w:hAnsi="Arial" w:cs="Arial"/>
          <w:b w:val="0"/>
          <w:color w:val="1F497D" w:themeColor="text2"/>
          <w:sz w:val="22"/>
        </w:rPr>
        <w:t xml:space="preserve"> not unnecessarily impede the efficient operation of regulated entities</w:t>
      </w:r>
      <w:bookmarkEnd w:id="17"/>
    </w:p>
    <w:p w14:paraId="58608458" w14:textId="77777777" w:rsidR="00CD6E65" w:rsidRPr="00CD6E65" w:rsidRDefault="00CD6E65" w:rsidP="00CD6E65">
      <w:pPr>
        <w:keepNext/>
        <w:spacing w:before="240" w:after="0"/>
        <w:rPr>
          <w:rFonts w:ascii="Arial" w:hAnsi="Arial" w:cs="Arial"/>
          <w:u w:val="single"/>
        </w:rPr>
      </w:pPr>
      <w:r w:rsidRPr="00CD6E65">
        <w:rPr>
          <w:rFonts w:ascii="Arial" w:hAnsi="Arial" w:cs="Arial"/>
          <w:u w:val="single"/>
        </w:rPr>
        <w:t>Approved metrics</w:t>
      </w:r>
    </w:p>
    <w:p w14:paraId="09C20395" w14:textId="77777777" w:rsidR="00CD6E65" w:rsidRPr="00CD6E65" w:rsidRDefault="00CD6E65" w:rsidP="00CD6E65">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CD6E65">
        <w:rPr>
          <w:rFonts w:ascii="Arial" w:eastAsia="Times New Roman" w:hAnsi="Arial" w:cs="Arial"/>
          <w:i/>
          <w:color w:val="333333"/>
          <w:lang w:val="en" w:eastAsia="en-AU"/>
        </w:rPr>
        <w:t>Demonstrated engagement with relevant international organisations to learn from peer experiences and share better practices.</w:t>
      </w:r>
    </w:p>
    <w:p w14:paraId="731015E9" w14:textId="77777777" w:rsidR="00CD6E65" w:rsidRPr="00CD6E65" w:rsidRDefault="00CD6E65" w:rsidP="00CD6E65">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CD6E65">
        <w:rPr>
          <w:rFonts w:ascii="Arial" w:eastAsia="Times New Roman" w:hAnsi="Arial" w:cs="Arial"/>
          <w:i/>
          <w:color w:val="333333"/>
          <w:lang w:val="en" w:eastAsia="en-AU"/>
        </w:rPr>
        <w:t>Environment scanning is undertaken regularly.</w:t>
      </w:r>
    </w:p>
    <w:p w14:paraId="732A1482" w14:textId="1158E55F" w:rsidR="007D545D" w:rsidRPr="007D545D" w:rsidRDefault="007D545D" w:rsidP="00CD6E65">
      <w:pPr>
        <w:keepNext/>
        <w:spacing w:before="240" w:after="0"/>
        <w:rPr>
          <w:rFonts w:ascii="Arial" w:hAnsi="Arial" w:cs="Arial"/>
          <w:u w:val="single"/>
        </w:rPr>
      </w:pPr>
      <w:r w:rsidRPr="007D545D">
        <w:rPr>
          <w:rFonts w:ascii="Arial" w:hAnsi="Arial" w:cs="Arial"/>
          <w:u w:val="single"/>
        </w:rPr>
        <w:t xml:space="preserve">Rating:  </w:t>
      </w:r>
    </w:p>
    <w:tbl>
      <w:tblPr>
        <w:tblStyle w:val="TableGrid"/>
        <w:tblW w:w="0" w:type="auto"/>
        <w:jc w:val="center"/>
        <w:tblInd w:w="-1127" w:type="dxa"/>
        <w:tblLook w:val="04A0" w:firstRow="1" w:lastRow="0" w:firstColumn="1" w:lastColumn="0" w:noHBand="0" w:noVBand="1"/>
      </w:tblPr>
      <w:tblGrid>
        <w:gridCol w:w="4779"/>
      </w:tblGrid>
      <w:tr w:rsidR="007D545D" w:rsidRPr="002C19BB" w14:paraId="313EAD9B" w14:textId="77777777" w:rsidTr="005F6D70">
        <w:trPr>
          <w:cantSplit/>
          <w:jc w:val="center"/>
        </w:trPr>
        <w:tc>
          <w:tcPr>
            <w:tcW w:w="4779" w:type="dxa"/>
            <w:shd w:val="clear" w:color="auto" w:fill="92D050"/>
            <w:vAlign w:val="center"/>
          </w:tcPr>
          <w:p w14:paraId="3061C13A" w14:textId="77777777" w:rsidR="007D545D" w:rsidRPr="002C19BB" w:rsidRDefault="007D545D" w:rsidP="005F6D70">
            <w:pPr>
              <w:spacing w:before="120" w:after="120"/>
              <w:jc w:val="center"/>
              <w:rPr>
                <w:rFonts w:ascii="Arial" w:hAnsi="Arial" w:cs="Arial"/>
                <w:b/>
              </w:rPr>
            </w:pPr>
            <w:r w:rsidRPr="002C19BB">
              <w:rPr>
                <w:rFonts w:ascii="Arial" w:hAnsi="Arial" w:cs="Arial"/>
                <w:b/>
              </w:rPr>
              <w:t>Mostly effective</w:t>
            </w:r>
            <w:r>
              <w:rPr>
                <w:rFonts w:ascii="Arial" w:hAnsi="Arial" w:cs="Arial"/>
                <w:b/>
              </w:rPr>
              <w:br/>
            </w:r>
            <w:r w:rsidRPr="0067306A">
              <w:rPr>
                <w:rFonts w:ascii="Arial" w:hAnsi="Arial" w:cs="Arial"/>
              </w:rPr>
              <w:t>(51-80% of optimum)</w:t>
            </w:r>
          </w:p>
        </w:tc>
      </w:tr>
    </w:tbl>
    <w:p w14:paraId="12A894A4" w14:textId="77777777" w:rsidR="00CD6E65" w:rsidRDefault="00CD6E65" w:rsidP="00CD6E65">
      <w:pPr>
        <w:spacing w:after="0"/>
        <w:rPr>
          <w:rFonts w:ascii="Arial" w:hAnsi="Arial" w:cs="Arial"/>
        </w:rPr>
      </w:pPr>
    </w:p>
    <w:p w14:paraId="43E70230" w14:textId="6BA74D4A" w:rsidR="006417DB" w:rsidRPr="006417DB" w:rsidRDefault="00215BD4" w:rsidP="006417DB">
      <w:pPr>
        <w:rPr>
          <w:rFonts w:ascii="Arial" w:hAnsi="Arial" w:cs="Arial"/>
        </w:rPr>
      </w:pPr>
      <w:r>
        <w:rPr>
          <w:rFonts w:ascii="Arial" w:hAnsi="Arial" w:cs="Arial"/>
        </w:rPr>
        <w:t xml:space="preserve">GBRMPA is seen as a world leader in marine park management. </w:t>
      </w:r>
      <w:r w:rsidR="006417DB">
        <w:rPr>
          <w:rFonts w:ascii="Arial" w:hAnsi="Arial" w:cs="Arial"/>
        </w:rPr>
        <w:t>I</w:t>
      </w:r>
      <w:r w:rsidR="006417DB" w:rsidRPr="006417DB">
        <w:rPr>
          <w:rFonts w:ascii="Arial" w:hAnsi="Arial" w:cs="Arial"/>
        </w:rPr>
        <w:t xml:space="preserve">nternational meetings and forums represent invaluable opportunities to </w:t>
      </w:r>
      <w:r>
        <w:rPr>
          <w:rFonts w:ascii="Arial" w:hAnsi="Arial" w:cs="Arial"/>
        </w:rPr>
        <w:t xml:space="preserve">both </w:t>
      </w:r>
      <w:r w:rsidR="006417DB" w:rsidRPr="006417DB">
        <w:rPr>
          <w:rFonts w:ascii="Arial" w:hAnsi="Arial" w:cs="Arial"/>
        </w:rPr>
        <w:t xml:space="preserve">share </w:t>
      </w:r>
      <w:r>
        <w:rPr>
          <w:rFonts w:ascii="Arial" w:hAnsi="Arial" w:cs="Arial"/>
        </w:rPr>
        <w:t xml:space="preserve">GBRMPA’s </w:t>
      </w:r>
      <w:r w:rsidR="006417DB" w:rsidRPr="006417DB">
        <w:rPr>
          <w:rFonts w:ascii="Arial" w:hAnsi="Arial" w:cs="Arial"/>
        </w:rPr>
        <w:t>knowledge</w:t>
      </w:r>
      <w:r>
        <w:rPr>
          <w:rFonts w:ascii="Arial" w:hAnsi="Arial" w:cs="Arial"/>
        </w:rPr>
        <w:t>,</w:t>
      </w:r>
      <w:r w:rsidR="006417DB" w:rsidRPr="006417DB">
        <w:rPr>
          <w:rFonts w:ascii="Arial" w:hAnsi="Arial" w:cs="Arial"/>
        </w:rPr>
        <w:t xml:space="preserve"> </w:t>
      </w:r>
      <w:r>
        <w:rPr>
          <w:rFonts w:ascii="Arial" w:hAnsi="Arial" w:cs="Arial"/>
        </w:rPr>
        <w:t xml:space="preserve">as well as learning from our international peers. This engagement can </w:t>
      </w:r>
      <w:r w:rsidR="006417DB" w:rsidRPr="006417DB">
        <w:rPr>
          <w:rFonts w:ascii="Arial" w:hAnsi="Arial" w:cs="Arial"/>
        </w:rPr>
        <w:t>build practical capacity on subjects such as coral reef resilience</w:t>
      </w:r>
      <w:r w:rsidR="00DC6C08">
        <w:rPr>
          <w:rFonts w:ascii="Arial" w:hAnsi="Arial" w:cs="Arial"/>
        </w:rPr>
        <w:t>,</w:t>
      </w:r>
      <w:r w:rsidR="006417DB" w:rsidRPr="006417DB">
        <w:rPr>
          <w:rFonts w:ascii="Arial" w:hAnsi="Arial" w:cs="Arial"/>
        </w:rPr>
        <w:t xml:space="preserve"> world heritage protection and </w:t>
      </w:r>
      <w:r w:rsidR="00FC2343">
        <w:rPr>
          <w:rFonts w:ascii="Arial" w:hAnsi="Arial" w:cs="Arial"/>
        </w:rPr>
        <w:t xml:space="preserve">best practice marine park </w:t>
      </w:r>
      <w:r w:rsidR="006417DB" w:rsidRPr="006417DB">
        <w:rPr>
          <w:rFonts w:ascii="Arial" w:hAnsi="Arial" w:cs="Arial"/>
        </w:rPr>
        <w:t>management.</w:t>
      </w:r>
      <w:r>
        <w:rPr>
          <w:rFonts w:ascii="Arial" w:hAnsi="Arial" w:cs="Arial"/>
        </w:rPr>
        <w:t xml:space="preserve"> </w:t>
      </w:r>
    </w:p>
    <w:p w14:paraId="1EE122F6" w14:textId="1F7A47AF" w:rsidR="005825E1" w:rsidRDefault="005825E1" w:rsidP="005825E1">
      <w:pPr>
        <w:rPr>
          <w:rFonts w:ascii="Arial" w:hAnsi="Arial" w:cs="Arial"/>
        </w:rPr>
      </w:pPr>
      <w:r w:rsidRPr="005659CE">
        <w:rPr>
          <w:rFonts w:ascii="Arial" w:hAnsi="Arial" w:cs="Arial"/>
        </w:rPr>
        <w:t xml:space="preserve">In 2015–16, </w:t>
      </w:r>
      <w:r w:rsidR="006417DB">
        <w:rPr>
          <w:rFonts w:ascii="Arial" w:hAnsi="Arial" w:cs="Arial"/>
        </w:rPr>
        <w:t>GBRMPA</w:t>
      </w:r>
      <w:r w:rsidRPr="005659CE">
        <w:rPr>
          <w:rFonts w:ascii="Arial" w:hAnsi="Arial" w:cs="Arial"/>
        </w:rPr>
        <w:t xml:space="preserve"> welcomed and assisted 17 international delegations from around the world, including Norway, Jamaica, Korea, the Philippines, Japan, Germany, Indonesia and India. </w:t>
      </w:r>
      <w:r w:rsidRPr="00EF7777">
        <w:rPr>
          <w:rFonts w:ascii="Arial" w:hAnsi="Arial" w:cs="Arial"/>
        </w:rPr>
        <w:t xml:space="preserve">Areas of interest </w:t>
      </w:r>
      <w:r>
        <w:rPr>
          <w:rFonts w:ascii="Arial" w:hAnsi="Arial" w:cs="Arial"/>
        </w:rPr>
        <w:t>covered:</w:t>
      </w:r>
      <w:r w:rsidRPr="00EF7777">
        <w:rPr>
          <w:rFonts w:ascii="Arial" w:hAnsi="Arial" w:cs="Arial"/>
        </w:rPr>
        <w:t xml:space="preserve"> </w:t>
      </w:r>
    </w:p>
    <w:p w14:paraId="3E070871" w14:textId="77777777" w:rsidR="005825E1" w:rsidRPr="00EF7777" w:rsidRDefault="005825E1" w:rsidP="005825E1">
      <w:pPr>
        <w:pStyle w:val="ListParagraph"/>
        <w:numPr>
          <w:ilvl w:val="0"/>
          <w:numId w:val="9"/>
        </w:numPr>
        <w:rPr>
          <w:rFonts w:ascii="Arial" w:hAnsi="Arial" w:cs="Arial"/>
        </w:rPr>
      </w:pPr>
      <w:r w:rsidRPr="00EF7777">
        <w:rPr>
          <w:rFonts w:ascii="Arial" w:hAnsi="Arial" w:cs="Arial"/>
        </w:rPr>
        <w:t xml:space="preserve">Marine Park management; </w:t>
      </w:r>
    </w:p>
    <w:p w14:paraId="2EDB9F0F" w14:textId="77777777" w:rsidR="005825E1" w:rsidRPr="00EF7777" w:rsidRDefault="005825E1" w:rsidP="005825E1">
      <w:pPr>
        <w:pStyle w:val="ListParagraph"/>
        <w:numPr>
          <w:ilvl w:val="0"/>
          <w:numId w:val="9"/>
        </w:numPr>
        <w:rPr>
          <w:rFonts w:ascii="Arial" w:hAnsi="Arial" w:cs="Arial"/>
        </w:rPr>
      </w:pPr>
      <w:r w:rsidRPr="00EF7777">
        <w:rPr>
          <w:rFonts w:ascii="Arial" w:hAnsi="Arial" w:cs="Arial"/>
        </w:rPr>
        <w:t xml:space="preserve">Coastal </w:t>
      </w:r>
      <w:r>
        <w:rPr>
          <w:rFonts w:ascii="Arial" w:hAnsi="Arial" w:cs="Arial"/>
        </w:rPr>
        <w:t>e</w:t>
      </w:r>
      <w:r w:rsidRPr="00EF7777">
        <w:rPr>
          <w:rFonts w:ascii="Arial" w:hAnsi="Arial" w:cs="Arial"/>
        </w:rPr>
        <w:t xml:space="preserve">cosystems assessment and management; </w:t>
      </w:r>
    </w:p>
    <w:p w14:paraId="3A71CB48" w14:textId="77777777" w:rsidR="005825E1" w:rsidRPr="00EF7777" w:rsidRDefault="005825E1" w:rsidP="005825E1">
      <w:pPr>
        <w:pStyle w:val="ListParagraph"/>
        <w:numPr>
          <w:ilvl w:val="0"/>
          <w:numId w:val="9"/>
        </w:numPr>
        <w:rPr>
          <w:rFonts w:ascii="Arial" w:hAnsi="Arial" w:cs="Arial"/>
        </w:rPr>
      </w:pPr>
      <w:r w:rsidRPr="00EF7777">
        <w:rPr>
          <w:rFonts w:ascii="Arial" w:hAnsi="Arial" w:cs="Arial"/>
        </w:rPr>
        <w:t xml:space="preserve">Reef Guardians/stewardship programs; </w:t>
      </w:r>
    </w:p>
    <w:p w14:paraId="3A9051EA" w14:textId="77777777" w:rsidR="005825E1" w:rsidRPr="00EF7777" w:rsidRDefault="005825E1" w:rsidP="005825E1">
      <w:pPr>
        <w:pStyle w:val="ListParagraph"/>
        <w:numPr>
          <w:ilvl w:val="0"/>
          <w:numId w:val="9"/>
        </w:numPr>
        <w:rPr>
          <w:rFonts w:ascii="Arial" w:hAnsi="Arial" w:cs="Arial"/>
        </w:rPr>
      </w:pPr>
      <w:r w:rsidRPr="00EF7777">
        <w:rPr>
          <w:rFonts w:ascii="Arial" w:hAnsi="Arial" w:cs="Arial"/>
        </w:rPr>
        <w:t xml:space="preserve">Indigenous </w:t>
      </w:r>
      <w:r>
        <w:rPr>
          <w:rFonts w:ascii="Arial" w:hAnsi="Arial" w:cs="Arial"/>
        </w:rPr>
        <w:t>p</w:t>
      </w:r>
      <w:r w:rsidRPr="00EF7777">
        <w:rPr>
          <w:rFonts w:ascii="Arial" w:hAnsi="Arial" w:cs="Arial"/>
        </w:rPr>
        <w:t xml:space="preserve">artnerships and engagement; </w:t>
      </w:r>
    </w:p>
    <w:p w14:paraId="4DA33FCB" w14:textId="77777777" w:rsidR="005825E1" w:rsidRPr="00EF7777" w:rsidRDefault="005825E1" w:rsidP="005825E1">
      <w:pPr>
        <w:pStyle w:val="ListParagraph"/>
        <w:numPr>
          <w:ilvl w:val="0"/>
          <w:numId w:val="9"/>
        </w:numPr>
        <w:rPr>
          <w:rFonts w:ascii="Arial" w:hAnsi="Arial" w:cs="Arial"/>
        </w:rPr>
      </w:pPr>
      <w:r w:rsidRPr="00EF7777">
        <w:rPr>
          <w:rFonts w:ascii="Arial" w:hAnsi="Arial" w:cs="Arial"/>
        </w:rPr>
        <w:lastRenderedPageBreak/>
        <w:t xml:space="preserve">Field </w:t>
      </w:r>
      <w:r>
        <w:rPr>
          <w:rFonts w:ascii="Arial" w:hAnsi="Arial" w:cs="Arial"/>
        </w:rPr>
        <w:t>m</w:t>
      </w:r>
      <w:r w:rsidRPr="00EF7777">
        <w:rPr>
          <w:rFonts w:ascii="Arial" w:hAnsi="Arial" w:cs="Arial"/>
        </w:rPr>
        <w:t xml:space="preserve">anagement; </w:t>
      </w:r>
    </w:p>
    <w:p w14:paraId="0AD33B05" w14:textId="77777777" w:rsidR="005825E1" w:rsidRPr="00EF7777" w:rsidRDefault="005825E1" w:rsidP="005825E1">
      <w:pPr>
        <w:pStyle w:val="ListParagraph"/>
        <w:numPr>
          <w:ilvl w:val="0"/>
          <w:numId w:val="9"/>
        </w:numPr>
        <w:rPr>
          <w:rFonts w:ascii="Arial" w:hAnsi="Arial" w:cs="Arial"/>
        </w:rPr>
      </w:pPr>
      <w:r w:rsidRPr="00EF7777">
        <w:rPr>
          <w:rFonts w:ascii="Arial" w:hAnsi="Arial" w:cs="Arial"/>
        </w:rPr>
        <w:t xml:space="preserve">World Heritage property management; </w:t>
      </w:r>
    </w:p>
    <w:p w14:paraId="648BF459" w14:textId="77777777" w:rsidR="005825E1" w:rsidRPr="00EF7777" w:rsidRDefault="005825E1" w:rsidP="005825E1">
      <w:pPr>
        <w:pStyle w:val="ListParagraph"/>
        <w:numPr>
          <w:ilvl w:val="0"/>
          <w:numId w:val="9"/>
        </w:numPr>
        <w:rPr>
          <w:rFonts w:ascii="Arial" w:hAnsi="Arial" w:cs="Arial"/>
        </w:rPr>
      </w:pPr>
      <w:r w:rsidRPr="00EF7777">
        <w:rPr>
          <w:rFonts w:ascii="Arial" w:hAnsi="Arial" w:cs="Arial"/>
        </w:rPr>
        <w:t xml:space="preserve">Reef 2050 Long Term Sustainability Plan; </w:t>
      </w:r>
    </w:p>
    <w:p w14:paraId="6829E9C0" w14:textId="77777777" w:rsidR="005825E1" w:rsidRPr="00EF7777" w:rsidRDefault="005825E1" w:rsidP="005825E1">
      <w:pPr>
        <w:pStyle w:val="ListParagraph"/>
        <w:numPr>
          <w:ilvl w:val="0"/>
          <w:numId w:val="9"/>
        </w:numPr>
        <w:rPr>
          <w:rFonts w:ascii="Arial" w:hAnsi="Arial" w:cs="Arial"/>
        </w:rPr>
      </w:pPr>
      <w:r w:rsidRPr="00EF7777">
        <w:rPr>
          <w:rFonts w:ascii="Arial" w:hAnsi="Arial" w:cs="Arial"/>
        </w:rPr>
        <w:t xml:space="preserve">incident response; </w:t>
      </w:r>
    </w:p>
    <w:p w14:paraId="2AF94869" w14:textId="77777777" w:rsidR="005825E1" w:rsidRDefault="005825E1" w:rsidP="005825E1">
      <w:pPr>
        <w:pStyle w:val="ListParagraph"/>
        <w:numPr>
          <w:ilvl w:val="0"/>
          <w:numId w:val="9"/>
        </w:numPr>
        <w:rPr>
          <w:rFonts w:ascii="Arial" w:hAnsi="Arial" w:cs="Arial"/>
        </w:rPr>
      </w:pPr>
      <w:r w:rsidRPr="00EF7777">
        <w:rPr>
          <w:rFonts w:ascii="Arial" w:hAnsi="Arial" w:cs="Arial"/>
        </w:rPr>
        <w:t xml:space="preserve">tourism management; </w:t>
      </w:r>
    </w:p>
    <w:p w14:paraId="385BBFEF" w14:textId="77777777" w:rsidR="005825E1" w:rsidRPr="00EF7777" w:rsidRDefault="005825E1" w:rsidP="005825E1">
      <w:pPr>
        <w:pStyle w:val="ListParagraph"/>
        <w:numPr>
          <w:ilvl w:val="0"/>
          <w:numId w:val="9"/>
        </w:numPr>
        <w:rPr>
          <w:rFonts w:ascii="Arial" w:hAnsi="Arial" w:cs="Arial"/>
        </w:rPr>
      </w:pPr>
      <w:r>
        <w:rPr>
          <w:rFonts w:ascii="Arial" w:hAnsi="Arial" w:cs="Arial"/>
        </w:rPr>
        <w:t>fisheries;</w:t>
      </w:r>
    </w:p>
    <w:p w14:paraId="32DEFADB" w14:textId="77777777" w:rsidR="005825E1" w:rsidRPr="00EF7777" w:rsidRDefault="005825E1" w:rsidP="005825E1">
      <w:pPr>
        <w:pStyle w:val="ListParagraph"/>
        <w:numPr>
          <w:ilvl w:val="0"/>
          <w:numId w:val="9"/>
        </w:numPr>
        <w:rPr>
          <w:rFonts w:ascii="Arial" w:hAnsi="Arial" w:cs="Arial"/>
        </w:rPr>
      </w:pPr>
      <w:r w:rsidRPr="00EF7777">
        <w:rPr>
          <w:rFonts w:ascii="Arial" w:hAnsi="Arial" w:cs="Arial"/>
        </w:rPr>
        <w:t xml:space="preserve">crown-of-thorns starfish control program; </w:t>
      </w:r>
    </w:p>
    <w:p w14:paraId="2F4A84E4" w14:textId="77777777" w:rsidR="005825E1" w:rsidRPr="00EF7777" w:rsidRDefault="005825E1" w:rsidP="005825E1">
      <w:pPr>
        <w:pStyle w:val="ListParagraph"/>
        <w:numPr>
          <w:ilvl w:val="0"/>
          <w:numId w:val="9"/>
        </w:numPr>
        <w:rPr>
          <w:rFonts w:ascii="Arial" w:hAnsi="Arial" w:cs="Arial"/>
        </w:rPr>
      </w:pPr>
      <w:r w:rsidRPr="00EF7777">
        <w:rPr>
          <w:rFonts w:ascii="Arial" w:hAnsi="Arial" w:cs="Arial"/>
        </w:rPr>
        <w:t xml:space="preserve">water quality monitoring and improvement; </w:t>
      </w:r>
    </w:p>
    <w:p w14:paraId="58D8F6CB" w14:textId="77777777" w:rsidR="005825E1" w:rsidRPr="00EF7777" w:rsidRDefault="005825E1" w:rsidP="005825E1">
      <w:pPr>
        <w:pStyle w:val="ListParagraph"/>
        <w:numPr>
          <w:ilvl w:val="0"/>
          <w:numId w:val="9"/>
        </w:numPr>
        <w:rPr>
          <w:rFonts w:ascii="Arial" w:hAnsi="Arial" w:cs="Arial"/>
        </w:rPr>
      </w:pPr>
      <w:r w:rsidRPr="00EF7777">
        <w:rPr>
          <w:rFonts w:ascii="Arial" w:hAnsi="Arial" w:cs="Arial"/>
        </w:rPr>
        <w:t xml:space="preserve">zoning; </w:t>
      </w:r>
    </w:p>
    <w:p w14:paraId="1680AD07" w14:textId="77777777" w:rsidR="005825E1" w:rsidRPr="00EF7777" w:rsidRDefault="005825E1" w:rsidP="005825E1">
      <w:pPr>
        <w:pStyle w:val="ListParagraph"/>
        <w:numPr>
          <w:ilvl w:val="0"/>
          <w:numId w:val="9"/>
        </w:numPr>
        <w:rPr>
          <w:rFonts w:ascii="Arial" w:hAnsi="Arial" w:cs="Arial"/>
        </w:rPr>
      </w:pPr>
      <w:r w:rsidRPr="00EF7777">
        <w:rPr>
          <w:rFonts w:ascii="Arial" w:hAnsi="Arial" w:cs="Arial"/>
        </w:rPr>
        <w:t xml:space="preserve">coral bleaching response; </w:t>
      </w:r>
    </w:p>
    <w:p w14:paraId="617AB2DE" w14:textId="77777777" w:rsidR="005825E1" w:rsidRPr="00EF7777" w:rsidRDefault="005825E1" w:rsidP="005825E1">
      <w:pPr>
        <w:pStyle w:val="ListParagraph"/>
        <w:numPr>
          <w:ilvl w:val="0"/>
          <w:numId w:val="9"/>
        </w:numPr>
        <w:rPr>
          <w:rFonts w:ascii="Arial" w:hAnsi="Arial" w:cs="Arial"/>
        </w:rPr>
      </w:pPr>
      <w:r w:rsidRPr="00EF7777">
        <w:rPr>
          <w:rFonts w:ascii="Arial" w:hAnsi="Arial" w:cs="Arial"/>
        </w:rPr>
        <w:t xml:space="preserve">monitoring and reporting; and </w:t>
      </w:r>
    </w:p>
    <w:p w14:paraId="3B2CD9DF" w14:textId="77777777" w:rsidR="005825E1" w:rsidRPr="00EF7777" w:rsidRDefault="005825E1" w:rsidP="005825E1">
      <w:pPr>
        <w:pStyle w:val="ListParagraph"/>
        <w:numPr>
          <w:ilvl w:val="0"/>
          <w:numId w:val="9"/>
        </w:numPr>
        <w:rPr>
          <w:rFonts w:ascii="Arial" w:hAnsi="Arial" w:cs="Arial"/>
        </w:rPr>
      </w:pPr>
      <w:proofErr w:type="gramStart"/>
      <w:r w:rsidRPr="00EF7777">
        <w:rPr>
          <w:rFonts w:ascii="Arial" w:hAnsi="Arial" w:cs="Arial"/>
        </w:rPr>
        <w:t>compliance</w:t>
      </w:r>
      <w:proofErr w:type="gramEnd"/>
      <w:r w:rsidRPr="00EF7777">
        <w:rPr>
          <w:rFonts w:ascii="Arial" w:hAnsi="Arial" w:cs="Arial"/>
        </w:rPr>
        <w:t xml:space="preserve"> and enforcement.</w:t>
      </w:r>
    </w:p>
    <w:p w14:paraId="521536A7" w14:textId="60785BE8" w:rsidR="005825E1" w:rsidRDefault="00DC6C08" w:rsidP="00F30941">
      <w:pPr>
        <w:rPr>
          <w:rFonts w:ascii="Arial" w:hAnsi="Arial" w:cs="Arial"/>
        </w:rPr>
      </w:pPr>
      <w:r>
        <w:rPr>
          <w:rFonts w:ascii="Arial" w:hAnsi="Arial" w:cs="Arial"/>
        </w:rPr>
        <w:t>GBRMPA</w:t>
      </w:r>
      <w:r w:rsidR="005825E1" w:rsidRPr="005659CE">
        <w:rPr>
          <w:rFonts w:ascii="Arial" w:hAnsi="Arial" w:cs="Arial"/>
        </w:rPr>
        <w:t xml:space="preserve"> also provided technical assistance to 13 international institutions on the subject of environmental management</w:t>
      </w:r>
      <w:r w:rsidR="00F30941">
        <w:rPr>
          <w:rFonts w:ascii="Arial" w:hAnsi="Arial" w:cs="Arial"/>
        </w:rPr>
        <w:t>;</w:t>
      </w:r>
      <w:r w:rsidR="005825E1" w:rsidRPr="00EF7777">
        <w:rPr>
          <w:rFonts w:ascii="Arial" w:hAnsi="Arial" w:cs="Arial"/>
        </w:rPr>
        <w:t xml:space="preserve"> participated in the 30th International Coral Reef Initiative General Meeting</w:t>
      </w:r>
      <w:r w:rsidR="00F30941">
        <w:rPr>
          <w:rFonts w:ascii="Arial" w:hAnsi="Arial" w:cs="Arial"/>
        </w:rPr>
        <w:t>;</w:t>
      </w:r>
      <w:r w:rsidR="005825E1" w:rsidRPr="00EF7777">
        <w:rPr>
          <w:rFonts w:ascii="Arial" w:hAnsi="Arial" w:cs="Arial"/>
        </w:rPr>
        <w:t xml:space="preserve"> the 5th International Tropical Marine Ecosystems Management Symposium</w:t>
      </w:r>
      <w:r w:rsidR="00F30941">
        <w:rPr>
          <w:rFonts w:ascii="Arial" w:hAnsi="Arial" w:cs="Arial"/>
        </w:rPr>
        <w:t>;</w:t>
      </w:r>
      <w:r w:rsidR="005825E1" w:rsidRPr="00EF7777">
        <w:rPr>
          <w:rFonts w:ascii="Arial" w:hAnsi="Arial" w:cs="Arial"/>
        </w:rPr>
        <w:t xml:space="preserve"> the Big Ocean Partnerships 7th Network Business Meeting</w:t>
      </w:r>
      <w:r w:rsidR="00F30941">
        <w:rPr>
          <w:rFonts w:ascii="Arial" w:hAnsi="Arial" w:cs="Arial"/>
        </w:rPr>
        <w:t>;</w:t>
      </w:r>
      <w:r w:rsidR="005825E1" w:rsidRPr="00EF7777">
        <w:rPr>
          <w:rFonts w:ascii="Arial" w:hAnsi="Arial" w:cs="Arial"/>
        </w:rPr>
        <w:t xml:space="preserve"> and the 13th International Coral Reef Symposium. </w:t>
      </w:r>
    </w:p>
    <w:p w14:paraId="12DE7D16" w14:textId="63A8D11B" w:rsidR="005825E1" w:rsidRPr="00EF7777" w:rsidRDefault="005825E1" w:rsidP="005825E1">
      <w:pPr>
        <w:rPr>
          <w:rFonts w:ascii="Arial" w:hAnsi="Arial" w:cs="Arial"/>
        </w:rPr>
      </w:pPr>
      <w:r w:rsidRPr="00EF7777">
        <w:rPr>
          <w:rFonts w:ascii="Arial" w:hAnsi="Arial" w:cs="Arial"/>
        </w:rPr>
        <w:t xml:space="preserve">Two </w:t>
      </w:r>
      <w:r w:rsidR="00DC6C08">
        <w:rPr>
          <w:rFonts w:ascii="Arial" w:hAnsi="Arial" w:cs="Arial"/>
        </w:rPr>
        <w:t>GBRMPA</w:t>
      </w:r>
      <w:r w:rsidRPr="00EF7777">
        <w:rPr>
          <w:rFonts w:ascii="Arial" w:hAnsi="Arial" w:cs="Arial"/>
        </w:rPr>
        <w:t xml:space="preserve"> staff attended a think tank on the </w:t>
      </w:r>
      <w:r>
        <w:rPr>
          <w:rFonts w:ascii="Arial" w:hAnsi="Arial" w:cs="Arial"/>
        </w:rPr>
        <w:t>h</w:t>
      </w:r>
      <w:r w:rsidRPr="00EF7777">
        <w:rPr>
          <w:rFonts w:ascii="Arial" w:hAnsi="Arial" w:cs="Arial"/>
        </w:rPr>
        <w:t xml:space="preserve">uman </w:t>
      </w:r>
      <w:r>
        <w:rPr>
          <w:rFonts w:ascii="Arial" w:hAnsi="Arial" w:cs="Arial"/>
        </w:rPr>
        <w:t>d</w:t>
      </w:r>
      <w:r w:rsidRPr="00EF7777">
        <w:rPr>
          <w:rFonts w:ascii="Arial" w:hAnsi="Arial" w:cs="Arial"/>
        </w:rPr>
        <w:t xml:space="preserve">imensions of Large-scale Marine Protected Areas, facilitated by the Big Ocean network and the United States National Oceanic and Atmospheric Administration. The ‘human dimensions’ (social, cultural, political, economic and institutional aspects) of natural resource management </w:t>
      </w:r>
      <w:r w:rsidR="00C7474B">
        <w:rPr>
          <w:rFonts w:ascii="Arial" w:hAnsi="Arial" w:cs="Arial"/>
        </w:rPr>
        <w:t xml:space="preserve">is </w:t>
      </w:r>
      <w:r w:rsidRPr="00EF7777">
        <w:rPr>
          <w:rFonts w:ascii="Arial" w:hAnsi="Arial" w:cs="Arial"/>
        </w:rPr>
        <w:t xml:space="preserve">increasingly </w:t>
      </w:r>
      <w:r w:rsidR="00C7474B">
        <w:rPr>
          <w:rFonts w:ascii="Arial" w:hAnsi="Arial" w:cs="Arial"/>
        </w:rPr>
        <w:t xml:space="preserve">a </w:t>
      </w:r>
      <w:r w:rsidRPr="00EF7777">
        <w:rPr>
          <w:rFonts w:ascii="Arial" w:hAnsi="Arial" w:cs="Arial"/>
        </w:rPr>
        <w:t>feature in the science that underpins protected area management.</w:t>
      </w:r>
    </w:p>
    <w:p w14:paraId="27AFFF06" w14:textId="391D6DDB" w:rsidR="005825E1" w:rsidRDefault="00DC6C08" w:rsidP="005825E1">
      <w:pPr>
        <w:rPr>
          <w:rFonts w:ascii="Arial" w:hAnsi="Arial" w:cs="Arial"/>
        </w:rPr>
      </w:pPr>
      <w:r>
        <w:rPr>
          <w:rFonts w:ascii="Arial" w:hAnsi="Arial" w:cs="Arial"/>
        </w:rPr>
        <w:t>GBRMPA</w:t>
      </w:r>
      <w:r w:rsidR="005825E1" w:rsidRPr="00EF7777">
        <w:rPr>
          <w:rFonts w:ascii="Arial" w:hAnsi="Arial" w:cs="Arial"/>
        </w:rPr>
        <w:t xml:space="preserve"> </w:t>
      </w:r>
      <w:r w:rsidR="005825E1">
        <w:rPr>
          <w:rFonts w:ascii="Arial" w:hAnsi="Arial" w:cs="Arial"/>
        </w:rPr>
        <w:t>also supports, as needed,</w:t>
      </w:r>
      <w:r w:rsidR="005825E1" w:rsidRPr="00EF7777">
        <w:rPr>
          <w:rFonts w:ascii="Arial" w:hAnsi="Arial" w:cs="Arial"/>
        </w:rPr>
        <w:t xml:space="preserve"> the Department of the Environment and Energy’s engagement with the London Protocol Secretariat; International Maritime Organisation; and London Protocol/Convention member parties. No contributions were required in 2015-16 and there was no </w:t>
      </w:r>
      <w:r w:rsidR="005825E1">
        <w:rPr>
          <w:rFonts w:ascii="Arial" w:hAnsi="Arial" w:cs="Arial"/>
        </w:rPr>
        <w:t>specific i</w:t>
      </w:r>
      <w:r w:rsidR="005825E1" w:rsidRPr="00EF7777">
        <w:rPr>
          <w:rFonts w:ascii="Arial" w:hAnsi="Arial" w:cs="Arial"/>
        </w:rPr>
        <w:t>nternational engagement relating to dredge disposal through conferences.</w:t>
      </w:r>
    </w:p>
    <w:p w14:paraId="130A23F1" w14:textId="4E29C672" w:rsidR="00C7474B" w:rsidRPr="00DF7743" w:rsidRDefault="00C7474B" w:rsidP="005825E1">
      <w:pPr>
        <w:rPr>
          <w:rFonts w:ascii="Arial" w:hAnsi="Arial" w:cs="Arial"/>
          <w:i/>
        </w:rPr>
      </w:pPr>
      <w:r w:rsidRPr="00DF7743">
        <w:rPr>
          <w:rFonts w:ascii="Arial" w:hAnsi="Arial" w:cs="Arial"/>
          <w:i/>
        </w:rPr>
        <w:t>Information services</w:t>
      </w:r>
    </w:p>
    <w:p w14:paraId="359067EB" w14:textId="2EEF2CD2" w:rsidR="005825E1" w:rsidRPr="00FC2343" w:rsidRDefault="00DC6C08" w:rsidP="00FC2343">
      <w:pPr>
        <w:rPr>
          <w:rFonts w:ascii="Arial" w:hAnsi="Arial" w:cs="Arial"/>
        </w:rPr>
      </w:pPr>
      <w:r>
        <w:rPr>
          <w:rFonts w:ascii="Arial" w:hAnsi="Arial" w:cs="Arial"/>
        </w:rPr>
        <w:t xml:space="preserve">To support environment-scanning </w:t>
      </w:r>
      <w:r w:rsidR="00FC2343" w:rsidRPr="00FC2343">
        <w:rPr>
          <w:rFonts w:ascii="Arial" w:hAnsi="Arial" w:cs="Arial"/>
        </w:rPr>
        <w:t>GBRMPA subscribes to</w:t>
      </w:r>
      <w:r w:rsidR="005825E1" w:rsidRPr="00FC2343">
        <w:rPr>
          <w:rFonts w:ascii="Arial" w:hAnsi="Arial" w:cs="Arial"/>
        </w:rPr>
        <w:t xml:space="preserve"> 20 alerting services from the following providers:</w:t>
      </w:r>
    </w:p>
    <w:p w14:paraId="7FEF6068" w14:textId="28E8EA81" w:rsidR="005825E1" w:rsidRPr="00074B85" w:rsidRDefault="005825E1" w:rsidP="00074B85">
      <w:pPr>
        <w:pStyle w:val="ListParagraph"/>
        <w:numPr>
          <w:ilvl w:val="0"/>
          <w:numId w:val="9"/>
        </w:numPr>
        <w:rPr>
          <w:rFonts w:ascii="Arial" w:hAnsi="Arial" w:cs="Arial"/>
        </w:rPr>
      </w:pPr>
      <w:r w:rsidRPr="00074B85">
        <w:rPr>
          <w:rFonts w:ascii="Arial" w:hAnsi="Arial" w:cs="Arial"/>
        </w:rPr>
        <w:t>Attorney-General’s Department</w:t>
      </w:r>
    </w:p>
    <w:p w14:paraId="1D528545" w14:textId="52C9AC88" w:rsidR="005825E1" w:rsidRPr="00074B85" w:rsidRDefault="005825E1" w:rsidP="00074B85">
      <w:pPr>
        <w:pStyle w:val="ListParagraph"/>
        <w:numPr>
          <w:ilvl w:val="0"/>
          <w:numId w:val="9"/>
        </w:numPr>
        <w:rPr>
          <w:rFonts w:ascii="Arial" w:hAnsi="Arial" w:cs="Arial"/>
        </w:rPr>
      </w:pPr>
      <w:r w:rsidRPr="00074B85">
        <w:rPr>
          <w:rFonts w:ascii="Arial" w:hAnsi="Arial" w:cs="Arial"/>
        </w:rPr>
        <w:t xml:space="preserve">Auditing and Assurance Standards Board </w:t>
      </w:r>
    </w:p>
    <w:p w14:paraId="01CF7BEA" w14:textId="1DECC88E" w:rsidR="005825E1" w:rsidRPr="00074B85" w:rsidRDefault="005825E1" w:rsidP="00074B85">
      <w:pPr>
        <w:pStyle w:val="ListParagraph"/>
        <w:numPr>
          <w:ilvl w:val="0"/>
          <w:numId w:val="9"/>
        </w:numPr>
        <w:rPr>
          <w:rFonts w:ascii="Arial" w:hAnsi="Arial" w:cs="Arial"/>
        </w:rPr>
      </w:pPr>
      <w:r w:rsidRPr="00074B85">
        <w:rPr>
          <w:rFonts w:ascii="Arial" w:hAnsi="Arial" w:cs="Arial"/>
        </w:rPr>
        <w:t xml:space="preserve">Australian Accounting Standards Board </w:t>
      </w:r>
    </w:p>
    <w:p w14:paraId="0FD17D4D" w14:textId="323BDDA8" w:rsidR="005825E1" w:rsidRPr="00074B85" w:rsidRDefault="00FC2343" w:rsidP="00074B85">
      <w:pPr>
        <w:pStyle w:val="ListParagraph"/>
        <w:numPr>
          <w:ilvl w:val="0"/>
          <w:numId w:val="9"/>
        </w:numPr>
        <w:rPr>
          <w:rFonts w:ascii="Arial" w:hAnsi="Arial" w:cs="Arial"/>
        </w:rPr>
      </w:pPr>
      <w:r w:rsidRPr="00074B85">
        <w:rPr>
          <w:rFonts w:ascii="Arial" w:hAnsi="Arial" w:cs="Arial"/>
        </w:rPr>
        <w:t>Australian Government Solicitor</w:t>
      </w:r>
    </w:p>
    <w:p w14:paraId="72C0BCC7" w14:textId="7F3A1C18" w:rsidR="005825E1" w:rsidRPr="00074B85" w:rsidRDefault="00FC2343" w:rsidP="00074B85">
      <w:pPr>
        <w:pStyle w:val="ListParagraph"/>
        <w:numPr>
          <w:ilvl w:val="0"/>
          <w:numId w:val="9"/>
        </w:numPr>
        <w:rPr>
          <w:rFonts w:ascii="Arial" w:hAnsi="Arial" w:cs="Arial"/>
        </w:rPr>
      </w:pPr>
      <w:r w:rsidRPr="00074B85">
        <w:rPr>
          <w:rFonts w:ascii="Arial" w:hAnsi="Arial" w:cs="Arial"/>
        </w:rPr>
        <w:t>Australian National Audit Office</w:t>
      </w:r>
    </w:p>
    <w:p w14:paraId="67170BE9" w14:textId="0AFD2BD8" w:rsidR="005825E1" w:rsidRPr="00074B85" w:rsidRDefault="005825E1" w:rsidP="00074B85">
      <w:pPr>
        <w:pStyle w:val="ListParagraph"/>
        <w:numPr>
          <w:ilvl w:val="0"/>
          <w:numId w:val="9"/>
        </w:numPr>
        <w:rPr>
          <w:rFonts w:ascii="Arial" w:hAnsi="Arial" w:cs="Arial"/>
        </w:rPr>
      </w:pPr>
      <w:r w:rsidRPr="00074B85">
        <w:rPr>
          <w:rFonts w:ascii="Arial" w:hAnsi="Arial" w:cs="Arial"/>
        </w:rPr>
        <w:t>Australian Public Service Commissi</w:t>
      </w:r>
      <w:r w:rsidR="00FC2343" w:rsidRPr="00074B85">
        <w:rPr>
          <w:rFonts w:ascii="Arial" w:hAnsi="Arial" w:cs="Arial"/>
        </w:rPr>
        <w:t>on</w:t>
      </w:r>
    </w:p>
    <w:p w14:paraId="7A30DFF4" w14:textId="367DACFF" w:rsidR="005825E1" w:rsidRPr="00074B85" w:rsidRDefault="00FC2343" w:rsidP="00074B85">
      <w:pPr>
        <w:pStyle w:val="ListParagraph"/>
        <w:numPr>
          <w:ilvl w:val="0"/>
          <w:numId w:val="9"/>
        </w:numPr>
        <w:rPr>
          <w:rFonts w:ascii="Arial" w:hAnsi="Arial" w:cs="Arial"/>
        </w:rPr>
      </w:pPr>
      <w:r w:rsidRPr="00074B85">
        <w:rPr>
          <w:rFonts w:ascii="Arial" w:hAnsi="Arial" w:cs="Arial"/>
        </w:rPr>
        <w:t>Department of Finance</w:t>
      </w:r>
    </w:p>
    <w:p w14:paraId="400C8C93" w14:textId="482C3DB7" w:rsidR="005825E1" w:rsidRPr="00074B85" w:rsidRDefault="005825E1" w:rsidP="00074B85">
      <w:pPr>
        <w:pStyle w:val="ListParagraph"/>
        <w:numPr>
          <w:ilvl w:val="0"/>
          <w:numId w:val="9"/>
        </w:numPr>
        <w:rPr>
          <w:rFonts w:ascii="Arial" w:hAnsi="Arial" w:cs="Arial"/>
        </w:rPr>
      </w:pPr>
      <w:r w:rsidRPr="00074B85">
        <w:rPr>
          <w:rFonts w:ascii="Arial" w:hAnsi="Arial" w:cs="Arial"/>
        </w:rPr>
        <w:t>National Archives of Australia</w:t>
      </w:r>
    </w:p>
    <w:p w14:paraId="3C79C3D6" w14:textId="64488113" w:rsidR="005825E1" w:rsidRPr="00074B85" w:rsidRDefault="005825E1" w:rsidP="00074B85">
      <w:pPr>
        <w:pStyle w:val="ListParagraph"/>
        <w:numPr>
          <w:ilvl w:val="0"/>
          <w:numId w:val="9"/>
        </w:numPr>
        <w:rPr>
          <w:rFonts w:ascii="Arial" w:hAnsi="Arial" w:cs="Arial"/>
        </w:rPr>
      </w:pPr>
      <w:r w:rsidRPr="00074B85">
        <w:rPr>
          <w:rFonts w:ascii="Arial" w:hAnsi="Arial" w:cs="Arial"/>
        </w:rPr>
        <w:t xml:space="preserve">PS News </w:t>
      </w:r>
    </w:p>
    <w:p w14:paraId="265AB9D1" w14:textId="32DD4392" w:rsidR="005825E1" w:rsidRPr="00074B85" w:rsidRDefault="005825E1" w:rsidP="00074B85">
      <w:pPr>
        <w:pStyle w:val="ListParagraph"/>
        <w:numPr>
          <w:ilvl w:val="0"/>
          <w:numId w:val="9"/>
        </w:numPr>
        <w:rPr>
          <w:rFonts w:ascii="Arial" w:hAnsi="Arial" w:cs="Arial"/>
        </w:rPr>
      </w:pPr>
      <w:r w:rsidRPr="00074B85">
        <w:rPr>
          <w:rFonts w:ascii="Arial" w:hAnsi="Arial" w:cs="Arial"/>
        </w:rPr>
        <w:t xml:space="preserve">Office of the Queensland Parliamentary Counsel (no </w:t>
      </w:r>
      <w:r w:rsidR="00FC2343" w:rsidRPr="00074B85">
        <w:rPr>
          <w:rFonts w:ascii="Arial" w:hAnsi="Arial" w:cs="Arial"/>
        </w:rPr>
        <w:t>alerting service;</w:t>
      </w:r>
      <w:r w:rsidRPr="00074B85">
        <w:rPr>
          <w:rFonts w:ascii="Arial" w:hAnsi="Arial" w:cs="Arial"/>
        </w:rPr>
        <w:t xml:space="preserve"> requires a manual search)</w:t>
      </w:r>
    </w:p>
    <w:p w14:paraId="01974EF0" w14:textId="4C418658" w:rsidR="005825E1" w:rsidRPr="00074B85" w:rsidRDefault="005825E1" w:rsidP="00074B85">
      <w:pPr>
        <w:pStyle w:val="ListParagraph"/>
        <w:numPr>
          <w:ilvl w:val="0"/>
          <w:numId w:val="9"/>
        </w:numPr>
        <w:rPr>
          <w:rFonts w:ascii="Arial" w:hAnsi="Arial" w:cs="Arial"/>
        </w:rPr>
      </w:pPr>
      <w:r w:rsidRPr="00074B85">
        <w:rPr>
          <w:rFonts w:ascii="Arial" w:hAnsi="Arial" w:cs="Arial"/>
        </w:rPr>
        <w:t>Australian Government Remuneration Tribunal</w:t>
      </w:r>
    </w:p>
    <w:p w14:paraId="24BBEFA8" w14:textId="08CBB843" w:rsidR="005825E1" w:rsidRPr="00074B85" w:rsidRDefault="005825E1" w:rsidP="00074B85">
      <w:pPr>
        <w:pStyle w:val="ListParagraph"/>
        <w:numPr>
          <w:ilvl w:val="0"/>
          <w:numId w:val="9"/>
        </w:numPr>
        <w:rPr>
          <w:rFonts w:ascii="Arial" w:hAnsi="Arial" w:cs="Arial"/>
        </w:rPr>
      </w:pPr>
      <w:r w:rsidRPr="00074B85">
        <w:rPr>
          <w:rFonts w:ascii="Arial" w:hAnsi="Arial" w:cs="Arial"/>
        </w:rPr>
        <w:t>Standards Australia Limited, and</w:t>
      </w:r>
    </w:p>
    <w:p w14:paraId="58E5C8C9" w14:textId="0A689119" w:rsidR="005825E1" w:rsidRPr="00074B85" w:rsidRDefault="005825E1" w:rsidP="00074B85">
      <w:pPr>
        <w:pStyle w:val="ListParagraph"/>
        <w:numPr>
          <w:ilvl w:val="0"/>
          <w:numId w:val="9"/>
        </w:numPr>
        <w:rPr>
          <w:rFonts w:ascii="Arial" w:hAnsi="Arial" w:cs="Arial"/>
        </w:rPr>
      </w:pPr>
      <w:r w:rsidRPr="00074B85">
        <w:rPr>
          <w:rFonts w:ascii="Arial" w:hAnsi="Arial" w:cs="Arial"/>
        </w:rPr>
        <w:lastRenderedPageBreak/>
        <w:t>Safe Work Australia</w:t>
      </w:r>
    </w:p>
    <w:p w14:paraId="3999EA13" w14:textId="4DA4CB4C" w:rsidR="00C7474B" w:rsidRPr="00074B85" w:rsidRDefault="00074B85" w:rsidP="00074B85">
      <w:pPr>
        <w:rPr>
          <w:rFonts w:ascii="Arial" w:hAnsi="Arial" w:cs="Arial"/>
        </w:rPr>
      </w:pPr>
      <w:r w:rsidRPr="00074B85">
        <w:rPr>
          <w:rFonts w:ascii="Arial" w:hAnsi="Arial" w:cs="Arial"/>
        </w:rPr>
        <w:t>The daily media clips, with a summary of the key issues, are emailed to all GBRMPA staff and made available on our electronic document recording system.</w:t>
      </w:r>
    </w:p>
    <w:p w14:paraId="14402115" w14:textId="77777777" w:rsidR="00074B85" w:rsidRDefault="00074B85" w:rsidP="00074B85">
      <w:pPr>
        <w:rPr>
          <w:rFonts w:ascii="Arial" w:hAnsi="Arial" w:cs="Arial"/>
        </w:rPr>
      </w:pPr>
      <w:r>
        <w:rPr>
          <w:rFonts w:ascii="Arial" w:hAnsi="Arial" w:cs="Arial"/>
        </w:rPr>
        <w:t>GBRMPA has a science coordination area that provides r</w:t>
      </w:r>
      <w:r w:rsidRPr="00074B85">
        <w:rPr>
          <w:rFonts w:ascii="Arial" w:hAnsi="Arial" w:cs="Arial"/>
        </w:rPr>
        <w:t>egular information dissemination on scienti</w:t>
      </w:r>
      <w:r>
        <w:rPr>
          <w:rFonts w:ascii="Arial" w:hAnsi="Arial" w:cs="Arial"/>
        </w:rPr>
        <w:t>fic and other journals, for example, a</w:t>
      </w:r>
      <w:r w:rsidRPr="00074B85">
        <w:rPr>
          <w:rFonts w:ascii="Arial" w:hAnsi="Arial" w:cs="Arial"/>
        </w:rPr>
        <w:t xml:space="preserve">n article was circulated to relevant staff on the impact of dredging-related sediment on corals. </w:t>
      </w:r>
    </w:p>
    <w:p w14:paraId="4B64AC39" w14:textId="3F9A12A6" w:rsidR="00074B85" w:rsidRPr="00074B85" w:rsidRDefault="008D6DE4" w:rsidP="00074B85">
      <w:pPr>
        <w:rPr>
          <w:rFonts w:ascii="Arial" w:hAnsi="Arial" w:cs="Arial"/>
        </w:rPr>
      </w:pPr>
      <w:r>
        <w:rPr>
          <w:rFonts w:ascii="Arial" w:hAnsi="Arial" w:cs="Arial"/>
        </w:rPr>
        <w:t xml:space="preserve">Twenty-eight </w:t>
      </w:r>
      <w:r w:rsidR="00074B85" w:rsidRPr="00074B85">
        <w:rPr>
          <w:rFonts w:ascii="Arial" w:hAnsi="Arial" w:cs="Arial"/>
        </w:rPr>
        <w:t xml:space="preserve">relevant scientific reports and papers were </w:t>
      </w:r>
      <w:r w:rsidR="00074B85">
        <w:rPr>
          <w:rFonts w:ascii="Arial" w:hAnsi="Arial" w:cs="Arial"/>
        </w:rPr>
        <w:t xml:space="preserve">also </w:t>
      </w:r>
      <w:r w:rsidR="00074B85" w:rsidRPr="00074B85">
        <w:rPr>
          <w:rFonts w:ascii="Arial" w:hAnsi="Arial" w:cs="Arial"/>
        </w:rPr>
        <w:t xml:space="preserve">summarised and disseminated to GBRMPA staff. Twenty seminars of relevant science </w:t>
      </w:r>
      <w:r w:rsidR="00074B85">
        <w:rPr>
          <w:rFonts w:ascii="Arial" w:hAnsi="Arial" w:cs="Arial"/>
        </w:rPr>
        <w:t xml:space="preserve">for management </w:t>
      </w:r>
      <w:r w:rsidR="00074B85" w:rsidRPr="00074B85">
        <w:rPr>
          <w:rFonts w:ascii="Arial" w:hAnsi="Arial" w:cs="Arial"/>
        </w:rPr>
        <w:t xml:space="preserve">were given by scientists as part of the GBRMPA seminar series. </w:t>
      </w:r>
    </w:p>
    <w:p w14:paraId="702FD288" w14:textId="26E7374B" w:rsidR="00074B85" w:rsidRPr="00074B85" w:rsidRDefault="00074B85" w:rsidP="00074B85">
      <w:pPr>
        <w:rPr>
          <w:rFonts w:ascii="Arial" w:hAnsi="Arial" w:cs="Arial"/>
        </w:rPr>
      </w:pPr>
      <w:r w:rsidRPr="00074B85">
        <w:rPr>
          <w:rFonts w:ascii="Arial" w:hAnsi="Arial" w:cs="Arial"/>
        </w:rPr>
        <w:t xml:space="preserve">RefWorks </w:t>
      </w:r>
      <w:r>
        <w:rPr>
          <w:rFonts w:ascii="Arial" w:hAnsi="Arial" w:cs="Arial"/>
        </w:rPr>
        <w:t>is used as</w:t>
      </w:r>
      <w:r w:rsidRPr="00074B85">
        <w:rPr>
          <w:rFonts w:ascii="Arial" w:hAnsi="Arial" w:cs="Arial"/>
        </w:rPr>
        <w:t xml:space="preserve"> the access tool for GBRMPA scientific paper and report collection.</w:t>
      </w:r>
    </w:p>
    <w:p w14:paraId="68060091" w14:textId="5146FC31" w:rsidR="00FC2343" w:rsidRDefault="00067CB2" w:rsidP="00FC2343">
      <w:pPr>
        <w:rPr>
          <w:rFonts w:ascii="Arial" w:hAnsi="Arial" w:cs="Arial"/>
        </w:rPr>
      </w:pPr>
      <w:r>
        <w:rPr>
          <w:rFonts w:ascii="Arial" w:hAnsi="Arial" w:cs="Arial"/>
        </w:rPr>
        <w:t>While not covered within the scope of the RPF, w</w:t>
      </w:r>
      <w:r w:rsidR="005825E1" w:rsidRPr="00FC2343">
        <w:rPr>
          <w:rFonts w:ascii="Arial" w:hAnsi="Arial" w:cs="Arial"/>
        </w:rPr>
        <w:t xml:space="preserve">ithin the 2015-16 financial </w:t>
      </w:r>
      <w:proofErr w:type="gramStart"/>
      <w:r w:rsidR="005825E1" w:rsidRPr="00FC2343">
        <w:rPr>
          <w:rFonts w:ascii="Arial" w:hAnsi="Arial" w:cs="Arial"/>
        </w:rPr>
        <w:t>year</w:t>
      </w:r>
      <w:proofErr w:type="gramEnd"/>
      <w:r w:rsidR="005825E1" w:rsidRPr="00FC2343">
        <w:rPr>
          <w:rFonts w:ascii="Arial" w:hAnsi="Arial" w:cs="Arial"/>
        </w:rPr>
        <w:t xml:space="preserve">, GBRMPA also initiated and completed an audit of internal ‘quality documents’ which resulted in the identification and inclusion within our register of a comprehensive list of: </w:t>
      </w:r>
    </w:p>
    <w:p w14:paraId="4CDB497F" w14:textId="28240062" w:rsidR="00FC2343" w:rsidRPr="00074B85" w:rsidRDefault="005825E1" w:rsidP="00074B85">
      <w:pPr>
        <w:pStyle w:val="ListParagraph"/>
        <w:numPr>
          <w:ilvl w:val="0"/>
          <w:numId w:val="9"/>
        </w:numPr>
        <w:rPr>
          <w:rFonts w:ascii="Arial" w:hAnsi="Arial" w:cs="Arial"/>
        </w:rPr>
      </w:pPr>
      <w:r w:rsidRPr="00074B85">
        <w:rPr>
          <w:rFonts w:ascii="Arial" w:hAnsi="Arial" w:cs="Arial"/>
        </w:rPr>
        <w:t>gove</w:t>
      </w:r>
      <w:r w:rsidR="00975AA7">
        <w:rPr>
          <w:rFonts w:ascii="Arial" w:hAnsi="Arial" w:cs="Arial"/>
        </w:rPr>
        <w:t>rning/ influential legislation;</w:t>
      </w:r>
    </w:p>
    <w:p w14:paraId="65AE7172" w14:textId="18FD4795" w:rsidR="00FC2343" w:rsidRPr="00074B85" w:rsidRDefault="005825E1" w:rsidP="00074B85">
      <w:pPr>
        <w:pStyle w:val="ListParagraph"/>
        <w:numPr>
          <w:ilvl w:val="0"/>
          <w:numId w:val="9"/>
        </w:numPr>
        <w:rPr>
          <w:rFonts w:ascii="Arial" w:hAnsi="Arial" w:cs="Arial"/>
        </w:rPr>
      </w:pPr>
      <w:r w:rsidRPr="00074B85">
        <w:rPr>
          <w:rFonts w:ascii="Arial" w:hAnsi="Arial" w:cs="Arial"/>
        </w:rPr>
        <w:t>whole o</w:t>
      </w:r>
      <w:r w:rsidR="00975AA7">
        <w:rPr>
          <w:rFonts w:ascii="Arial" w:hAnsi="Arial" w:cs="Arial"/>
        </w:rPr>
        <w:t>f Australian Government policy;</w:t>
      </w:r>
    </w:p>
    <w:p w14:paraId="596BC664" w14:textId="001DA205" w:rsidR="00FC2343" w:rsidRPr="00074B85" w:rsidRDefault="00975AA7" w:rsidP="00074B85">
      <w:pPr>
        <w:pStyle w:val="ListParagraph"/>
        <w:numPr>
          <w:ilvl w:val="0"/>
          <w:numId w:val="9"/>
        </w:numPr>
        <w:rPr>
          <w:rFonts w:ascii="Arial" w:hAnsi="Arial" w:cs="Arial"/>
        </w:rPr>
      </w:pPr>
      <w:r w:rsidRPr="00074B85">
        <w:rPr>
          <w:rFonts w:ascii="Arial" w:hAnsi="Arial" w:cs="Arial"/>
        </w:rPr>
        <w:t>S</w:t>
      </w:r>
      <w:r w:rsidR="005825E1" w:rsidRPr="00074B85">
        <w:rPr>
          <w:rFonts w:ascii="Arial" w:hAnsi="Arial" w:cs="Arial"/>
        </w:rPr>
        <w:t>tandards</w:t>
      </w:r>
      <w:r>
        <w:rPr>
          <w:rFonts w:ascii="Arial" w:hAnsi="Arial" w:cs="Arial"/>
        </w:rPr>
        <w:t>;</w:t>
      </w:r>
      <w:r w:rsidR="005825E1" w:rsidRPr="00074B85">
        <w:rPr>
          <w:rFonts w:ascii="Arial" w:hAnsi="Arial" w:cs="Arial"/>
        </w:rPr>
        <w:t xml:space="preserve"> and </w:t>
      </w:r>
    </w:p>
    <w:p w14:paraId="0254BAAD" w14:textId="15D827B2" w:rsidR="005825E1" w:rsidRPr="00074B85" w:rsidRDefault="00975AA7" w:rsidP="00074B85">
      <w:pPr>
        <w:pStyle w:val="ListParagraph"/>
        <w:numPr>
          <w:ilvl w:val="0"/>
          <w:numId w:val="9"/>
        </w:numPr>
        <w:rPr>
          <w:rFonts w:ascii="Arial" w:hAnsi="Arial" w:cs="Arial"/>
        </w:rPr>
      </w:pPr>
      <w:r>
        <w:rPr>
          <w:rFonts w:ascii="Arial" w:hAnsi="Arial" w:cs="Arial"/>
        </w:rPr>
        <w:t>Codes of Practice.</w:t>
      </w:r>
    </w:p>
    <w:p w14:paraId="078A2D02" w14:textId="77777777" w:rsidR="005825E1" w:rsidRDefault="005825E1" w:rsidP="005825E1">
      <w:pPr>
        <w:rPr>
          <w:rFonts w:ascii="Arial" w:hAnsi="Arial" w:cs="Arial"/>
        </w:rPr>
      </w:pPr>
      <w:r w:rsidRPr="00FC2343">
        <w:rPr>
          <w:rFonts w:ascii="Arial" w:hAnsi="Arial" w:cs="Arial"/>
        </w:rPr>
        <w:t>This has enabled an improved accuracy in identifying which of our documented internal controls (i.e., policies, procedures, templates and forms) require updating, in order to be responsive to changes made within the policies and instruments that influence governance of the agency.</w:t>
      </w:r>
    </w:p>
    <w:p w14:paraId="46180E9E" w14:textId="114EC613" w:rsidR="00C7474B" w:rsidRPr="00DF7743" w:rsidRDefault="00C7474B" w:rsidP="005825E1">
      <w:pPr>
        <w:rPr>
          <w:rFonts w:ascii="Arial" w:hAnsi="Arial" w:cs="Arial"/>
          <w:i/>
        </w:rPr>
      </w:pPr>
      <w:r w:rsidRPr="00DF7743">
        <w:rPr>
          <w:rFonts w:ascii="Arial" w:hAnsi="Arial" w:cs="Arial"/>
          <w:i/>
        </w:rPr>
        <w:t>Permission system</w:t>
      </w:r>
    </w:p>
    <w:p w14:paraId="2442FC0E" w14:textId="2046EAF5" w:rsidR="008048A1" w:rsidRPr="008048A1" w:rsidRDefault="00FA325D" w:rsidP="008048A1">
      <w:pPr>
        <w:rPr>
          <w:rFonts w:ascii="Arial" w:hAnsi="Arial" w:cs="Arial"/>
        </w:rPr>
      </w:pPr>
      <w:r>
        <w:rPr>
          <w:rFonts w:ascii="Arial" w:hAnsi="Arial" w:cs="Arial"/>
        </w:rPr>
        <w:t>The ANAO sought comment from stakeholders as part of its review process</w:t>
      </w:r>
      <w:r w:rsidR="00C7474B">
        <w:rPr>
          <w:rFonts w:ascii="Arial" w:hAnsi="Arial" w:cs="Arial"/>
        </w:rPr>
        <w:t xml:space="preserve"> of the agency’s permission system</w:t>
      </w:r>
      <w:r>
        <w:rPr>
          <w:rFonts w:ascii="Arial" w:hAnsi="Arial" w:cs="Arial"/>
        </w:rPr>
        <w:t>. There was a five per cent response rate (8 from 152 requests) from permit holders and a 25 per cent response rate (17 from 67 requests) from general stakeholders (including industry/environmental peak bodies, government agencies and reef research stations). There were also two unsolicited responses.</w:t>
      </w:r>
      <w:r w:rsidR="00975AA7">
        <w:rPr>
          <w:rFonts w:ascii="Arial" w:hAnsi="Arial" w:cs="Arial"/>
        </w:rPr>
        <w:t xml:space="preserve"> </w:t>
      </w:r>
      <w:r w:rsidR="00C77ACA">
        <w:rPr>
          <w:rFonts w:ascii="Arial" w:hAnsi="Arial" w:cs="Arial"/>
        </w:rPr>
        <w:t xml:space="preserve">The major issue raised </w:t>
      </w:r>
      <w:r w:rsidR="00975AA7">
        <w:rPr>
          <w:rFonts w:ascii="Arial" w:hAnsi="Arial" w:cs="Arial"/>
        </w:rPr>
        <w:t>was lack of timeliness – particularly for non-routine applications (</w:t>
      </w:r>
      <w:hyperlink r:id="rId28" w:history="1">
        <w:r w:rsidR="00975AA7" w:rsidRPr="00975AA7">
          <w:rPr>
            <w:rStyle w:val="Hyperlink"/>
            <w:rFonts w:ascii="Arial" w:hAnsi="Arial" w:cs="Arial"/>
          </w:rPr>
          <w:t>ANAO</w:t>
        </w:r>
      </w:hyperlink>
      <w:r w:rsidR="00975AA7">
        <w:rPr>
          <w:rFonts w:ascii="Arial" w:hAnsi="Arial" w:cs="Arial"/>
        </w:rPr>
        <w:t>, p.66).</w:t>
      </w:r>
      <w:r w:rsidR="00C7474B">
        <w:rPr>
          <w:rFonts w:ascii="Arial" w:hAnsi="Arial" w:cs="Arial"/>
        </w:rPr>
        <w:t xml:space="preserve"> </w:t>
      </w:r>
      <w:r w:rsidR="008048A1">
        <w:rPr>
          <w:rFonts w:ascii="Arial" w:hAnsi="Arial" w:cs="Arial"/>
        </w:rPr>
        <w:t>GBRMPA</w:t>
      </w:r>
      <w:r w:rsidR="008048A1" w:rsidRPr="008048A1">
        <w:rPr>
          <w:rFonts w:ascii="Arial" w:hAnsi="Arial" w:cs="Arial"/>
        </w:rPr>
        <w:t xml:space="preserve"> </w:t>
      </w:r>
      <w:r w:rsidR="00EF037A">
        <w:rPr>
          <w:rFonts w:ascii="Arial" w:hAnsi="Arial" w:cs="Arial"/>
        </w:rPr>
        <w:t>is</w:t>
      </w:r>
      <w:r w:rsidR="008048A1" w:rsidRPr="008048A1">
        <w:rPr>
          <w:rFonts w:ascii="Arial" w:hAnsi="Arial" w:cs="Arial"/>
        </w:rPr>
        <w:t xml:space="preserve"> working to improve the permission system for commercial operators — both to streamline the administrative process for users and maintain high environmental standards</w:t>
      </w:r>
      <w:r w:rsidR="00C7474B">
        <w:rPr>
          <w:rFonts w:ascii="Arial" w:hAnsi="Arial" w:cs="Arial"/>
        </w:rPr>
        <w:t>; however, a lack of contemporary operational policy and planning documents has delayed the implementation of more time-efficient decision m</w:t>
      </w:r>
      <w:r w:rsidR="009727FA">
        <w:rPr>
          <w:rFonts w:ascii="Arial" w:hAnsi="Arial" w:cs="Arial"/>
        </w:rPr>
        <w:t>aking in the permissions system</w:t>
      </w:r>
      <w:r w:rsidR="008048A1" w:rsidRPr="008048A1">
        <w:rPr>
          <w:rFonts w:ascii="Arial" w:hAnsi="Arial" w:cs="Arial"/>
        </w:rPr>
        <w:t>.</w:t>
      </w:r>
    </w:p>
    <w:p w14:paraId="38CC62C1" w14:textId="77777777" w:rsidR="008048A1" w:rsidRPr="008048A1" w:rsidRDefault="008048A1" w:rsidP="008048A1">
      <w:pPr>
        <w:rPr>
          <w:rFonts w:ascii="Arial" w:hAnsi="Arial" w:cs="Arial"/>
        </w:rPr>
      </w:pPr>
      <w:r w:rsidRPr="008048A1">
        <w:rPr>
          <w:rFonts w:ascii="Arial" w:hAnsi="Arial" w:cs="Arial"/>
        </w:rPr>
        <w:t xml:space="preserve">This large undertaking is taking place between 2015 and 2020 and has involved the revision of key policies and guidelines. It will also result in new guidance material and updates to our Environmental Impact Management Policy to make the basis for decisions clearer to permit applicants and the public. </w:t>
      </w:r>
    </w:p>
    <w:p w14:paraId="46ADB4DD" w14:textId="19E90AE5" w:rsidR="00A85899" w:rsidRDefault="008048A1" w:rsidP="008048A1">
      <w:pPr>
        <w:rPr>
          <w:rFonts w:ascii="Arial" w:hAnsi="Arial" w:cs="Arial"/>
        </w:rPr>
      </w:pPr>
      <w:r w:rsidRPr="008048A1">
        <w:rPr>
          <w:rFonts w:ascii="Arial" w:hAnsi="Arial" w:cs="Arial"/>
        </w:rPr>
        <w:t xml:space="preserve">The improved permission system will also ensure better integration with processes relating to the </w:t>
      </w:r>
      <w:r w:rsidRPr="008048A1">
        <w:rPr>
          <w:rFonts w:ascii="Arial" w:hAnsi="Arial" w:cs="Arial"/>
          <w:i/>
        </w:rPr>
        <w:t>Environment Protection and Biodiversity Conservation Act 1999</w:t>
      </w:r>
      <w:r w:rsidRPr="008048A1">
        <w:rPr>
          <w:rFonts w:ascii="Arial" w:hAnsi="Arial" w:cs="Arial"/>
        </w:rPr>
        <w:t xml:space="preserve"> (EPBC Act) and address </w:t>
      </w:r>
      <w:r>
        <w:rPr>
          <w:rFonts w:ascii="Arial" w:hAnsi="Arial" w:cs="Arial"/>
        </w:rPr>
        <w:t>ANAO</w:t>
      </w:r>
      <w:r w:rsidRPr="008048A1">
        <w:rPr>
          <w:rFonts w:ascii="Arial" w:hAnsi="Arial" w:cs="Arial"/>
        </w:rPr>
        <w:t xml:space="preserve"> recommendations to improve transparency and consistency in decision-making. </w:t>
      </w:r>
      <w:r w:rsidR="00A85899">
        <w:rPr>
          <w:rFonts w:ascii="Arial" w:hAnsi="Arial" w:cs="Arial"/>
        </w:rPr>
        <w:t>GBRMPA</w:t>
      </w:r>
      <w:r w:rsidR="00A85899" w:rsidRPr="00A85899">
        <w:rPr>
          <w:rFonts w:ascii="Arial" w:hAnsi="Arial" w:cs="Arial"/>
        </w:rPr>
        <w:t xml:space="preserve"> estimates the proposed streamlining measures to the permission system </w:t>
      </w:r>
      <w:r w:rsidR="00A85899" w:rsidRPr="00A85899">
        <w:rPr>
          <w:rFonts w:ascii="Arial" w:hAnsi="Arial" w:cs="Arial"/>
        </w:rPr>
        <w:lastRenderedPageBreak/>
        <w:t>should generate about $3 million in savings annually to businesses, individuals and communities.</w:t>
      </w:r>
    </w:p>
    <w:p w14:paraId="13F54C66" w14:textId="11006B7D" w:rsidR="008048A1" w:rsidRPr="008048A1" w:rsidRDefault="008048A1" w:rsidP="008048A1">
      <w:pPr>
        <w:rPr>
          <w:rFonts w:ascii="Arial" w:hAnsi="Arial" w:cs="Arial"/>
        </w:rPr>
      </w:pPr>
      <w:r w:rsidRPr="008048A1">
        <w:rPr>
          <w:rFonts w:ascii="Arial" w:hAnsi="Arial" w:cs="Arial"/>
        </w:rPr>
        <w:t xml:space="preserve">During the first round of public consultation, </w:t>
      </w:r>
      <w:r>
        <w:rPr>
          <w:rFonts w:ascii="Arial" w:hAnsi="Arial" w:cs="Arial"/>
        </w:rPr>
        <w:t>GBRMPA</w:t>
      </w:r>
      <w:r w:rsidRPr="008048A1">
        <w:rPr>
          <w:rFonts w:ascii="Arial" w:hAnsi="Arial" w:cs="Arial"/>
        </w:rPr>
        <w:t xml:space="preserve"> received valuable feedback that was used to inform work to improve the system. Further consultation will occur </w:t>
      </w:r>
      <w:r>
        <w:rPr>
          <w:rFonts w:ascii="Arial" w:hAnsi="Arial" w:cs="Arial"/>
        </w:rPr>
        <w:t>in 2016/17</w:t>
      </w:r>
      <w:r w:rsidRPr="008048A1">
        <w:rPr>
          <w:rFonts w:ascii="Arial" w:hAnsi="Arial" w:cs="Arial"/>
        </w:rPr>
        <w:t xml:space="preserve">. </w:t>
      </w:r>
    </w:p>
    <w:p w14:paraId="1C1B2A86" w14:textId="449E641A" w:rsidR="00975AA7" w:rsidRDefault="008048A1" w:rsidP="005825E1">
      <w:pPr>
        <w:rPr>
          <w:rFonts w:ascii="Arial" w:hAnsi="Arial" w:cs="Arial"/>
        </w:rPr>
      </w:pPr>
      <w:r>
        <w:rPr>
          <w:rFonts w:ascii="Arial" w:hAnsi="Arial" w:cs="Arial"/>
        </w:rPr>
        <w:t xml:space="preserve">GBRMPA acknowledge that the timeframes for assessment of applications will continue to be of concern to stakeholders </w:t>
      </w:r>
      <w:r w:rsidR="00A85899">
        <w:rPr>
          <w:rFonts w:ascii="Arial" w:hAnsi="Arial" w:cs="Arial"/>
        </w:rPr>
        <w:t>while</w:t>
      </w:r>
      <w:r w:rsidR="00EF037A">
        <w:rPr>
          <w:rFonts w:ascii="Arial" w:hAnsi="Arial" w:cs="Arial"/>
        </w:rPr>
        <w:t xml:space="preserve"> our</w:t>
      </w:r>
      <w:r>
        <w:rPr>
          <w:rFonts w:ascii="Arial" w:hAnsi="Arial" w:cs="Arial"/>
        </w:rPr>
        <w:t xml:space="preserve"> limited staff resources </w:t>
      </w:r>
      <w:r w:rsidR="00A85899">
        <w:rPr>
          <w:rFonts w:ascii="Arial" w:hAnsi="Arial" w:cs="Arial"/>
        </w:rPr>
        <w:t>are</w:t>
      </w:r>
      <w:r>
        <w:rPr>
          <w:rFonts w:ascii="Arial" w:hAnsi="Arial" w:cs="Arial"/>
        </w:rPr>
        <w:t xml:space="preserve"> dedicated to the </w:t>
      </w:r>
      <w:r w:rsidR="00C7474B">
        <w:rPr>
          <w:rFonts w:ascii="Arial" w:hAnsi="Arial" w:cs="Arial"/>
        </w:rPr>
        <w:t>permission system improvement project</w:t>
      </w:r>
      <w:r w:rsidR="00EF037A">
        <w:rPr>
          <w:rFonts w:ascii="Arial" w:hAnsi="Arial" w:cs="Arial"/>
        </w:rPr>
        <w:t>.</w:t>
      </w:r>
    </w:p>
    <w:p w14:paraId="76408877" w14:textId="307BA30B" w:rsidR="00074B85" w:rsidRPr="00FC2343" w:rsidRDefault="00074B85" w:rsidP="005825E1">
      <w:pPr>
        <w:rPr>
          <w:rFonts w:ascii="Arial" w:hAnsi="Arial" w:cs="Arial"/>
        </w:rPr>
      </w:pPr>
      <w:r>
        <w:rPr>
          <w:rFonts w:ascii="Arial" w:hAnsi="Arial" w:cs="Arial"/>
        </w:rPr>
        <w:t>GBRMPA’s local and regional e</w:t>
      </w:r>
      <w:r w:rsidR="005269FA">
        <w:rPr>
          <w:rFonts w:ascii="Arial" w:hAnsi="Arial" w:cs="Arial"/>
        </w:rPr>
        <w:t xml:space="preserve">ngagement is described under </w:t>
      </w:r>
      <w:hyperlink w:anchor="_KPI_2_–" w:history="1">
        <w:r w:rsidR="005269FA" w:rsidRPr="00BF6426">
          <w:rPr>
            <w:rStyle w:val="Hyperlink"/>
            <w:rFonts w:ascii="Arial" w:hAnsi="Arial" w:cs="Arial"/>
          </w:rPr>
          <w:t>KPI</w:t>
        </w:r>
        <w:r w:rsidRPr="00BF6426">
          <w:rPr>
            <w:rStyle w:val="Hyperlink"/>
            <w:rFonts w:ascii="Arial" w:hAnsi="Arial" w:cs="Arial"/>
          </w:rPr>
          <w:t xml:space="preserve"> 2</w:t>
        </w:r>
      </w:hyperlink>
      <w:r>
        <w:rPr>
          <w:rFonts w:ascii="Arial" w:hAnsi="Arial" w:cs="Arial"/>
        </w:rPr>
        <w:t>.</w:t>
      </w:r>
    </w:p>
    <w:p w14:paraId="7784E680" w14:textId="52A7F244" w:rsidR="005825E1" w:rsidRPr="008463FC" w:rsidRDefault="005825E1" w:rsidP="005825E1">
      <w:pPr>
        <w:pStyle w:val="Heading2"/>
        <w:numPr>
          <w:ilvl w:val="1"/>
          <w:numId w:val="10"/>
        </w:numPr>
        <w:pBdr>
          <w:top w:val="single" w:sz="4" w:space="1" w:color="4F81BD" w:themeColor="accent1"/>
          <w:left w:val="single" w:sz="4" w:space="4" w:color="4F81BD" w:themeColor="accent1"/>
        </w:pBdr>
        <w:spacing w:before="240" w:after="120"/>
        <w:ind w:left="567" w:hanging="573"/>
        <w:rPr>
          <w:rFonts w:ascii="Arial" w:hAnsi="Arial" w:cs="Arial"/>
          <w:b w:val="0"/>
          <w:color w:val="1F497D" w:themeColor="text2"/>
          <w:sz w:val="22"/>
        </w:rPr>
      </w:pPr>
      <w:bookmarkStart w:id="18" w:name="_KPI_2_–"/>
      <w:bookmarkStart w:id="19" w:name="_Toc474753107"/>
      <w:bookmarkEnd w:id="18"/>
      <w:r w:rsidRPr="008463FC">
        <w:rPr>
          <w:rFonts w:ascii="Arial" w:hAnsi="Arial" w:cs="Arial"/>
          <w:b w:val="0"/>
          <w:color w:val="1F497D" w:themeColor="text2"/>
          <w:sz w:val="22"/>
        </w:rPr>
        <w:t xml:space="preserve">KPI 2 </w:t>
      </w:r>
      <w:r w:rsidR="006726B1">
        <w:rPr>
          <w:rFonts w:ascii="Arial" w:hAnsi="Arial" w:cs="Arial"/>
          <w:b w:val="0"/>
          <w:color w:val="1F497D" w:themeColor="text2"/>
          <w:sz w:val="22"/>
        </w:rPr>
        <w:t>—</w:t>
      </w:r>
      <w:r w:rsidRPr="008463FC">
        <w:rPr>
          <w:rFonts w:ascii="Arial" w:hAnsi="Arial" w:cs="Arial"/>
          <w:b w:val="0"/>
          <w:color w:val="1F497D" w:themeColor="text2"/>
          <w:sz w:val="22"/>
        </w:rPr>
        <w:t xml:space="preserve"> </w:t>
      </w:r>
      <w:r w:rsidR="00A32FF6">
        <w:rPr>
          <w:rFonts w:ascii="Arial" w:hAnsi="Arial" w:cs="Arial"/>
          <w:b w:val="0"/>
          <w:color w:val="1F497D" w:themeColor="text2"/>
          <w:sz w:val="22"/>
        </w:rPr>
        <w:t>GBRMPA’s c</w:t>
      </w:r>
      <w:r w:rsidRPr="008463FC">
        <w:rPr>
          <w:rFonts w:ascii="Arial" w:hAnsi="Arial" w:cs="Arial"/>
          <w:b w:val="0"/>
          <w:color w:val="1F497D" w:themeColor="text2"/>
          <w:sz w:val="22"/>
        </w:rPr>
        <w:t>ommunication with regulated entities is clear, targeted and effective</w:t>
      </w:r>
      <w:bookmarkEnd w:id="19"/>
    </w:p>
    <w:p w14:paraId="185380FB" w14:textId="77777777" w:rsidR="00CD6E65" w:rsidRPr="00CD6E65" w:rsidRDefault="00CD6E65" w:rsidP="00CD6E65">
      <w:pPr>
        <w:keepNext/>
        <w:spacing w:before="240" w:after="0"/>
        <w:rPr>
          <w:rFonts w:ascii="Arial" w:hAnsi="Arial" w:cs="Arial"/>
          <w:u w:val="single"/>
        </w:rPr>
      </w:pPr>
      <w:r w:rsidRPr="00CD6E65">
        <w:rPr>
          <w:rFonts w:ascii="Arial" w:hAnsi="Arial" w:cs="Arial"/>
          <w:u w:val="single"/>
        </w:rPr>
        <w:t>Approved metrics</w:t>
      </w:r>
    </w:p>
    <w:p w14:paraId="5687CF03" w14:textId="77777777" w:rsidR="00CD6E65" w:rsidRPr="00CD6E65" w:rsidRDefault="00CD6E65" w:rsidP="00CD6E65">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CD6E65">
        <w:rPr>
          <w:rFonts w:ascii="Arial" w:eastAsia="Times New Roman" w:hAnsi="Arial" w:cs="Arial"/>
          <w:i/>
          <w:color w:val="333333"/>
          <w:lang w:val="en" w:eastAsia="en-AU"/>
        </w:rPr>
        <w:t>Demonstrated appropriate consultation with stakeholders prior to significant regulatory or policy changes.</w:t>
      </w:r>
    </w:p>
    <w:p w14:paraId="331D77EA" w14:textId="77777777" w:rsidR="00CD6E65" w:rsidRPr="00CD6E65" w:rsidRDefault="00CD6E65" w:rsidP="00CD6E65">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CD6E65">
        <w:rPr>
          <w:rFonts w:ascii="Arial" w:eastAsia="Times New Roman" w:hAnsi="Arial" w:cs="Arial"/>
          <w:i/>
          <w:color w:val="333333"/>
          <w:lang w:val="en" w:eastAsia="en-AU"/>
        </w:rPr>
        <w:t>Decisions are accompanied by a statement of reasons and advice about relevant review or appeal mechanisms, where appropriate.</w:t>
      </w:r>
    </w:p>
    <w:p w14:paraId="63D436A6" w14:textId="77777777" w:rsidR="007D545D" w:rsidRPr="007D545D" w:rsidRDefault="007D545D" w:rsidP="00CD6E65">
      <w:pPr>
        <w:keepNext/>
        <w:spacing w:before="240" w:after="0"/>
        <w:rPr>
          <w:rFonts w:ascii="Arial" w:hAnsi="Arial" w:cs="Arial"/>
          <w:u w:val="single"/>
        </w:rPr>
      </w:pPr>
      <w:r w:rsidRPr="007D545D">
        <w:rPr>
          <w:rFonts w:ascii="Arial" w:hAnsi="Arial" w:cs="Arial"/>
          <w:u w:val="single"/>
        </w:rPr>
        <w:t xml:space="preserve">Rating:  </w:t>
      </w:r>
    </w:p>
    <w:tbl>
      <w:tblPr>
        <w:tblStyle w:val="TableGrid"/>
        <w:tblW w:w="0" w:type="auto"/>
        <w:jc w:val="center"/>
        <w:tblInd w:w="-1127" w:type="dxa"/>
        <w:tblLook w:val="04A0" w:firstRow="1" w:lastRow="0" w:firstColumn="1" w:lastColumn="0" w:noHBand="0" w:noVBand="1"/>
      </w:tblPr>
      <w:tblGrid>
        <w:gridCol w:w="4779"/>
      </w:tblGrid>
      <w:tr w:rsidR="006726B1" w:rsidRPr="002C19BB" w14:paraId="565652FB" w14:textId="77777777" w:rsidTr="00FF6BF8">
        <w:trPr>
          <w:cantSplit/>
          <w:jc w:val="center"/>
        </w:trPr>
        <w:tc>
          <w:tcPr>
            <w:tcW w:w="4779" w:type="dxa"/>
            <w:shd w:val="clear" w:color="auto" w:fill="00B050"/>
            <w:vAlign w:val="center"/>
          </w:tcPr>
          <w:p w14:paraId="371FB458" w14:textId="77777777" w:rsidR="006726B1" w:rsidRPr="002C19BB" w:rsidRDefault="006726B1" w:rsidP="00FF6BF8">
            <w:pPr>
              <w:spacing w:before="120" w:after="120"/>
              <w:jc w:val="center"/>
              <w:rPr>
                <w:rFonts w:ascii="Arial" w:hAnsi="Arial" w:cs="Arial"/>
                <w:b/>
              </w:rPr>
            </w:pPr>
            <w:r w:rsidRPr="002C19BB">
              <w:rPr>
                <w:rFonts w:ascii="Arial" w:hAnsi="Arial" w:cs="Arial"/>
                <w:b/>
              </w:rPr>
              <w:t>Effective</w:t>
            </w:r>
            <w:r>
              <w:rPr>
                <w:rFonts w:ascii="Arial" w:hAnsi="Arial" w:cs="Arial"/>
                <w:b/>
              </w:rPr>
              <w:br/>
            </w:r>
            <w:r w:rsidRPr="0067306A">
              <w:rPr>
                <w:rFonts w:ascii="Arial" w:hAnsi="Arial" w:cs="Arial"/>
              </w:rPr>
              <w:t>(81-100% of optimum)</w:t>
            </w:r>
          </w:p>
        </w:tc>
      </w:tr>
    </w:tbl>
    <w:p w14:paraId="48BA5E2B" w14:textId="77777777" w:rsidR="006726B1" w:rsidRPr="007D545D" w:rsidRDefault="006726B1" w:rsidP="006726B1">
      <w:pPr>
        <w:spacing w:after="0"/>
        <w:rPr>
          <w:rFonts w:ascii="Arial" w:hAnsi="Arial" w:cs="Arial"/>
        </w:rPr>
      </w:pPr>
    </w:p>
    <w:p w14:paraId="421A902E" w14:textId="60AAAC16" w:rsidR="00FC7E94" w:rsidRDefault="008C3AF3" w:rsidP="00E23A93">
      <w:pPr>
        <w:rPr>
          <w:rFonts w:ascii="Arial" w:hAnsi="Arial" w:cs="Arial"/>
        </w:rPr>
      </w:pPr>
      <w:r w:rsidRPr="00186782">
        <w:rPr>
          <w:rFonts w:ascii="Arial" w:hAnsi="Arial" w:cs="Arial"/>
        </w:rPr>
        <w:t xml:space="preserve">Working with local communities in the Great Barrier Reef catchment is an important part of </w:t>
      </w:r>
      <w:r>
        <w:rPr>
          <w:rFonts w:ascii="Arial" w:hAnsi="Arial" w:cs="Arial"/>
        </w:rPr>
        <w:t>GBRMPA’s</w:t>
      </w:r>
      <w:r w:rsidRPr="00186782">
        <w:rPr>
          <w:rFonts w:ascii="Arial" w:hAnsi="Arial" w:cs="Arial"/>
        </w:rPr>
        <w:t xml:space="preserve"> </w:t>
      </w:r>
      <w:r>
        <w:rPr>
          <w:rFonts w:ascii="Arial" w:hAnsi="Arial" w:cs="Arial"/>
        </w:rPr>
        <w:t>role</w:t>
      </w:r>
      <w:r w:rsidRPr="00186782">
        <w:rPr>
          <w:rFonts w:ascii="Arial" w:hAnsi="Arial" w:cs="Arial"/>
        </w:rPr>
        <w:t xml:space="preserve">. </w:t>
      </w:r>
      <w:r w:rsidR="00E23A93" w:rsidRPr="007D545D">
        <w:rPr>
          <w:rFonts w:ascii="Arial" w:hAnsi="Arial" w:cs="Arial"/>
        </w:rPr>
        <w:t>GBRMPA policy development and review procedu</w:t>
      </w:r>
      <w:r w:rsidR="004703B2">
        <w:rPr>
          <w:rFonts w:ascii="Arial" w:hAnsi="Arial" w:cs="Arial"/>
        </w:rPr>
        <w:t>res, as approved by the GBRMPA B</w:t>
      </w:r>
      <w:r w:rsidR="00E23A93" w:rsidRPr="007D545D">
        <w:rPr>
          <w:rFonts w:ascii="Arial" w:hAnsi="Arial" w:cs="Arial"/>
        </w:rPr>
        <w:t xml:space="preserve">oard, include a requirement for </w:t>
      </w:r>
      <w:r w:rsidR="00E23A93">
        <w:rPr>
          <w:rFonts w:ascii="Arial" w:hAnsi="Arial" w:cs="Arial"/>
        </w:rPr>
        <w:t>a</w:t>
      </w:r>
      <w:r w:rsidR="00E23A93" w:rsidRPr="007D545D">
        <w:rPr>
          <w:rFonts w:ascii="Arial" w:hAnsi="Arial" w:cs="Arial"/>
        </w:rPr>
        <w:t xml:space="preserve"> minimum of 30 days public consultation for development of new policy documents or for major reviews</w:t>
      </w:r>
      <w:r w:rsidR="00711862">
        <w:rPr>
          <w:rFonts w:ascii="Arial" w:hAnsi="Arial" w:cs="Arial"/>
        </w:rPr>
        <w:t xml:space="preserve"> of existing policy documents</w:t>
      </w:r>
      <w:r w:rsidR="00E23A93" w:rsidRPr="007D545D">
        <w:rPr>
          <w:rFonts w:ascii="Arial" w:hAnsi="Arial" w:cs="Arial"/>
        </w:rPr>
        <w:t xml:space="preserve">. </w:t>
      </w:r>
    </w:p>
    <w:p w14:paraId="6C57EA03" w14:textId="77777777" w:rsidR="00B41D13" w:rsidRPr="007D545D" w:rsidRDefault="00B41D13" w:rsidP="00B41D13">
      <w:pPr>
        <w:rPr>
          <w:rFonts w:ascii="Arial" w:hAnsi="Arial" w:cs="Arial"/>
        </w:rPr>
      </w:pPr>
      <w:r w:rsidRPr="007D545D">
        <w:rPr>
          <w:rFonts w:ascii="Arial" w:hAnsi="Arial" w:cs="Arial"/>
        </w:rPr>
        <w:t>Relevant documents are made available on the GBRMPA website and the agency has a dedicated email address for input –</w:t>
      </w:r>
      <w:r>
        <w:rPr>
          <w:rFonts w:ascii="Arial" w:hAnsi="Arial" w:cs="Arial"/>
        </w:rPr>
        <w:t xml:space="preserve"> </w:t>
      </w:r>
      <w:hyperlink r:id="rId29" w:history="1">
        <w:r w:rsidRPr="00A47D99">
          <w:rPr>
            <w:rStyle w:val="Hyperlink"/>
            <w:rFonts w:ascii="Arial" w:hAnsi="Arial" w:cs="Arial"/>
          </w:rPr>
          <w:t>consultation@gbrmpa.gov.au</w:t>
        </w:r>
      </w:hyperlink>
      <w:r>
        <w:rPr>
          <w:rFonts w:ascii="Arial" w:hAnsi="Arial" w:cs="Arial"/>
        </w:rPr>
        <w:t xml:space="preserve"> </w:t>
      </w:r>
    </w:p>
    <w:p w14:paraId="3F125066" w14:textId="1019FD52" w:rsidR="00E23A93" w:rsidRPr="007D545D" w:rsidRDefault="00711862" w:rsidP="00E23A93">
      <w:pPr>
        <w:rPr>
          <w:rFonts w:ascii="Arial" w:hAnsi="Arial" w:cs="Arial"/>
        </w:rPr>
      </w:pPr>
      <w:r>
        <w:rPr>
          <w:rFonts w:ascii="Arial" w:hAnsi="Arial" w:cs="Arial"/>
        </w:rPr>
        <w:t xml:space="preserve">The GBRMP Act and subordinate legislation also set out consultation requirements, for example Division 2 of the GBRMP Act establishes the requirements for preparation, </w:t>
      </w:r>
      <w:r w:rsidR="00FC7E94">
        <w:rPr>
          <w:rFonts w:ascii="Arial" w:hAnsi="Arial" w:cs="Arial"/>
        </w:rPr>
        <w:t>amendment and revocation of zoning plans.</w:t>
      </w:r>
    </w:p>
    <w:p w14:paraId="180CDC20" w14:textId="63F2F352" w:rsidR="008C3AF3" w:rsidRDefault="00B41D13" w:rsidP="008C3AF3">
      <w:pPr>
        <w:rPr>
          <w:rFonts w:ascii="Arial" w:hAnsi="Arial" w:cs="Arial"/>
        </w:rPr>
      </w:pPr>
      <w:r>
        <w:rPr>
          <w:rFonts w:ascii="Arial" w:hAnsi="Arial" w:cs="Arial"/>
        </w:rPr>
        <w:t>GBRMPA</w:t>
      </w:r>
      <w:r w:rsidR="008C3AF3" w:rsidRPr="00186782">
        <w:rPr>
          <w:rFonts w:ascii="Arial" w:hAnsi="Arial" w:cs="Arial"/>
        </w:rPr>
        <w:t xml:space="preserve"> seek</w:t>
      </w:r>
      <w:r>
        <w:rPr>
          <w:rFonts w:ascii="Arial" w:hAnsi="Arial" w:cs="Arial"/>
        </w:rPr>
        <w:t>s</w:t>
      </w:r>
      <w:r w:rsidR="008C3AF3" w:rsidRPr="00186782">
        <w:rPr>
          <w:rFonts w:ascii="Arial" w:hAnsi="Arial" w:cs="Arial"/>
        </w:rPr>
        <w:t xml:space="preserve"> input on Reef-wide management and local issues through our 12</w:t>
      </w:r>
      <w:r w:rsidR="008C3AF3">
        <w:rPr>
          <w:rFonts w:ascii="Arial" w:hAnsi="Arial" w:cs="Arial"/>
        </w:rPr>
        <w:t> </w:t>
      </w:r>
      <w:hyperlink r:id="rId30" w:history="1">
        <w:r w:rsidR="008C3AF3" w:rsidRPr="004E242E">
          <w:rPr>
            <w:rStyle w:val="Hyperlink"/>
            <w:rFonts w:ascii="Arial" w:hAnsi="Arial" w:cs="Arial"/>
          </w:rPr>
          <w:t>Local Marine Advisory Committees</w:t>
        </w:r>
      </w:hyperlink>
      <w:r w:rsidR="005155D3">
        <w:rPr>
          <w:rStyle w:val="Hyperlink"/>
          <w:rFonts w:ascii="Arial" w:hAnsi="Arial" w:cs="Arial"/>
        </w:rPr>
        <w:t xml:space="preserve"> from Cape York to the Burnett region</w:t>
      </w:r>
      <w:r w:rsidR="008C3AF3" w:rsidRPr="00186782">
        <w:rPr>
          <w:rFonts w:ascii="Arial" w:hAnsi="Arial" w:cs="Arial"/>
        </w:rPr>
        <w:t xml:space="preserve">. </w:t>
      </w:r>
      <w:r w:rsidR="005155D3">
        <w:rPr>
          <w:rFonts w:ascii="Arial" w:hAnsi="Arial" w:cs="Arial"/>
        </w:rPr>
        <w:t>The 205 m</w:t>
      </w:r>
      <w:r w:rsidR="005155D3" w:rsidRPr="00067CB2">
        <w:rPr>
          <w:rFonts w:ascii="Arial" w:hAnsi="Arial" w:cs="Arial"/>
        </w:rPr>
        <w:t xml:space="preserve">embers </w:t>
      </w:r>
      <w:r w:rsidR="008C3AF3" w:rsidRPr="00067CB2">
        <w:rPr>
          <w:rFonts w:ascii="Arial" w:hAnsi="Arial" w:cs="Arial"/>
        </w:rPr>
        <w:t>of the committees represent a range of groups, including Traditional Owners, fishers, conservationists, councils, farmers, port operators, shipping representatives and tourism operators.</w:t>
      </w:r>
      <w:r w:rsidR="00215BD4">
        <w:rPr>
          <w:rFonts w:ascii="Arial" w:hAnsi="Arial" w:cs="Arial"/>
        </w:rPr>
        <w:t xml:space="preserve"> </w:t>
      </w:r>
      <w:r w:rsidR="00215BD4" w:rsidRPr="00067CB2">
        <w:rPr>
          <w:rFonts w:ascii="Arial" w:hAnsi="Arial" w:cs="Arial"/>
        </w:rPr>
        <w:t>The</w:t>
      </w:r>
      <w:r w:rsidR="00215BD4">
        <w:rPr>
          <w:rFonts w:ascii="Arial" w:hAnsi="Arial" w:cs="Arial"/>
        </w:rPr>
        <w:t xml:space="preserve"> committees</w:t>
      </w:r>
      <w:r w:rsidR="00215BD4" w:rsidRPr="00067CB2">
        <w:rPr>
          <w:rFonts w:ascii="Arial" w:hAnsi="Arial" w:cs="Arial"/>
        </w:rPr>
        <w:t xml:space="preserve"> </w:t>
      </w:r>
      <w:r w:rsidR="008C3AF3" w:rsidRPr="00067CB2">
        <w:rPr>
          <w:rFonts w:ascii="Arial" w:hAnsi="Arial" w:cs="Arial"/>
        </w:rPr>
        <w:t xml:space="preserve">provide an avenue for local communities to discuss areas of concern directly with </w:t>
      </w:r>
      <w:r w:rsidR="008C3AF3">
        <w:rPr>
          <w:rFonts w:ascii="Arial" w:hAnsi="Arial" w:cs="Arial"/>
        </w:rPr>
        <w:t>GBRMPA</w:t>
      </w:r>
      <w:r w:rsidR="008C3AF3" w:rsidRPr="00067CB2">
        <w:rPr>
          <w:rFonts w:ascii="Arial" w:hAnsi="Arial" w:cs="Arial"/>
        </w:rPr>
        <w:t xml:space="preserve">. </w:t>
      </w:r>
    </w:p>
    <w:p w14:paraId="40656C4D" w14:textId="7D1C2FDD" w:rsidR="008C3AF3" w:rsidRDefault="008C3AF3" w:rsidP="008C3AF3">
      <w:pPr>
        <w:rPr>
          <w:rFonts w:ascii="Arial" w:hAnsi="Arial" w:cs="Arial"/>
        </w:rPr>
      </w:pPr>
      <w:r w:rsidRPr="007D545D">
        <w:rPr>
          <w:rFonts w:ascii="Arial" w:hAnsi="Arial" w:cs="Arial"/>
        </w:rPr>
        <w:t xml:space="preserve">Each of the 12 Local Marine Advisory Committees met five times in </w:t>
      </w:r>
      <w:r>
        <w:rPr>
          <w:rFonts w:ascii="Arial" w:hAnsi="Arial" w:cs="Arial"/>
        </w:rPr>
        <w:t>2015-16</w:t>
      </w:r>
      <w:r w:rsidRPr="007D545D">
        <w:rPr>
          <w:rFonts w:ascii="Arial" w:hAnsi="Arial" w:cs="Arial"/>
        </w:rPr>
        <w:t>. These meetings ar</w:t>
      </w:r>
      <w:r w:rsidR="00FF04A1">
        <w:rPr>
          <w:rFonts w:ascii="Arial" w:hAnsi="Arial" w:cs="Arial"/>
        </w:rPr>
        <w:t>e attended by a GBRMPA Director. A meeting communique is produced and posted to the GBRMPA website after the meeting of each committee:</w:t>
      </w:r>
    </w:p>
    <w:p w14:paraId="4017C9AF" w14:textId="7BA8449B" w:rsidR="00FF04A1" w:rsidRDefault="00B82FE0" w:rsidP="00FF04A1">
      <w:pPr>
        <w:pStyle w:val="ListParagraph"/>
        <w:numPr>
          <w:ilvl w:val="0"/>
          <w:numId w:val="9"/>
        </w:numPr>
        <w:rPr>
          <w:rFonts w:ascii="Arial" w:hAnsi="Arial" w:cs="Arial"/>
        </w:rPr>
      </w:pPr>
      <w:hyperlink r:id="rId31" w:history="1">
        <w:r w:rsidR="00FF04A1" w:rsidRPr="008322C7">
          <w:rPr>
            <w:rStyle w:val="Hyperlink"/>
            <w:rFonts w:ascii="Arial" w:hAnsi="Arial" w:cs="Arial"/>
          </w:rPr>
          <w:t>Cape York LMAC</w:t>
        </w:r>
      </w:hyperlink>
    </w:p>
    <w:p w14:paraId="2EB227E6" w14:textId="178D99BD" w:rsidR="00FF04A1" w:rsidRDefault="00B82FE0" w:rsidP="00FF04A1">
      <w:pPr>
        <w:pStyle w:val="ListParagraph"/>
        <w:numPr>
          <w:ilvl w:val="0"/>
          <w:numId w:val="9"/>
        </w:numPr>
        <w:rPr>
          <w:rFonts w:ascii="Arial" w:hAnsi="Arial" w:cs="Arial"/>
        </w:rPr>
      </w:pPr>
      <w:hyperlink r:id="rId32" w:history="1">
        <w:r w:rsidR="00FF04A1" w:rsidRPr="008322C7">
          <w:rPr>
            <w:rStyle w:val="Hyperlink"/>
            <w:rFonts w:ascii="Arial" w:hAnsi="Arial" w:cs="Arial"/>
          </w:rPr>
          <w:t>Douglas LMAC</w:t>
        </w:r>
      </w:hyperlink>
    </w:p>
    <w:p w14:paraId="4970466D" w14:textId="35958494" w:rsidR="00FF04A1" w:rsidRDefault="00B82FE0" w:rsidP="00FF04A1">
      <w:pPr>
        <w:pStyle w:val="ListParagraph"/>
        <w:numPr>
          <w:ilvl w:val="0"/>
          <w:numId w:val="9"/>
        </w:numPr>
        <w:rPr>
          <w:rFonts w:ascii="Arial" w:hAnsi="Arial" w:cs="Arial"/>
        </w:rPr>
      </w:pPr>
      <w:hyperlink r:id="rId33" w:history="1">
        <w:r w:rsidR="00FF04A1" w:rsidRPr="008322C7">
          <w:rPr>
            <w:rStyle w:val="Hyperlink"/>
            <w:rFonts w:ascii="Arial" w:hAnsi="Arial" w:cs="Arial"/>
          </w:rPr>
          <w:t>Cairns LMAC</w:t>
        </w:r>
      </w:hyperlink>
    </w:p>
    <w:p w14:paraId="1473BE7C" w14:textId="2627D148" w:rsidR="00FF04A1" w:rsidRDefault="00B82FE0" w:rsidP="00FF04A1">
      <w:pPr>
        <w:pStyle w:val="ListParagraph"/>
        <w:numPr>
          <w:ilvl w:val="0"/>
          <w:numId w:val="9"/>
        </w:numPr>
        <w:rPr>
          <w:rFonts w:ascii="Arial" w:hAnsi="Arial" w:cs="Arial"/>
        </w:rPr>
      </w:pPr>
      <w:hyperlink r:id="rId34" w:history="1">
        <w:r w:rsidR="00FF04A1" w:rsidRPr="008322C7">
          <w:rPr>
            <w:rStyle w:val="Hyperlink"/>
            <w:rFonts w:ascii="Arial" w:hAnsi="Arial" w:cs="Arial"/>
          </w:rPr>
          <w:t>Cassowary Coast LMAC</w:t>
        </w:r>
      </w:hyperlink>
    </w:p>
    <w:p w14:paraId="16B8E3E2" w14:textId="515DDC06" w:rsidR="00FF04A1" w:rsidRDefault="00B82FE0" w:rsidP="00FF04A1">
      <w:pPr>
        <w:pStyle w:val="ListParagraph"/>
        <w:numPr>
          <w:ilvl w:val="0"/>
          <w:numId w:val="9"/>
        </w:numPr>
        <w:rPr>
          <w:rFonts w:ascii="Arial" w:hAnsi="Arial" w:cs="Arial"/>
        </w:rPr>
      </w:pPr>
      <w:hyperlink r:id="rId35" w:history="1">
        <w:r w:rsidR="00FF04A1" w:rsidRPr="008322C7">
          <w:rPr>
            <w:rStyle w:val="Hyperlink"/>
            <w:rFonts w:ascii="Arial" w:hAnsi="Arial" w:cs="Arial"/>
          </w:rPr>
          <w:t>Hinchinbrook LMAC</w:t>
        </w:r>
      </w:hyperlink>
    </w:p>
    <w:p w14:paraId="641DCD88" w14:textId="5E481176" w:rsidR="00FF04A1" w:rsidRDefault="00B82FE0" w:rsidP="00FF04A1">
      <w:pPr>
        <w:pStyle w:val="ListParagraph"/>
        <w:numPr>
          <w:ilvl w:val="0"/>
          <w:numId w:val="9"/>
        </w:numPr>
        <w:rPr>
          <w:rFonts w:ascii="Arial" w:hAnsi="Arial" w:cs="Arial"/>
        </w:rPr>
      </w:pPr>
      <w:hyperlink r:id="rId36" w:history="1">
        <w:r w:rsidR="00FF04A1" w:rsidRPr="008322C7">
          <w:rPr>
            <w:rStyle w:val="Hyperlink"/>
            <w:rFonts w:ascii="Arial" w:hAnsi="Arial" w:cs="Arial"/>
          </w:rPr>
          <w:t>Townsville LMAC</w:t>
        </w:r>
      </w:hyperlink>
    </w:p>
    <w:p w14:paraId="545224DE" w14:textId="34BF3768" w:rsidR="00FF04A1" w:rsidRDefault="00B82FE0" w:rsidP="00FF04A1">
      <w:pPr>
        <w:pStyle w:val="ListParagraph"/>
        <w:numPr>
          <w:ilvl w:val="0"/>
          <w:numId w:val="9"/>
        </w:numPr>
        <w:rPr>
          <w:rFonts w:ascii="Arial" w:hAnsi="Arial" w:cs="Arial"/>
        </w:rPr>
      </w:pPr>
      <w:hyperlink r:id="rId37" w:history="1">
        <w:r w:rsidR="00FF04A1" w:rsidRPr="008322C7">
          <w:rPr>
            <w:rStyle w:val="Hyperlink"/>
            <w:rFonts w:ascii="Arial" w:hAnsi="Arial" w:cs="Arial"/>
          </w:rPr>
          <w:t>Bowen-Burdekin LMAC</w:t>
        </w:r>
      </w:hyperlink>
    </w:p>
    <w:p w14:paraId="6101D0A5" w14:textId="2774D2C5" w:rsidR="00FF04A1" w:rsidRDefault="00B82FE0" w:rsidP="00FF04A1">
      <w:pPr>
        <w:pStyle w:val="ListParagraph"/>
        <w:numPr>
          <w:ilvl w:val="0"/>
          <w:numId w:val="9"/>
        </w:numPr>
        <w:rPr>
          <w:rFonts w:ascii="Arial" w:hAnsi="Arial" w:cs="Arial"/>
        </w:rPr>
      </w:pPr>
      <w:hyperlink r:id="rId38" w:history="1">
        <w:r w:rsidR="00FF04A1" w:rsidRPr="008322C7">
          <w:rPr>
            <w:rStyle w:val="Hyperlink"/>
            <w:rFonts w:ascii="Arial" w:hAnsi="Arial" w:cs="Arial"/>
          </w:rPr>
          <w:t>Whitsunday LMAC</w:t>
        </w:r>
      </w:hyperlink>
    </w:p>
    <w:p w14:paraId="3AF51DBC" w14:textId="65A46AB7" w:rsidR="00FF04A1" w:rsidRDefault="00B82FE0" w:rsidP="00FF04A1">
      <w:pPr>
        <w:pStyle w:val="ListParagraph"/>
        <w:numPr>
          <w:ilvl w:val="0"/>
          <w:numId w:val="9"/>
        </w:numPr>
        <w:rPr>
          <w:rFonts w:ascii="Arial" w:hAnsi="Arial" w:cs="Arial"/>
        </w:rPr>
      </w:pPr>
      <w:hyperlink r:id="rId39" w:history="1">
        <w:r w:rsidR="00FF04A1" w:rsidRPr="008322C7">
          <w:rPr>
            <w:rStyle w:val="Hyperlink"/>
            <w:rFonts w:ascii="Arial" w:hAnsi="Arial" w:cs="Arial"/>
          </w:rPr>
          <w:t>Mackay LMAC</w:t>
        </w:r>
      </w:hyperlink>
    </w:p>
    <w:p w14:paraId="5D9AAD8C" w14:textId="46AE2EB7" w:rsidR="00FF04A1" w:rsidRDefault="00B82FE0" w:rsidP="00FF04A1">
      <w:pPr>
        <w:pStyle w:val="ListParagraph"/>
        <w:numPr>
          <w:ilvl w:val="0"/>
          <w:numId w:val="9"/>
        </w:numPr>
        <w:rPr>
          <w:rFonts w:ascii="Arial" w:hAnsi="Arial" w:cs="Arial"/>
        </w:rPr>
      </w:pPr>
      <w:hyperlink r:id="rId40" w:history="1">
        <w:r w:rsidR="00FF04A1" w:rsidRPr="008322C7">
          <w:rPr>
            <w:rStyle w:val="Hyperlink"/>
            <w:rFonts w:ascii="Arial" w:hAnsi="Arial" w:cs="Arial"/>
          </w:rPr>
          <w:t>Capricorn Coast LMAC</w:t>
        </w:r>
      </w:hyperlink>
    </w:p>
    <w:p w14:paraId="620C9FA6" w14:textId="7BEFC0D6" w:rsidR="00FF04A1" w:rsidRDefault="00B82FE0" w:rsidP="00FF04A1">
      <w:pPr>
        <w:pStyle w:val="ListParagraph"/>
        <w:numPr>
          <w:ilvl w:val="0"/>
          <w:numId w:val="9"/>
        </w:numPr>
        <w:rPr>
          <w:rFonts w:ascii="Arial" w:hAnsi="Arial" w:cs="Arial"/>
        </w:rPr>
      </w:pPr>
      <w:hyperlink r:id="rId41" w:history="1">
        <w:r w:rsidR="00FF04A1" w:rsidRPr="008322C7">
          <w:rPr>
            <w:rStyle w:val="Hyperlink"/>
            <w:rFonts w:ascii="Arial" w:hAnsi="Arial" w:cs="Arial"/>
          </w:rPr>
          <w:t>Gladstone LMAC</w:t>
        </w:r>
      </w:hyperlink>
    </w:p>
    <w:p w14:paraId="07BF1239" w14:textId="1E93C6DD" w:rsidR="00FF04A1" w:rsidRDefault="00B82FE0" w:rsidP="00FF04A1">
      <w:pPr>
        <w:pStyle w:val="ListParagraph"/>
        <w:numPr>
          <w:ilvl w:val="0"/>
          <w:numId w:val="9"/>
        </w:numPr>
        <w:rPr>
          <w:rFonts w:ascii="Arial" w:hAnsi="Arial" w:cs="Arial"/>
        </w:rPr>
      </w:pPr>
      <w:hyperlink r:id="rId42" w:history="1">
        <w:r w:rsidR="00FF04A1" w:rsidRPr="008322C7">
          <w:rPr>
            <w:rStyle w:val="Hyperlink"/>
            <w:rFonts w:ascii="Arial" w:hAnsi="Arial" w:cs="Arial"/>
          </w:rPr>
          <w:t>Burnett LMAC</w:t>
        </w:r>
      </w:hyperlink>
    </w:p>
    <w:p w14:paraId="42DACA65" w14:textId="03E395C2" w:rsidR="008B3A1E" w:rsidRPr="008B3A1E" w:rsidRDefault="008B3A1E" w:rsidP="008B3A1E">
      <w:pPr>
        <w:rPr>
          <w:rFonts w:ascii="Arial" w:hAnsi="Arial" w:cs="Arial"/>
        </w:rPr>
      </w:pPr>
      <w:r w:rsidRPr="008B3A1E">
        <w:rPr>
          <w:rFonts w:ascii="Arial" w:hAnsi="Arial" w:cs="Arial"/>
        </w:rPr>
        <w:t xml:space="preserve">The </w:t>
      </w:r>
      <w:hyperlink r:id="rId43" w:history="1">
        <w:r w:rsidRPr="004E242E">
          <w:rPr>
            <w:rStyle w:val="Hyperlink"/>
            <w:rFonts w:ascii="Arial" w:hAnsi="Arial" w:cs="Arial"/>
          </w:rPr>
          <w:t>Tourism Reef Advisory Committee</w:t>
        </w:r>
      </w:hyperlink>
      <w:r w:rsidRPr="008B3A1E">
        <w:rPr>
          <w:rFonts w:ascii="Arial" w:hAnsi="Arial" w:cs="Arial"/>
        </w:rPr>
        <w:t xml:space="preserve"> was established in 2014. Members are appointed for a three-year term. The committee advises the agency about tourism matters relating to the management of the Marine Park. </w:t>
      </w:r>
    </w:p>
    <w:p w14:paraId="5E936FD6" w14:textId="62A0E5E7" w:rsidR="008B3A1E" w:rsidRPr="008B3A1E" w:rsidRDefault="008B3A1E" w:rsidP="008B3A1E">
      <w:pPr>
        <w:rPr>
          <w:rFonts w:ascii="Arial" w:hAnsi="Arial" w:cs="Arial"/>
        </w:rPr>
      </w:pPr>
      <w:r w:rsidRPr="008B3A1E">
        <w:rPr>
          <w:rFonts w:ascii="Arial" w:hAnsi="Arial" w:cs="Arial"/>
        </w:rPr>
        <w:t xml:space="preserve">In 2015–16, the committee </w:t>
      </w:r>
      <w:r w:rsidR="00C7474B">
        <w:rPr>
          <w:rFonts w:ascii="Arial" w:hAnsi="Arial" w:cs="Arial"/>
        </w:rPr>
        <w:t xml:space="preserve">met twice and </w:t>
      </w:r>
      <w:r w:rsidRPr="008B3A1E">
        <w:rPr>
          <w:rFonts w:ascii="Arial" w:hAnsi="Arial" w:cs="Arial"/>
        </w:rPr>
        <w:t xml:space="preserve">helped </w:t>
      </w:r>
      <w:r w:rsidR="004E242E">
        <w:rPr>
          <w:rFonts w:ascii="Arial" w:hAnsi="Arial" w:cs="Arial"/>
        </w:rPr>
        <w:t>GBRMPA</w:t>
      </w:r>
      <w:r w:rsidRPr="008B3A1E">
        <w:rPr>
          <w:rFonts w:ascii="Arial" w:hAnsi="Arial" w:cs="Arial"/>
        </w:rPr>
        <w:t xml:space="preserve"> to improve uptake of best practice and stewardship in the Marine Park by providing specific advice on:</w:t>
      </w:r>
    </w:p>
    <w:p w14:paraId="59365B34" w14:textId="77777777" w:rsidR="008B3A1E" w:rsidRPr="008B3A1E" w:rsidRDefault="008B3A1E" w:rsidP="008B3A1E">
      <w:pPr>
        <w:pStyle w:val="ListParagraph"/>
        <w:numPr>
          <w:ilvl w:val="0"/>
          <w:numId w:val="9"/>
        </w:numPr>
        <w:rPr>
          <w:rFonts w:ascii="Arial" w:hAnsi="Arial" w:cs="Arial"/>
        </w:rPr>
      </w:pPr>
      <w:r w:rsidRPr="008B3A1E">
        <w:rPr>
          <w:rFonts w:ascii="Arial" w:hAnsi="Arial" w:cs="Arial"/>
        </w:rPr>
        <w:t>best practice for wildlife interactions</w:t>
      </w:r>
    </w:p>
    <w:p w14:paraId="1555BA67" w14:textId="77777777" w:rsidR="008B3A1E" w:rsidRPr="008B3A1E" w:rsidRDefault="008B3A1E" w:rsidP="008B3A1E">
      <w:pPr>
        <w:pStyle w:val="ListParagraph"/>
        <w:numPr>
          <w:ilvl w:val="0"/>
          <w:numId w:val="9"/>
        </w:numPr>
        <w:rPr>
          <w:rFonts w:ascii="Arial" w:hAnsi="Arial" w:cs="Arial"/>
        </w:rPr>
      </w:pPr>
      <w:r w:rsidRPr="008B3A1E">
        <w:rPr>
          <w:rFonts w:ascii="Arial" w:hAnsi="Arial" w:cs="Arial"/>
        </w:rPr>
        <w:t>improvements to the High Standard Tourism program, including ways for the industry to better present World Heritage Area values to visitors</w:t>
      </w:r>
    </w:p>
    <w:p w14:paraId="14DCB319" w14:textId="77777777" w:rsidR="008B3A1E" w:rsidRPr="008B3A1E" w:rsidRDefault="008B3A1E" w:rsidP="008B3A1E">
      <w:pPr>
        <w:pStyle w:val="ListParagraph"/>
        <w:numPr>
          <w:ilvl w:val="0"/>
          <w:numId w:val="9"/>
        </w:numPr>
        <w:rPr>
          <w:rFonts w:ascii="Arial" w:hAnsi="Arial" w:cs="Arial"/>
        </w:rPr>
      </w:pPr>
      <w:r w:rsidRPr="008B3A1E">
        <w:rPr>
          <w:rFonts w:ascii="Arial" w:hAnsi="Arial" w:cs="Arial"/>
        </w:rPr>
        <w:t>ways to better engage with industry, through the Eye on the Reef program</w:t>
      </w:r>
    </w:p>
    <w:p w14:paraId="71CF89F7" w14:textId="77777777" w:rsidR="008B3A1E" w:rsidRPr="008B3A1E" w:rsidRDefault="008B3A1E" w:rsidP="008B3A1E">
      <w:pPr>
        <w:pStyle w:val="ListParagraph"/>
        <w:numPr>
          <w:ilvl w:val="0"/>
          <w:numId w:val="9"/>
        </w:numPr>
        <w:rPr>
          <w:rFonts w:ascii="Arial" w:hAnsi="Arial" w:cs="Arial"/>
        </w:rPr>
      </w:pPr>
      <w:proofErr w:type="gramStart"/>
      <w:r w:rsidRPr="008B3A1E">
        <w:rPr>
          <w:rFonts w:ascii="Arial" w:hAnsi="Arial" w:cs="Arial"/>
        </w:rPr>
        <w:t>ways</w:t>
      </w:r>
      <w:proofErr w:type="gramEnd"/>
      <w:r w:rsidRPr="008B3A1E">
        <w:rPr>
          <w:rFonts w:ascii="Arial" w:hAnsi="Arial" w:cs="Arial"/>
        </w:rPr>
        <w:t xml:space="preserve"> to advocate for Reef resilience, using the Eye on the Reef and crown-of-thorns starfish management program. </w:t>
      </w:r>
    </w:p>
    <w:p w14:paraId="41ECB84D" w14:textId="3AD68FF4" w:rsidR="008B3A1E" w:rsidRPr="008B3A1E" w:rsidRDefault="008B3A1E" w:rsidP="008B3A1E">
      <w:pPr>
        <w:rPr>
          <w:rFonts w:ascii="Arial" w:hAnsi="Arial" w:cs="Arial"/>
        </w:rPr>
      </w:pPr>
      <w:r w:rsidRPr="008B3A1E">
        <w:rPr>
          <w:rFonts w:ascii="Arial" w:hAnsi="Arial" w:cs="Arial"/>
        </w:rPr>
        <w:t xml:space="preserve">The committee provided a standing item on the status of the marine tourism industry. This provides insights into the Reef’s social and economic values, </w:t>
      </w:r>
      <w:r w:rsidR="001F391B">
        <w:rPr>
          <w:rFonts w:ascii="Arial" w:hAnsi="Arial" w:cs="Arial"/>
        </w:rPr>
        <w:t>so that these can be considered</w:t>
      </w:r>
      <w:r w:rsidRPr="008B3A1E">
        <w:rPr>
          <w:rFonts w:ascii="Arial" w:hAnsi="Arial" w:cs="Arial"/>
        </w:rPr>
        <w:t xml:space="preserve"> in management decisions.</w:t>
      </w:r>
    </w:p>
    <w:p w14:paraId="31672748" w14:textId="77777777" w:rsidR="008B3A1E" w:rsidRPr="008B3A1E" w:rsidRDefault="008B3A1E" w:rsidP="008B3A1E">
      <w:pPr>
        <w:rPr>
          <w:rFonts w:ascii="Arial" w:hAnsi="Arial" w:cs="Arial"/>
        </w:rPr>
      </w:pPr>
      <w:r w:rsidRPr="008B3A1E">
        <w:rPr>
          <w:rFonts w:ascii="Arial" w:hAnsi="Arial" w:cs="Arial"/>
        </w:rPr>
        <w:t>In addition, the committee helped the agency to strengthen engagement — in particular, to deliver effective environmental regulation — by advising on:</w:t>
      </w:r>
    </w:p>
    <w:p w14:paraId="5D5ACFAB" w14:textId="323C07B1" w:rsidR="008B3A1E" w:rsidRPr="008B3A1E" w:rsidRDefault="008B3A1E" w:rsidP="008B3A1E">
      <w:pPr>
        <w:pStyle w:val="ListParagraph"/>
        <w:numPr>
          <w:ilvl w:val="0"/>
          <w:numId w:val="9"/>
        </w:numPr>
        <w:rPr>
          <w:rFonts w:ascii="Arial" w:hAnsi="Arial" w:cs="Arial"/>
        </w:rPr>
      </w:pPr>
      <w:r w:rsidRPr="008B3A1E">
        <w:rPr>
          <w:rFonts w:ascii="Arial" w:hAnsi="Arial" w:cs="Arial"/>
        </w:rPr>
        <w:t>cumu</w:t>
      </w:r>
      <w:r w:rsidR="001F391B">
        <w:rPr>
          <w:rFonts w:ascii="Arial" w:hAnsi="Arial" w:cs="Arial"/>
        </w:rPr>
        <w:t>lative effects of intensive use;</w:t>
      </w:r>
    </w:p>
    <w:p w14:paraId="7FDDBD24" w14:textId="43FFDD5A" w:rsidR="008B3A1E" w:rsidRPr="008B3A1E" w:rsidRDefault="008B3A1E" w:rsidP="008B3A1E">
      <w:pPr>
        <w:pStyle w:val="ListParagraph"/>
        <w:numPr>
          <w:ilvl w:val="0"/>
          <w:numId w:val="9"/>
        </w:numPr>
        <w:rPr>
          <w:rFonts w:ascii="Arial" w:hAnsi="Arial" w:cs="Arial"/>
        </w:rPr>
      </w:pPr>
      <w:r w:rsidRPr="008B3A1E">
        <w:rPr>
          <w:rFonts w:ascii="Arial" w:hAnsi="Arial" w:cs="Arial"/>
        </w:rPr>
        <w:t>net benefits and offsets policy principles, and the tourism sector plan (for example, Reef 2050 Plan initiatives)</w:t>
      </w:r>
      <w:r w:rsidR="001F391B">
        <w:rPr>
          <w:rFonts w:ascii="Arial" w:hAnsi="Arial" w:cs="Arial"/>
        </w:rPr>
        <w:t>;</w:t>
      </w:r>
    </w:p>
    <w:p w14:paraId="78AE0F1A" w14:textId="39B34DFF" w:rsidR="008B3A1E" w:rsidRPr="008B3A1E" w:rsidRDefault="008B3A1E" w:rsidP="008B3A1E">
      <w:pPr>
        <w:pStyle w:val="ListParagraph"/>
        <w:numPr>
          <w:ilvl w:val="0"/>
          <w:numId w:val="9"/>
        </w:numPr>
        <w:rPr>
          <w:rFonts w:ascii="Arial" w:hAnsi="Arial" w:cs="Arial"/>
        </w:rPr>
      </w:pPr>
      <w:r w:rsidRPr="008B3A1E">
        <w:rPr>
          <w:rFonts w:ascii="Arial" w:hAnsi="Arial" w:cs="Arial"/>
        </w:rPr>
        <w:t>amendments to the Whitsundays Plan of Management</w:t>
      </w:r>
      <w:r w:rsidR="001F391B">
        <w:rPr>
          <w:rFonts w:ascii="Arial" w:hAnsi="Arial" w:cs="Arial"/>
        </w:rPr>
        <w:t>;</w:t>
      </w:r>
    </w:p>
    <w:p w14:paraId="4886508E" w14:textId="5945EF79" w:rsidR="008B3A1E" w:rsidRPr="008B3A1E" w:rsidRDefault="001F391B" w:rsidP="008B3A1E">
      <w:pPr>
        <w:pStyle w:val="ListParagraph"/>
        <w:numPr>
          <w:ilvl w:val="0"/>
          <w:numId w:val="9"/>
        </w:numPr>
        <w:rPr>
          <w:rFonts w:ascii="Arial" w:hAnsi="Arial" w:cs="Arial"/>
        </w:rPr>
      </w:pPr>
      <w:r>
        <w:rPr>
          <w:rFonts w:ascii="Arial" w:hAnsi="Arial" w:cs="Arial"/>
        </w:rPr>
        <w:t>the Tourism Management Strategy; and</w:t>
      </w:r>
    </w:p>
    <w:p w14:paraId="63CD3804" w14:textId="77777777" w:rsidR="008B3A1E" w:rsidRPr="008B3A1E" w:rsidRDefault="008B3A1E" w:rsidP="008B3A1E">
      <w:pPr>
        <w:pStyle w:val="ListParagraph"/>
        <w:numPr>
          <w:ilvl w:val="0"/>
          <w:numId w:val="9"/>
        </w:numPr>
        <w:rPr>
          <w:rFonts w:ascii="Arial" w:hAnsi="Arial" w:cs="Arial"/>
        </w:rPr>
      </w:pPr>
      <w:proofErr w:type="gramStart"/>
      <w:r w:rsidRPr="008B3A1E">
        <w:rPr>
          <w:rFonts w:ascii="Arial" w:hAnsi="Arial" w:cs="Arial"/>
        </w:rPr>
        <w:t>how</w:t>
      </w:r>
      <w:proofErr w:type="gramEnd"/>
      <w:r w:rsidRPr="008B3A1E">
        <w:rPr>
          <w:rFonts w:ascii="Arial" w:hAnsi="Arial" w:cs="Arial"/>
        </w:rPr>
        <w:t xml:space="preserve"> to improve the permissions system. </w:t>
      </w:r>
    </w:p>
    <w:p w14:paraId="52EAE8E3" w14:textId="4C9048A2" w:rsidR="008B3A1E" w:rsidRPr="008B3A1E" w:rsidRDefault="008B3A1E" w:rsidP="008B3A1E">
      <w:pPr>
        <w:rPr>
          <w:rFonts w:ascii="Arial" w:hAnsi="Arial" w:cs="Arial"/>
        </w:rPr>
      </w:pPr>
      <w:r w:rsidRPr="008B3A1E">
        <w:rPr>
          <w:rFonts w:ascii="Arial" w:hAnsi="Arial" w:cs="Arial"/>
        </w:rPr>
        <w:t xml:space="preserve">After each meeting, the committee provided advice to </w:t>
      </w:r>
      <w:r w:rsidR="004E242E">
        <w:rPr>
          <w:rFonts w:ascii="Arial" w:hAnsi="Arial" w:cs="Arial"/>
        </w:rPr>
        <w:t>GBRMPA</w:t>
      </w:r>
      <w:r w:rsidRPr="008B3A1E">
        <w:rPr>
          <w:rFonts w:ascii="Arial" w:hAnsi="Arial" w:cs="Arial"/>
        </w:rPr>
        <w:t xml:space="preserve"> about its work programs and initiatives from a tourism and recreational perspective. This advice was also </w:t>
      </w:r>
      <w:hyperlink r:id="rId44" w:history="1">
        <w:r w:rsidRPr="00F010DB">
          <w:rPr>
            <w:rStyle w:val="Hyperlink"/>
            <w:rFonts w:ascii="Arial" w:hAnsi="Arial" w:cs="Arial"/>
          </w:rPr>
          <w:t>made publicly available as a communique</w:t>
        </w:r>
      </w:hyperlink>
      <w:r w:rsidRPr="008B3A1E">
        <w:rPr>
          <w:rFonts w:ascii="Arial" w:hAnsi="Arial" w:cs="Arial"/>
        </w:rPr>
        <w:t xml:space="preserve"> on </w:t>
      </w:r>
      <w:r w:rsidR="004E242E">
        <w:rPr>
          <w:rFonts w:ascii="Arial" w:hAnsi="Arial" w:cs="Arial"/>
        </w:rPr>
        <w:t>GBRMPA</w:t>
      </w:r>
      <w:r w:rsidRPr="008B3A1E">
        <w:rPr>
          <w:rFonts w:ascii="Arial" w:hAnsi="Arial" w:cs="Arial"/>
        </w:rPr>
        <w:t xml:space="preserve">’s website. </w:t>
      </w:r>
    </w:p>
    <w:p w14:paraId="20EB5978" w14:textId="60AB4238" w:rsidR="00F010DB" w:rsidRDefault="001006A3" w:rsidP="001006A3">
      <w:pPr>
        <w:rPr>
          <w:rFonts w:ascii="Arial" w:hAnsi="Arial" w:cs="Arial"/>
        </w:rPr>
      </w:pPr>
      <w:r>
        <w:rPr>
          <w:rFonts w:ascii="Arial" w:hAnsi="Arial" w:cs="Arial"/>
        </w:rPr>
        <w:t xml:space="preserve">The </w:t>
      </w:r>
      <w:hyperlink r:id="rId45" w:history="1">
        <w:r w:rsidRPr="003A0A17">
          <w:rPr>
            <w:rStyle w:val="Hyperlink"/>
            <w:rFonts w:ascii="Arial" w:hAnsi="Arial" w:cs="Arial"/>
          </w:rPr>
          <w:t>Indigenous Reef Advisory Committee</w:t>
        </w:r>
      </w:hyperlink>
      <w:r>
        <w:rPr>
          <w:rFonts w:ascii="Arial" w:hAnsi="Arial" w:cs="Arial"/>
        </w:rPr>
        <w:t xml:space="preserve"> was established in 2015. Members are appointed for a three-year term. </w:t>
      </w:r>
      <w:r w:rsidR="00F010DB">
        <w:rPr>
          <w:rFonts w:ascii="Arial" w:hAnsi="Arial" w:cs="Arial"/>
        </w:rPr>
        <w:t xml:space="preserve">The committee advises GBRMPA about </w:t>
      </w:r>
      <w:r w:rsidR="00F010DB" w:rsidRPr="00F010DB">
        <w:rPr>
          <w:rFonts w:ascii="Arial" w:hAnsi="Arial" w:cs="Arial"/>
        </w:rPr>
        <w:t>traditional ecological knowledge and how Traditional Owners want to protect their sea country for the long term</w:t>
      </w:r>
      <w:r w:rsidR="00F010DB">
        <w:rPr>
          <w:rFonts w:ascii="Arial" w:hAnsi="Arial" w:cs="Arial"/>
        </w:rPr>
        <w:t>.</w:t>
      </w:r>
      <w:r w:rsidR="00F010DB" w:rsidRPr="00F010DB">
        <w:rPr>
          <w:rFonts w:ascii="Arial" w:hAnsi="Arial" w:cs="Arial"/>
        </w:rPr>
        <w:t xml:space="preserve"> </w:t>
      </w:r>
    </w:p>
    <w:p w14:paraId="57631364" w14:textId="49B6FD68" w:rsidR="001006A3" w:rsidRPr="001006A3" w:rsidRDefault="001006A3" w:rsidP="001006A3">
      <w:pPr>
        <w:rPr>
          <w:rFonts w:ascii="Arial" w:hAnsi="Arial" w:cs="Arial"/>
        </w:rPr>
      </w:pPr>
      <w:r w:rsidRPr="001006A3">
        <w:rPr>
          <w:rFonts w:ascii="Arial" w:hAnsi="Arial" w:cs="Arial"/>
        </w:rPr>
        <w:t xml:space="preserve">In 2015–16, three meetings </w:t>
      </w:r>
      <w:r w:rsidR="00BC1D25">
        <w:rPr>
          <w:rFonts w:ascii="Arial" w:hAnsi="Arial" w:cs="Arial"/>
        </w:rPr>
        <w:t xml:space="preserve">(Sep/Oct, Feb; May) </w:t>
      </w:r>
      <w:r w:rsidR="00F010DB">
        <w:rPr>
          <w:rFonts w:ascii="Arial" w:hAnsi="Arial" w:cs="Arial"/>
        </w:rPr>
        <w:t>of</w:t>
      </w:r>
      <w:r w:rsidRPr="001006A3">
        <w:rPr>
          <w:rFonts w:ascii="Arial" w:hAnsi="Arial" w:cs="Arial"/>
        </w:rPr>
        <w:t xml:space="preserve"> the Indigenous Reef Advisory Committee </w:t>
      </w:r>
      <w:r w:rsidR="00F010DB">
        <w:rPr>
          <w:rFonts w:ascii="Arial" w:hAnsi="Arial" w:cs="Arial"/>
        </w:rPr>
        <w:t>provided advice including</w:t>
      </w:r>
      <w:r w:rsidRPr="001006A3">
        <w:rPr>
          <w:rFonts w:ascii="Arial" w:hAnsi="Arial" w:cs="Arial"/>
        </w:rPr>
        <w:t>:</w:t>
      </w:r>
    </w:p>
    <w:p w14:paraId="0EEBC81C" w14:textId="61943BDF" w:rsidR="001006A3" w:rsidRPr="001006A3" w:rsidRDefault="001006A3" w:rsidP="001006A3">
      <w:pPr>
        <w:pStyle w:val="ListParagraph"/>
        <w:numPr>
          <w:ilvl w:val="0"/>
          <w:numId w:val="9"/>
        </w:numPr>
        <w:rPr>
          <w:rFonts w:ascii="Arial" w:hAnsi="Arial" w:cs="Arial"/>
        </w:rPr>
      </w:pPr>
      <w:r w:rsidRPr="001006A3">
        <w:rPr>
          <w:rFonts w:ascii="Arial" w:hAnsi="Arial" w:cs="Arial"/>
        </w:rPr>
        <w:t>develop</w:t>
      </w:r>
      <w:r w:rsidR="00F010DB">
        <w:rPr>
          <w:rFonts w:ascii="Arial" w:hAnsi="Arial" w:cs="Arial"/>
        </w:rPr>
        <w:t xml:space="preserve">ment of </w:t>
      </w:r>
      <w:r w:rsidRPr="001006A3">
        <w:rPr>
          <w:rFonts w:ascii="Arial" w:hAnsi="Arial" w:cs="Arial"/>
        </w:rPr>
        <w:t xml:space="preserve"> guidelines for the protection of Indigenous heritage values</w:t>
      </w:r>
      <w:r>
        <w:rPr>
          <w:rFonts w:ascii="Arial" w:hAnsi="Arial" w:cs="Arial"/>
        </w:rPr>
        <w:t>;</w:t>
      </w:r>
    </w:p>
    <w:p w14:paraId="0668996A" w14:textId="0EC9BB46" w:rsidR="001006A3" w:rsidRPr="001006A3" w:rsidRDefault="001006A3" w:rsidP="001006A3">
      <w:pPr>
        <w:pStyle w:val="ListParagraph"/>
        <w:numPr>
          <w:ilvl w:val="0"/>
          <w:numId w:val="9"/>
        </w:numPr>
        <w:rPr>
          <w:rFonts w:ascii="Arial" w:hAnsi="Arial" w:cs="Arial"/>
        </w:rPr>
      </w:pPr>
      <w:r w:rsidRPr="001006A3">
        <w:rPr>
          <w:rFonts w:ascii="Arial" w:hAnsi="Arial" w:cs="Arial"/>
        </w:rPr>
        <w:lastRenderedPageBreak/>
        <w:t>scope</w:t>
      </w:r>
      <w:r w:rsidR="00F010DB">
        <w:rPr>
          <w:rFonts w:ascii="Arial" w:hAnsi="Arial" w:cs="Arial"/>
        </w:rPr>
        <w:t xml:space="preserve"> for</w:t>
      </w:r>
      <w:r w:rsidRPr="001006A3">
        <w:rPr>
          <w:rFonts w:ascii="Arial" w:hAnsi="Arial" w:cs="Arial"/>
        </w:rPr>
        <w:t xml:space="preserve"> the development of an Indigenous heritage strategy, and the sharing of culturally sensitive information to better inform management</w:t>
      </w:r>
      <w:r>
        <w:rPr>
          <w:rFonts w:ascii="Arial" w:hAnsi="Arial" w:cs="Arial"/>
        </w:rPr>
        <w:t>; and</w:t>
      </w:r>
    </w:p>
    <w:p w14:paraId="3E2712B3" w14:textId="6C221710" w:rsidR="008B3A1E" w:rsidRDefault="00F010DB" w:rsidP="001006A3">
      <w:pPr>
        <w:pStyle w:val="ListParagraph"/>
        <w:numPr>
          <w:ilvl w:val="0"/>
          <w:numId w:val="9"/>
        </w:numPr>
        <w:rPr>
          <w:rFonts w:ascii="Arial" w:hAnsi="Arial" w:cs="Arial"/>
        </w:rPr>
      </w:pPr>
      <w:proofErr w:type="gramStart"/>
      <w:r>
        <w:rPr>
          <w:rFonts w:ascii="Arial" w:hAnsi="Arial" w:cs="Arial"/>
        </w:rPr>
        <w:t>development</w:t>
      </w:r>
      <w:proofErr w:type="gramEnd"/>
      <w:r>
        <w:rPr>
          <w:rFonts w:ascii="Arial" w:hAnsi="Arial" w:cs="Arial"/>
        </w:rPr>
        <w:t xml:space="preserve"> of </w:t>
      </w:r>
      <w:r w:rsidR="001006A3" w:rsidRPr="001006A3">
        <w:rPr>
          <w:rFonts w:ascii="Arial" w:hAnsi="Arial" w:cs="Arial"/>
        </w:rPr>
        <w:t>draft a policy on the Traditional Use of Marine Resources.</w:t>
      </w:r>
    </w:p>
    <w:p w14:paraId="4D48D615" w14:textId="42DE29D4" w:rsidR="00F010DB" w:rsidRDefault="00F010DB" w:rsidP="007D545D">
      <w:pPr>
        <w:rPr>
          <w:rFonts w:ascii="Arial" w:hAnsi="Arial" w:cs="Arial"/>
        </w:rPr>
      </w:pPr>
      <w:r>
        <w:rPr>
          <w:rFonts w:ascii="Arial" w:hAnsi="Arial" w:cs="Arial"/>
        </w:rPr>
        <w:t xml:space="preserve">Outcomes of the meetings are </w:t>
      </w:r>
      <w:hyperlink r:id="rId46" w:history="1">
        <w:r w:rsidRPr="00F010DB">
          <w:rPr>
            <w:rStyle w:val="Hyperlink"/>
            <w:rFonts w:ascii="Arial" w:hAnsi="Arial" w:cs="Arial"/>
          </w:rPr>
          <w:t>made publicly available as a communique</w:t>
        </w:r>
      </w:hyperlink>
      <w:r>
        <w:rPr>
          <w:rFonts w:ascii="Arial" w:hAnsi="Arial" w:cs="Arial"/>
        </w:rPr>
        <w:t xml:space="preserve"> on GBRMPA’s website.</w:t>
      </w:r>
    </w:p>
    <w:p w14:paraId="72AF7DB4" w14:textId="0D1392E9" w:rsidR="00147042" w:rsidRPr="00147042" w:rsidRDefault="004703B2" w:rsidP="00147042">
      <w:pPr>
        <w:rPr>
          <w:rFonts w:ascii="Arial" w:hAnsi="Arial" w:cs="Arial"/>
        </w:rPr>
      </w:pPr>
      <w:r>
        <w:rPr>
          <w:rFonts w:ascii="Arial" w:hAnsi="Arial" w:cs="Arial"/>
        </w:rPr>
        <w:t>GBRMPA</w:t>
      </w:r>
      <w:r w:rsidR="00147042" w:rsidRPr="00147042">
        <w:rPr>
          <w:rFonts w:ascii="Arial" w:hAnsi="Arial" w:cs="Arial"/>
        </w:rPr>
        <w:t xml:space="preserve"> work</w:t>
      </w:r>
      <w:r>
        <w:rPr>
          <w:rFonts w:ascii="Arial" w:hAnsi="Arial" w:cs="Arial"/>
        </w:rPr>
        <w:t>s</w:t>
      </w:r>
      <w:r w:rsidR="00147042" w:rsidRPr="00147042">
        <w:rPr>
          <w:rFonts w:ascii="Arial" w:hAnsi="Arial" w:cs="Arial"/>
        </w:rPr>
        <w:t xml:space="preserve"> closely with Traditional Owner groups, the traditional custodians of the Great Barrier Reef for more than 60,000 years, particularly through </w:t>
      </w:r>
      <w:hyperlink r:id="rId47" w:history="1">
        <w:r w:rsidR="00147042" w:rsidRPr="00147042">
          <w:rPr>
            <w:rStyle w:val="Hyperlink"/>
            <w:rFonts w:ascii="Arial" w:hAnsi="Arial" w:cs="Arial"/>
          </w:rPr>
          <w:t>Traditional Use of Marine Resources Agreements</w:t>
        </w:r>
      </w:hyperlink>
      <w:r w:rsidR="00147042" w:rsidRPr="00147042">
        <w:rPr>
          <w:rFonts w:ascii="Arial" w:hAnsi="Arial" w:cs="Arial"/>
        </w:rPr>
        <w:t>.</w:t>
      </w:r>
      <w:r w:rsidR="00147042">
        <w:rPr>
          <w:rFonts w:ascii="Arial" w:hAnsi="Arial" w:cs="Arial"/>
        </w:rPr>
        <w:t xml:space="preserve"> </w:t>
      </w:r>
      <w:r w:rsidR="00147042" w:rsidRPr="00147042">
        <w:rPr>
          <w:rFonts w:ascii="Arial" w:hAnsi="Arial" w:cs="Arial"/>
        </w:rPr>
        <w:t>These agreements describe how individual Traditional Owner groups wish to manage traditional use of marine resources in their sea country areas, and incorporate specific management strategies for:</w:t>
      </w:r>
    </w:p>
    <w:p w14:paraId="51765D59" w14:textId="5E97D432" w:rsidR="00147042" w:rsidRPr="00147042" w:rsidRDefault="00147042" w:rsidP="00147042">
      <w:pPr>
        <w:pStyle w:val="ListParagraph"/>
        <w:numPr>
          <w:ilvl w:val="0"/>
          <w:numId w:val="9"/>
        </w:numPr>
        <w:rPr>
          <w:rFonts w:ascii="Arial" w:hAnsi="Arial" w:cs="Arial"/>
        </w:rPr>
      </w:pPr>
      <w:r w:rsidRPr="00147042">
        <w:rPr>
          <w:rFonts w:ascii="Arial" w:hAnsi="Arial" w:cs="Arial"/>
        </w:rPr>
        <w:t>the conservation and sustainable use of key species and habitats</w:t>
      </w:r>
      <w:r>
        <w:rPr>
          <w:rFonts w:ascii="Arial" w:hAnsi="Arial" w:cs="Arial"/>
        </w:rPr>
        <w:t>;</w:t>
      </w:r>
    </w:p>
    <w:p w14:paraId="44E7FC05" w14:textId="01B474A9" w:rsidR="00147042" w:rsidRPr="00147042" w:rsidRDefault="00147042" w:rsidP="00147042">
      <w:pPr>
        <w:pStyle w:val="ListParagraph"/>
        <w:numPr>
          <w:ilvl w:val="0"/>
          <w:numId w:val="9"/>
        </w:numPr>
        <w:rPr>
          <w:rFonts w:ascii="Arial" w:hAnsi="Arial" w:cs="Arial"/>
        </w:rPr>
      </w:pPr>
      <w:r w:rsidRPr="00147042">
        <w:rPr>
          <w:rFonts w:ascii="Arial" w:hAnsi="Arial" w:cs="Arial"/>
        </w:rPr>
        <w:t>maintenance and protection of significant heritage values, including important places, traditional ecological knowledge, culture and language</w:t>
      </w:r>
      <w:r>
        <w:rPr>
          <w:rFonts w:ascii="Arial" w:hAnsi="Arial" w:cs="Arial"/>
        </w:rPr>
        <w:t>;</w:t>
      </w:r>
    </w:p>
    <w:p w14:paraId="12BC19BF" w14:textId="02EC197E" w:rsidR="00147042" w:rsidRPr="00147042" w:rsidRDefault="00147042" w:rsidP="00147042">
      <w:pPr>
        <w:pStyle w:val="ListParagraph"/>
        <w:numPr>
          <w:ilvl w:val="0"/>
          <w:numId w:val="9"/>
        </w:numPr>
        <w:rPr>
          <w:rFonts w:ascii="Arial" w:hAnsi="Arial" w:cs="Arial"/>
        </w:rPr>
      </w:pPr>
      <w:r w:rsidRPr="00147042">
        <w:rPr>
          <w:rFonts w:ascii="Arial" w:hAnsi="Arial" w:cs="Arial"/>
        </w:rPr>
        <w:t>research and monitoring of sea country, including partnerships with the agency, and other leading research institutes and researchers</w:t>
      </w:r>
      <w:r>
        <w:rPr>
          <w:rFonts w:ascii="Arial" w:hAnsi="Arial" w:cs="Arial"/>
        </w:rPr>
        <w:t>;</w:t>
      </w:r>
    </w:p>
    <w:p w14:paraId="55346444" w14:textId="369A9CB1" w:rsidR="00147042" w:rsidRPr="00147042" w:rsidRDefault="00147042" w:rsidP="00147042">
      <w:pPr>
        <w:pStyle w:val="ListParagraph"/>
        <w:numPr>
          <w:ilvl w:val="0"/>
          <w:numId w:val="9"/>
        </w:numPr>
        <w:rPr>
          <w:rFonts w:ascii="Arial" w:hAnsi="Arial" w:cs="Arial"/>
        </w:rPr>
      </w:pPr>
      <w:r w:rsidRPr="00147042">
        <w:rPr>
          <w:rFonts w:ascii="Arial" w:hAnsi="Arial" w:cs="Arial"/>
        </w:rPr>
        <w:t>leadership and governance, including knowledge management</w:t>
      </w:r>
      <w:r>
        <w:rPr>
          <w:rFonts w:ascii="Arial" w:hAnsi="Arial" w:cs="Arial"/>
        </w:rPr>
        <w:t>;</w:t>
      </w:r>
    </w:p>
    <w:p w14:paraId="55F7612A" w14:textId="6479F954" w:rsidR="00147042" w:rsidRPr="00147042" w:rsidRDefault="00147042" w:rsidP="00147042">
      <w:pPr>
        <w:pStyle w:val="ListParagraph"/>
        <w:numPr>
          <w:ilvl w:val="0"/>
          <w:numId w:val="9"/>
        </w:numPr>
        <w:rPr>
          <w:rFonts w:ascii="Arial" w:hAnsi="Arial" w:cs="Arial"/>
        </w:rPr>
      </w:pPr>
      <w:r w:rsidRPr="00147042">
        <w:rPr>
          <w:rFonts w:ascii="Arial" w:hAnsi="Arial" w:cs="Arial"/>
        </w:rPr>
        <w:t>education and information exchange</w:t>
      </w:r>
      <w:r>
        <w:rPr>
          <w:rFonts w:ascii="Arial" w:hAnsi="Arial" w:cs="Arial"/>
        </w:rPr>
        <w:t>; and</w:t>
      </w:r>
    </w:p>
    <w:p w14:paraId="0E5767A5" w14:textId="77777777" w:rsidR="00147042" w:rsidRPr="00147042" w:rsidRDefault="00147042" w:rsidP="00147042">
      <w:pPr>
        <w:pStyle w:val="ListParagraph"/>
        <w:numPr>
          <w:ilvl w:val="0"/>
          <w:numId w:val="9"/>
        </w:numPr>
        <w:rPr>
          <w:rFonts w:ascii="Arial" w:hAnsi="Arial" w:cs="Arial"/>
        </w:rPr>
      </w:pPr>
      <w:proofErr w:type="gramStart"/>
      <w:r w:rsidRPr="00147042">
        <w:rPr>
          <w:rFonts w:ascii="Arial" w:hAnsi="Arial" w:cs="Arial"/>
        </w:rPr>
        <w:t>compliance</w:t>
      </w:r>
      <w:proofErr w:type="gramEnd"/>
      <w:r w:rsidRPr="00147042">
        <w:rPr>
          <w:rFonts w:ascii="Arial" w:hAnsi="Arial" w:cs="Arial"/>
        </w:rPr>
        <w:t xml:space="preserve">. </w:t>
      </w:r>
    </w:p>
    <w:p w14:paraId="29DEA36A" w14:textId="509F2E0C" w:rsidR="00147042" w:rsidRDefault="00147042" w:rsidP="00147042">
      <w:pPr>
        <w:rPr>
          <w:rFonts w:ascii="Arial" w:hAnsi="Arial" w:cs="Arial"/>
        </w:rPr>
      </w:pPr>
      <w:r w:rsidRPr="00147042">
        <w:rPr>
          <w:rFonts w:ascii="Arial" w:hAnsi="Arial" w:cs="Arial"/>
        </w:rPr>
        <w:t xml:space="preserve">There are </w:t>
      </w:r>
      <w:proofErr w:type="gramStart"/>
      <w:r w:rsidRPr="00147042">
        <w:rPr>
          <w:rFonts w:ascii="Arial" w:hAnsi="Arial" w:cs="Arial"/>
        </w:rPr>
        <w:t>currently eight Traditional Use of Marine Resources Agreements in place, covering 24.6 per cent of the total Marine Park coastline</w:t>
      </w:r>
      <w:proofErr w:type="gramEnd"/>
      <w:r w:rsidRPr="00147042">
        <w:rPr>
          <w:rFonts w:ascii="Arial" w:hAnsi="Arial" w:cs="Arial"/>
        </w:rPr>
        <w:t xml:space="preserve">. Our partnership with Traditional Owners incorporates shared science, knowledge and environmental management for the ongoing protection of the Great Barrier Reef. </w:t>
      </w:r>
    </w:p>
    <w:p w14:paraId="1C8AAE23" w14:textId="4E607474" w:rsidR="00C7474B" w:rsidRPr="00DF7743" w:rsidRDefault="00C7474B" w:rsidP="00147042">
      <w:pPr>
        <w:rPr>
          <w:rFonts w:ascii="Arial" w:hAnsi="Arial" w:cs="Arial"/>
          <w:i/>
        </w:rPr>
      </w:pPr>
      <w:r w:rsidRPr="00DF7743">
        <w:rPr>
          <w:rFonts w:ascii="Arial" w:hAnsi="Arial" w:cs="Arial"/>
          <w:i/>
        </w:rPr>
        <w:t>Plan</w:t>
      </w:r>
      <w:r w:rsidR="00793123">
        <w:rPr>
          <w:rFonts w:ascii="Arial" w:hAnsi="Arial" w:cs="Arial"/>
          <w:i/>
        </w:rPr>
        <w:t>s</w:t>
      </w:r>
      <w:r w:rsidRPr="00DF7743">
        <w:rPr>
          <w:rFonts w:ascii="Arial" w:hAnsi="Arial" w:cs="Arial"/>
          <w:i/>
        </w:rPr>
        <w:t xml:space="preserve"> of Management</w:t>
      </w:r>
    </w:p>
    <w:p w14:paraId="5882F006" w14:textId="34AAF3E3" w:rsidR="00E23A93" w:rsidRPr="00E23A93" w:rsidRDefault="006A6FBC" w:rsidP="00E23A93">
      <w:pPr>
        <w:rPr>
          <w:rFonts w:ascii="Arial" w:hAnsi="Arial" w:cs="Arial"/>
        </w:rPr>
      </w:pPr>
      <w:r>
        <w:rPr>
          <w:rFonts w:ascii="Arial" w:hAnsi="Arial" w:cs="Arial"/>
        </w:rPr>
        <w:t>GBRMPA</w:t>
      </w:r>
      <w:r w:rsidR="00E23A93" w:rsidRPr="00E23A93">
        <w:rPr>
          <w:rFonts w:ascii="Arial" w:hAnsi="Arial" w:cs="Arial"/>
        </w:rPr>
        <w:t xml:space="preserve"> continued its </w:t>
      </w:r>
      <w:hyperlink r:id="rId48" w:history="1">
        <w:r w:rsidR="00E23A93" w:rsidRPr="00E23A93">
          <w:rPr>
            <w:rStyle w:val="Hyperlink"/>
            <w:rFonts w:ascii="Arial" w:hAnsi="Arial" w:cs="Arial"/>
          </w:rPr>
          <w:t>review of the Whitsundays Plan of Management 1998</w:t>
        </w:r>
      </w:hyperlink>
      <w:r w:rsidR="00E23A93" w:rsidRPr="00E23A93">
        <w:rPr>
          <w:rFonts w:ascii="Arial" w:hAnsi="Arial" w:cs="Arial"/>
        </w:rPr>
        <w:t xml:space="preserve">, which sets out the rules for specific activities in this area of the Marine Park. </w:t>
      </w:r>
    </w:p>
    <w:p w14:paraId="323EF065" w14:textId="1D1023B4" w:rsidR="00E23A93" w:rsidRPr="00E23A93" w:rsidRDefault="00A405EE" w:rsidP="00E23A93">
      <w:pPr>
        <w:rPr>
          <w:rFonts w:ascii="Arial" w:hAnsi="Arial" w:cs="Arial"/>
        </w:rPr>
      </w:pPr>
      <w:r w:rsidRPr="00A405EE">
        <w:rPr>
          <w:rFonts w:ascii="Arial" w:hAnsi="Arial" w:cs="Arial"/>
        </w:rPr>
        <w:t>The Plan was established in 1998 and</w:t>
      </w:r>
      <w:r w:rsidR="00DF7743">
        <w:rPr>
          <w:rFonts w:ascii="Arial" w:hAnsi="Arial" w:cs="Arial"/>
        </w:rPr>
        <w:t xml:space="preserve"> </w:t>
      </w:r>
      <w:r w:rsidRPr="00A405EE">
        <w:rPr>
          <w:rFonts w:ascii="Arial" w:hAnsi="Arial" w:cs="Arial"/>
        </w:rPr>
        <w:t>outlines how tourism and recreation in the Whitsundays can be managed to provide for a range of user experiences – from popular tourist destinations to low key nature based experiences</w:t>
      </w:r>
      <w:r w:rsidR="00147042">
        <w:rPr>
          <w:rFonts w:ascii="Arial" w:hAnsi="Arial" w:cs="Arial"/>
        </w:rPr>
        <w:t xml:space="preserve">. </w:t>
      </w:r>
      <w:r w:rsidR="00E23A93" w:rsidRPr="00E23A93">
        <w:rPr>
          <w:rFonts w:ascii="Arial" w:hAnsi="Arial" w:cs="Arial"/>
        </w:rPr>
        <w:t xml:space="preserve">In preparing proposed amendments, </w:t>
      </w:r>
      <w:r w:rsidR="006A6FBC">
        <w:rPr>
          <w:rFonts w:ascii="Arial" w:hAnsi="Arial" w:cs="Arial"/>
        </w:rPr>
        <w:t>GBRMPA</w:t>
      </w:r>
      <w:r w:rsidR="00E23A93" w:rsidRPr="00E23A93">
        <w:rPr>
          <w:rFonts w:ascii="Arial" w:hAnsi="Arial" w:cs="Arial"/>
        </w:rPr>
        <w:t xml:space="preserve"> consulted a range of stakeholders. </w:t>
      </w:r>
    </w:p>
    <w:p w14:paraId="339920D8" w14:textId="3B061E2D" w:rsidR="00E23A93" w:rsidRPr="00E23A93" w:rsidRDefault="00E23A93" w:rsidP="00E23A93">
      <w:pPr>
        <w:rPr>
          <w:rFonts w:ascii="Arial" w:hAnsi="Arial" w:cs="Arial"/>
        </w:rPr>
      </w:pPr>
      <w:r w:rsidRPr="00E23A93">
        <w:rPr>
          <w:rFonts w:ascii="Arial" w:hAnsi="Arial" w:cs="Arial"/>
        </w:rPr>
        <w:t>In August 2015, the agency visited representatives from three families who form part of the Ngaro Traditional Owner group. The visit was highly successful in progressing discussion and engagement with this stakeholder group.</w:t>
      </w:r>
    </w:p>
    <w:p w14:paraId="148DC342" w14:textId="51F4378A" w:rsidR="00E23A93" w:rsidRPr="00E23A93" w:rsidRDefault="00E23A93" w:rsidP="00E23A93">
      <w:pPr>
        <w:rPr>
          <w:rFonts w:ascii="Arial" w:hAnsi="Arial" w:cs="Arial"/>
        </w:rPr>
      </w:pPr>
      <w:r w:rsidRPr="00E23A93">
        <w:rPr>
          <w:rFonts w:ascii="Arial" w:hAnsi="Arial" w:cs="Arial"/>
        </w:rPr>
        <w:t>The review</w:t>
      </w:r>
      <w:r w:rsidR="00B846C7">
        <w:rPr>
          <w:rFonts w:ascii="Arial" w:hAnsi="Arial" w:cs="Arial"/>
        </w:rPr>
        <w:t xml:space="preserve"> of the Plan</w:t>
      </w:r>
      <w:r w:rsidRPr="00E23A93">
        <w:rPr>
          <w:rFonts w:ascii="Arial" w:hAnsi="Arial" w:cs="Arial"/>
        </w:rPr>
        <w:t xml:space="preserve">, which started in 2014, has been supported by a partnership with Queensland Parks and Wildlife Service. All proposed amendments to the Whitsundays Plan of Management were approved by the </w:t>
      </w:r>
      <w:r w:rsidR="004703B2">
        <w:rPr>
          <w:rFonts w:ascii="Arial" w:hAnsi="Arial" w:cs="Arial"/>
        </w:rPr>
        <w:t>GBRMPA</w:t>
      </w:r>
      <w:r w:rsidRPr="00E23A93">
        <w:rPr>
          <w:rFonts w:ascii="Arial" w:hAnsi="Arial" w:cs="Arial"/>
        </w:rPr>
        <w:t xml:space="preserve"> Board on 22</w:t>
      </w:r>
      <w:r w:rsidR="006A6FBC">
        <w:rPr>
          <w:rFonts w:ascii="Arial" w:hAnsi="Arial" w:cs="Arial"/>
        </w:rPr>
        <w:t> </w:t>
      </w:r>
      <w:r w:rsidRPr="00E23A93">
        <w:rPr>
          <w:rFonts w:ascii="Arial" w:hAnsi="Arial" w:cs="Arial"/>
        </w:rPr>
        <w:t xml:space="preserve">June 2016. This was a major milestone for the project, allowing the legal drafting to start. </w:t>
      </w:r>
    </w:p>
    <w:p w14:paraId="337068B3" w14:textId="1B39D811" w:rsidR="00A405EE" w:rsidRPr="00A405EE" w:rsidRDefault="00E23A93" w:rsidP="00A405EE">
      <w:pPr>
        <w:rPr>
          <w:rFonts w:ascii="Arial" w:hAnsi="Arial" w:cs="Arial"/>
        </w:rPr>
      </w:pPr>
      <w:r w:rsidRPr="00E23A93">
        <w:rPr>
          <w:rFonts w:ascii="Arial" w:hAnsi="Arial" w:cs="Arial"/>
        </w:rPr>
        <w:t>The review will continue in 2016–17</w:t>
      </w:r>
      <w:r w:rsidR="00B846C7">
        <w:rPr>
          <w:rFonts w:ascii="Arial" w:hAnsi="Arial" w:cs="Arial"/>
        </w:rPr>
        <w:t>, when</w:t>
      </w:r>
      <w:r w:rsidRPr="00E23A93">
        <w:rPr>
          <w:rFonts w:ascii="Arial" w:hAnsi="Arial" w:cs="Arial"/>
        </w:rPr>
        <w:t xml:space="preserve"> </w:t>
      </w:r>
      <w:r w:rsidR="00B846C7">
        <w:rPr>
          <w:rFonts w:ascii="Arial" w:hAnsi="Arial" w:cs="Arial"/>
        </w:rPr>
        <w:t>p</w:t>
      </w:r>
      <w:r w:rsidRPr="00E23A93">
        <w:rPr>
          <w:rFonts w:ascii="Arial" w:hAnsi="Arial" w:cs="Arial"/>
        </w:rPr>
        <w:t>ublic consultation is scheduled.</w:t>
      </w:r>
      <w:r w:rsidR="00A405EE">
        <w:rPr>
          <w:rFonts w:ascii="Arial" w:hAnsi="Arial" w:cs="Arial"/>
        </w:rPr>
        <w:t xml:space="preserve"> After considering public feedback the Plan will be finalised and provided to the </w:t>
      </w:r>
      <w:r w:rsidR="00A405EE" w:rsidRPr="00E23A93">
        <w:rPr>
          <w:rFonts w:ascii="Arial" w:hAnsi="Arial" w:cs="Arial"/>
        </w:rPr>
        <w:t>Great Barrier Reef Marine Park Authority Board</w:t>
      </w:r>
      <w:r w:rsidR="00A405EE">
        <w:rPr>
          <w:rFonts w:ascii="Arial" w:hAnsi="Arial" w:cs="Arial"/>
        </w:rPr>
        <w:t xml:space="preserve"> for consideration. </w:t>
      </w:r>
      <w:r w:rsidR="00A405EE" w:rsidRPr="00A405EE">
        <w:rPr>
          <w:rFonts w:ascii="Arial" w:hAnsi="Arial" w:cs="Arial"/>
        </w:rPr>
        <w:t>Consequential updates to the Great Barrier Reef Marine Park Regulations are also likely.</w:t>
      </w:r>
    </w:p>
    <w:p w14:paraId="4CFD4981" w14:textId="1522D361" w:rsidR="00E23A93" w:rsidRDefault="00A405EE" w:rsidP="00A405EE">
      <w:pPr>
        <w:rPr>
          <w:rFonts w:ascii="Arial" w:hAnsi="Arial" w:cs="Arial"/>
        </w:rPr>
      </w:pPr>
      <w:r w:rsidRPr="00A405EE">
        <w:rPr>
          <w:rFonts w:ascii="Arial" w:hAnsi="Arial" w:cs="Arial"/>
        </w:rPr>
        <w:lastRenderedPageBreak/>
        <w:t>Implementation of the plan will then occur</w:t>
      </w:r>
      <w:r>
        <w:rPr>
          <w:rFonts w:ascii="Arial" w:hAnsi="Arial" w:cs="Arial"/>
        </w:rPr>
        <w:t xml:space="preserve"> with a</w:t>
      </w:r>
      <w:r w:rsidRPr="00A405EE">
        <w:rPr>
          <w:rFonts w:ascii="Arial" w:hAnsi="Arial" w:cs="Arial"/>
        </w:rPr>
        <w:t>ny changes to the way the Whitsundays Planning Area is currently used be</w:t>
      </w:r>
      <w:r>
        <w:rPr>
          <w:rFonts w:ascii="Arial" w:hAnsi="Arial" w:cs="Arial"/>
        </w:rPr>
        <w:t>ing</w:t>
      </w:r>
      <w:r w:rsidRPr="00A405EE">
        <w:rPr>
          <w:rFonts w:ascii="Arial" w:hAnsi="Arial" w:cs="Arial"/>
        </w:rPr>
        <w:t xml:space="preserve"> communicated to those that use the area</w:t>
      </w:r>
      <w:r w:rsidR="00B846C7">
        <w:rPr>
          <w:rFonts w:ascii="Arial" w:hAnsi="Arial" w:cs="Arial"/>
        </w:rPr>
        <w:t xml:space="preserve"> and permissions updated accordingly</w:t>
      </w:r>
      <w:r w:rsidRPr="00A405EE">
        <w:rPr>
          <w:rFonts w:ascii="Arial" w:hAnsi="Arial" w:cs="Arial"/>
        </w:rPr>
        <w:t xml:space="preserve">.  </w:t>
      </w:r>
    </w:p>
    <w:p w14:paraId="6C811F30" w14:textId="1309172A" w:rsidR="00221691" w:rsidRPr="00DF7743" w:rsidRDefault="00221691" w:rsidP="00C54ADB">
      <w:pPr>
        <w:keepNext/>
        <w:rPr>
          <w:rFonts w:ascii="Arial" w:hAnsi="Arial" w:cs="Arial"/>
          <w:i/>
        </w:rPr>
      </w:pPr>
      <w:r w:rsidRPr="00DF7743">
        <w:rPr>
          <w:rFonts w:ascii="Arial" w:hAnsi="Arial" w:cs="Arial"/>
          <w:i/>
        </w:rPr>
        <w:t>Defence engagement</w:t>
      </w:r>
    </w:p>
    <w:p w14:paraId="30965A0B" w14:textId="3791D009" w:rsidR="00221691" w:rsidRDefault="00221691" w:rsidP="00A405EE">
      <w:pPr>
        <w:rPr>
          <w:rFonts w:ascii="Arial" w:hAnsi="Arial" w:cs="Arial"/>
        </w:rPr>
      </w:pPr>
      <w:r w:rsidRPr="00221691">
        <w:rPr>
          <w:rFonts w:ascii="Arial" w:hAnsi="Arial" w:cs="Arial"/>
        </w:rPr>
        <w:t xml:space="preserve">The Great Barrier Reef Marine Park Zoning Plan provides for use and entry for defence activities without permission after notification to </w:t>
      </w:r>
      <w:r w:rsidR="00793123">
        <w:rPr>
          <w:rFonts w:ascii="Arial" w:hAnsi="Arial" w:cs="Arial"/>
        </w:rPr>
        <w:t xml:space="preserve">GBRMPA. </w:t>
      </w:r>
      <w:r w:rsidRPr="00221691">
        <w:rPr>
          <w:rFonts w:ascii="Arial" w:hAnsi="Arial" w:cs="Arial"/>
        </w:rPr>
        <w:t>These activities are subject to any directions from the agency.</w:t>
      </w:r>
      <w:r>
        <w:rPr>
          <w:rFonts w:ascii="Arial" w:hAnsi="Arial" w:cs="Arial"/>
        </w:rPr>
        <w:t xml:space="preserve"> The agency renewed a Memorandum of Understanding with the Department</w:t>
      </w:r>
      <w:r w:rsidR="00B24E9A">
        <w:rPr>
          <w:rFonts w:ascii="Arial" w:hAnsi="Arial" w:cs="Arial"/>
        </w:rPr>
        <w:t xml:space="preserve"> of Defence to continue the strong working relationship with the Department. Staff provided advice on ways to avoid or minimise impacts from a number of defence operations and exercises in the Marine Park.</w:t>
      </w:r>
    </w:p>
    <w:p w14:paraId="319C4549" w14:textId="214DEFB1" w:rsidR="00B846C7" w:rsidRPr="00DF7743" w:rsidRDefault="00B846C7" w:rsidP="00A405EE">
      <w:pPr>
        <w:rPr>
          <w:rFonts w:ascii="Arial" w:hAnsi="Arial" w:cs="Arial"/>
          <w:i/>
        </w:rPr>
      </w:pPr>
      <w:r w:rsidRPr="00DF7743">
        <w:rPr>
          <w:rFonts w:ascii="Arial" w:hAnsi="Arial" w:cs="Arial"/>
          <w:i/>
        </w:rPr>
        <w:t>Permission system</w:t>
      </w:r>
    </w:p>
    <w:p w14:paraId="6077AD84" w14:textId="51352D40" w:rsidR="00196333" w:rsidRPr="00196333" w:rsidRDefault="00B846C7" w:rsidP="00196333">
      <w:pPr>
        <w:rPr>
          <w:rFonts w:ascii="Arial" w:hAnsi="Arial" w:cs="Arial"/>
        </w:rPr>
      </w:pPr>
      <w:r>
        <w:rPr>
          <w:rFonts w:ascii="Arial" w:hAnsi="Arial" w:cs="Arial"/>
        </w:rPr>
        <w:t>The Zoning Plan establishes what activities require permission t</w:t>
      </w:r>
      <w:r w:rsidR="00124935">
        <w:rPr>
          <w:rFonts w:ascii="Arial" w:hAnsi="Arial" w:cs="Arial"/>
        </w:rPr>
        <w:t>o use and enter the Marine Park</w:t>
      </w:r>
      <w:r w:rsidR="00196333">
        <w:rPr>
          <w:rFonts w:ascii="Arial" w:hAnsi="Arial" w:cs="Arial"/>
        </w:rPr>
        <w:t xml:space="preserve">. </w:t>
      </w:r>
      <w:r w:rsidR="00196333" w:rsidRPr="00196333">
        <w:rPr>
          <w:rFonts w:ascii="Arial" w:hAnsi="Arial" w:cs="Arial"/>
        </w:rPr>
        <w:t xml:space="preserve">The </w:t>
      </w:r>
      <w:r>
        <w:rPr>
          <w:rFonts w:ascii="Arial" w:hAnsi="Arial" w:cs="Arial"/>
        </w:rPr>
        <w:t>applications</w:t>
      </w:r>
      <w:r w:rsidRPr="00196333">
        <w:rPr>
          <w:rFonts w:ascii="Arial" w:hAnsi="Arial" w:cs="Arial"/>
        </w:rPr>
        <w:t xml:space="preserve"> </w:t>
      </w:r>
      <w:r w:rsidR="00196333" w:rsidRPr="00196333">
        <w:rPr>
          <w:rFonts w:ascii="Arial" w:hAnsi="Arial" w:cs="Arial"/>
        </w:rPr>
        <w:t xml:space="preserve">are assessed against criteria set out in the </w:t>
      </w:r>
      <w:r w:rsidR="00196333">
        <w:rPr>
          <w:rFonts w:ascii="Arial" w:hAnsi="Arial" w:cs="Arial"/>
        </w:rPr>
        <w:t>GBRMP</w:t>
      </w:r>
      <w:r w:rsidR="00196333" w:rsidRPr="00196333">
        <w:rPr>
          <w:rFonts w:ascii="Arial" w:hAnsi="Arial" w:cs="Arial"/>
        </w:rPr>
        <w:t xml:space="preserve"> </w:t>
      </w:r>
      <w:r>
        <w:rPr>
          <w:rFonts w:ascii="Arial" w:hAnsi="Arial" w:cs="Arial"/>
        </w:rPr>
        <w:t>Regulations</w:t>
      </w:r>
      <w:r w:rsidR="00196333" w:rsidRPr="00196333">
        <w:rPr>
          <w:rFonts w:ascii="Arial" w:hAnsi="Arial" w:cs="Arial"/>
        </w:rPr>
        <w:t>.</w:t>
      </w:r>
    </w:p>
    <w:p w14:paraId="4AB049DC" w14:textId="0AA7574D" w:rsidR="00196333" w:rsidRPr="00196333" w:rsidRDefault="00196333" w:rsidP="00196333">
      <w:pPr>
        <w:rPr>
          <w:rFonts w:ascii="Arial" w:hAnsi="Arial" w:cs="Arial"/>
        </w:rPr>
      </w:pPr>
      <w:r>
        <w:rPr>
          <w:rFonts w:ascii="Arial" w:hAnsi="Arial" w:cs="Arial"/>
        </w:rPr>
        <w:t>The GBRMP</w:t>
      </w:r>
      <w:r w:rsidRPr="00196333">
        <w:rPr>
          <w:rFonts w:ascii="Arial" w:hAnsi="Arial" w:cs="Arial"/>
        </w:rPr>
        <w:t xml:space="preserve"> Act and its associated regulations seek to protect and conserve the environmental, biodiversity and heritage values o</w:t>
      </w:r>
      <w:r w:rsidR="006F1EC2">
        <w:rPr>
          <w:rFonts w:ascii="Arial" w:hAnsi="Arial" w:cs="Arial"/>
        </w:rPr>
        <w:t>f the Great Barrier Reef R</w:t>
      </w:r>
      <w:r w:rsidRPr="00196333">
        <w:rPr>
          <w:rFonts w:ascii="Arial" w:hAnsi="Arial" w:cs="Arial"/>
        </w:rPr>
        <w:t>egion, while supporting recreation, economic and cultural act</w:t>
      </w:r>
      <w:r>
        <w:rPr>
          <w:rFonts w:ascii="Arial" w:hAnsi="Arial" w:cs="Arial"/>
        </w:rPr>
        <w:t xml:space="preserve">ivities within the Marine Park. </w:t>
      </w:r>
      <w:r w:rsidRPr="00196333">
        <w:rPr>
          <w:rFonts w:ascii="Arial" w:hAnsi="Arial" w:cs="Arial"/>
        </w:rPr>
        <w:t xml:space="preserve">They also provide a framework for planning and </w:t>
      </w:r>
      <w:proofErr w:type="gramStart"/>
      <w:r w:rsidRPr="00196333">
        <w:rPr>
          <w:rFonts w:ascii="Arial" w:hAnsi="Arial" w:cs="Arial"/>
        </w:rPr>
        <w:t>permits</w:t>
      </w:r>
      <w:proofErr w:type="gramEnd"/>
      <w:r w:rsidRPr="00196333">
        <w:rPr>
          <w:rFonts w:ascii="Arial" w:hAnsi="Arial" w:cs="Arial"/>
        </w:rPr>
        <w:t>.</w:t>
      </w:r>
    </w:p>
    <w:p w14:paraId="6F9AF98E" w14:textId="6CF63660" w:rsidR="00196333" w:rsidRDefault="00196333" w:rsidP="00196333">
      <w:pPr>
        <w:rPr>
          <w:rFonts w:ascii="Arial" w:hAnsi="Arial" w:cs="Arial"/>
        </w:rPr>
      </w:pPr>
      <w:r w:rsidRPr="00196333">
        <w:rPr>
          <w:rFonts w:ascii="Arial" w:hAnsi="Arial" w:cs="Arial"/>
        </w:rPr>
        <w:t xml:space="preserve">If an application may restrict the public’s reasonable use of part of the Marine Park, GBRMPA </w:t>
      </w:r>
      <w:r w:rsidR="006F1EC2">
        <w:rPr>
          <w:rFonts w:ascii="Arial" w:hAnsi="Arial" w:cs="Arial"/>
        </w:rPr>
        <w:t>may</w:t>
      </w:r>
      <w:r w:rsidRPr="00196333">
        <w:rPr>
          <w:rFonts w:ascii="Arial" w:hAnsi="Arial" w:cs="Arial"/>
        </w:rPr>
        <w:t xml:space="preserve"> require the proponent to conduct public advertising and public consultation. </w:t>
      </w:r>
    </w:p>
    <w:p w14:paraId="3E103508" w14:textId="3249AED2" w:rsidR="002B05F7" w:rsidRDefault="00B846C7" w:rsidP="00196333">
      <w:pPr>
        <w:rPr>
          <w:rFonts w:ascii="Arial" w:hAnsi="Arial" w:cs="Arial"/>
        </w:rPr>
      </w:pPr>
      <w:r>
        <w:rPr>
          <w:rFonts w:ascii="Arial" w:hAnsi="Arial" w:cs="Arial"/>
        </w:rPr>
        <w:t xml:space="preserve">In 2015-16, </w:t>
      </w:r>
      <w:r w:rsidR="0067306A" w:rsidRPr="007D545D">
        <w:rPr>
          <w:rFonts w:ascii="Arial" w:hAnsi="Arial" w:cs="Arial"/>
        </w:rPr>
        <w:t xml:space="preserve">327 permits </w:t>
      </w:r>
      <w:r w:rsidR="006A6FBC">
        <w:rPr>
          <w:rFonts w:ascii="Arial" w:hAnsi="Arial" w:cs="Arial"/>
        </w:rPr>
        <w:t xml:space="preserve">were </w:t>
      </w:r>
      <w:r w:rsidR="0067306A" w:rsidRPr="007D545D">
        <w:rPr>
          <w:rFonts w:ascii="Arial" w:hAnsi="Arial" w:cs="Arial"/>
        </w:rPr>
        <w:t>granted</w:t>
      </w:r>
      <w:r w:rsidR="00124935">
        <w:rPr>
          <w:rFonts w:ascii="Arial" w:hAnsi="Arial" w:cs="Arial"/>
        </w:rPr>
        <w:t>.</w:t>
      </w:r>
      <w:r w:rsidR="0067306A" w:rsidRPr="007D545D">
        <w:rPr>
          <w:rFonts w:ascii="Arial" w:hAnsi="Arial" w:cs="Arial"/>
        </w:rPr>
        <w:t xml:space="preserve"> </w:t>
      </w:r>
      <w:r>
        <w:rPr>
          <w:rFonts w:ascii="Arial" w:hAnsi="Arial" w:cs="Arial"/>
        </w:rPr>
        <w:t>All Permittees are informed of their rights to seek a review of the decision</w:t>
      </w:r>
      <w:r w:rsidR="0067306A" w:rsidRPr="007D545D">
        <w:rPr>
          <w:rFonts w:ascii="Arial" w:hAnsi="Arial" w:cs="Arial"/>
        </w:rPr>
        <w:t>.</w:t>
      </w:r>
      <w:r w:rsidR="002B05F7">
        <w:rPr>
          <w:rFonts w:ascii="Arial" w:hAnsi="Arial" w:cs="Arial"/>
        </w:rPr>
        <w:t xml:space="preserve"> </w:t>
      </w:r>
      <w:r>
        <w:rPr>
          <w:rFonts w:ascii="Arial" w:hAnsi="Arial" w:cs="Arial"/>
        </w:rPr>
        <w:t>One request for a</w:t>
      </w:r>
      <w:r w:rsidR="006A6FBC">
        <w:rPr>
          <w:rFonts w:ascii="Arial" w:hAnsi="Arial" w:cs="Arial"/>
        </w:rPr>
        <w:t xml:space="preserve"> statement of reasons </w:t>
      </w:r>
      <w:r>
        <w:rPr>
          <w:rFonts w:ascii="Arial" w:hAnsi="Arial" w:cs="Arial"/>
        </w:rPr>
        <w:t>was received.</w:t>
      </w:r>
      <w:r w:rsidR="00221691">
        <w:rPr>
          <w:rFonts w:ascii="Arial" w:hAnsi="Arial" w:cs="Arial"/>
        </w:rPr>
        <w:t xml:space="preserve"> All </w:t>
      </w:r>
      <w:r w:rsidR="00B24E9A">
        <w:rPr>
          <w:rFonts w:ascii="Arial" w:hAnsi="Arial" w:cs="Arial"/>
        </w:rPr>
        <w:t>permit application decisions were published on the agency’s website as required by Regulation 183.</w:t>
      </w:r>
    </w:p>
    <w:p w14:paraId="5EF717DC" w14:textId="08305934" w:rsidR="00BF6426" w:rsidRDefault="00BF6426" w:rsidP="00196333">
      <w:pPr>
        <w:rPr>
          <w:rFonts w:ascii="Arial" w:hAnsi="Arial" w:cs="Arial"/>
        </w:rPr>
      </w:pPr>
      <w:r w:rsidRPr="00BF6426">
        <w:rPr>
          <w:rFonts w:ascii="Arial" w:hAnsi="Arial" w:cs="Arial"/>
        </w:rPr>
        <w:t xml:space="preserve">In 2015–16, no applications for permits were refused by the delegate. This is because </w:t>
      </w:r>
      <w:r>
        <w:rPr>
          <w:rFonts w:ascii="Arial" w:hAnsi="Arial" w:cs="Arial"/>
        </w:rPr>
        <w:t>GBRMPA</w:t>
      </w:r>
      <w:r w:rsidRPr="00BF6426">
        <w:rPr>
          <w:rFonts w:ascii="Arial" w:hAnsi="Arial" w:cs="Arial"/>
        </w:rPr>
        <w:t xml:space="preserve"> works closely with applicants to ensure they apply for a permission that is acceptable. As such, many applications change and evolve during the assessment period into applications that are eventually approved.</w:t>
      </w:r>
    </w:p>
    <w:p w14:paraId="1C00A5E8" w14:textId="3E20407B" w:rsidR="00BF6426" w:rsidRDefault="00B846C7" w:rsidP="00BF6426">
      <w:pPr>
        <w:rPr>
          <w:rFonts w:ascii="Arial" w:hAnsi="Arial" w:cs="Arial"/>
        </w:rPr>
      </w:pPr>
      <w:r>
        <w:rPr>
          <w:rFonts w:ascii="Arial" w:hAnsi="Arial" w:cs="Arial"/>
        </w:rPr>
        <w:t xml:space="preserve">In </w:t>
      </w:r>
      <w:r w:rsidR="00BF6426">
        <w:rPr>
          <w:rFonts w:ascii="Arial" w:hAnsi="Arial" w:cs="Arial"/>
        </w:rPr>
        <w:t>ANAO</w:t>
      </w:r>
      <w:r>
        <w:rPr>
          <w:rFonts w:ascii="Arial" w:hAnsi="Arial" w:cs="Arial"/>
        </w:rPr>
        <w:t>’s performance audit of the permission system, they</w:t>
      </w:r>
      <w:r w:rsidR="00BF6426">
        <w:rPr>
          <w:rFonts w:ascii="Arial" w:hAnsi="Arial" w:cs="Arial"/>
        </w:rPr>
        <w:t xml:space="preserve"> found that: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8"/>
      </w:tblGrid>
      <w:tr w:rsidR="00BF6426" w14:paraId="23D03B81" w14:textId="77777777" w:rsidTr="00FF6BF8">
        <w:tc>
          <w:tcPr>
            <w:tcW w:w="8958" w:type="dxa"/>
            <w:shd w:val="clear" w:color="auto" w:fill="DBE5F1" w:themeFill="accent1" w:themeFillTint="33"/>
          </w:tcPr>
          <w:p w14:paraId="5FE97A5D" w14:textId="49AD6448" w:rsidR="00BF6426" w:rsidRDefault="00BF6426" w:rsidP="00FF6BF8">
            <w:pPr>
              <w:pStyle w:val="Default"/>
              <w:spacing w:after="60"/>
              <w:ind w:left="360" w:right="284"/>
              <w:rPr>
                <w:rFonts w:ascii="Arial" w:hAnsi="Arial" w:cs="Arial"/>
                <w:sz w:val="22"/>
              </w:rPr>
            </w:pPr>
            <w:r>
              <w:rPr>
                <w:rFonts w:ascii="Arial" w:hAnsi="Arial" w:cs="Arial"/>
                <w:sz w:val="22"/>
              </w:rPr>
              <w:t>Permit holders were generally satisfied with their communication with GBRMPA as their permit applications progressed through the assessment process. However, some general stakeholders held mixed views, with some satisfied with their communication with GBRMPA while others were dissatisfied.</w:t>
            </w:r>
          </w:p>
          <w:p w14:paraId="1B082DC2" w14:textId="19CD6040" w:rsidR="00BF6426" w:rsidRPr="0075590A" w:rsidRDefault="00BF6426" w:rsidP="00FF6BF8">
            <w:pPr>
              <w:pStyle w:val="Default"/>
              <w:spacing w:after="60"/>
              <w:ind w:left="360" w:right="284"/>
              <w:rPr>
                <w:rFonts w:ascii="Arial" w:hAnsi="Arial" w:cs="Arial"/>
                <w:sz w:val="22"/>
              </w:rPr>
            </w:pPr>
            <w:r>
              <w:rPr>
                <w:rFonts w:ascii="Arial" w:hAnsi="Arial" w:cs="Arial"/>
                <w:sz w:val="22"/>
              </w:rPr>
              <w:t xml:space="preserve">Source: </w:t>
            </w:r>
            <w:hyperlink r:id="rId49" w:history="1">
              <w:r w:rsidRPr="00E538F1">
                <w:rPr>
                  <w:rStyle w:val="Hyperlink"/>
                  <w:rFonts w:ascii="Arial" w:hAnsi="Arial" w:cs="Arial"/>
                  <w:sz w:val="22"/>
                </w:rPr>
                <w:t>ANAO Report No.3 2015–16 Regulation of Great Barrier Reef Marine Park Permits and Approvals</w:t>
              </w:r>
            </w:hyperlink>
            <w:r>
              <w:rPr>
                <w:rFonts w:ascii="Arial" w:hAnsi="Arial" w:cs="Arial"/>
                <w:sz w:val="22"/>
              </w:rPr>
              <w:t>, p. 67</w:t>
            </w:r>
          </w:p>
        </w:tc>
      </w:tr>
    </w:tbl>
    <w:p w14:paraId="769BE3CD" w14:textId="77777777" w:rsidR="00BF6426" w:rsidRDefault="00BF6426" w:rsidP="00196333">
      <w:pPr>
        <w:rPr>
          <w:rFonts w:ascii="Arial" w:hAnsi="Arial" w:cs="Arial"/>
        </w:rPr>
      </w:pPr>
    </w:p>
    <w:p w14:paraId="765671E4" w14:textId="0E6AE7A8" w:rsidR="00B846C7" w:rsidRPr="007D545D" w:rsidRDefault="00F033C2" w:rsidP="00196333">
      <w:pPr>
        <w:rPr>
          <w:rFonts w:ascii="Arial" w:hAnsi="Arial" w:cs="Arial"/>
        </w:rPr>
      </w:pPr>
      <w:r>
        <w:rPr>
          <w:rFonts w:ascii="Arial" w:hAnsi="Arial" w:cs="Arial"/>
        </w:rPr>
        <w:t>This result was consistent with a client satisfaction survey</w:t>
      </w:r>
      <w:r w:rsidR="00B846C7">
        <w:rPr>
          <w:rFonts w:ascii="Arial" w:hAnsi="Arial" w:cs="Arial"/>
        </w:rPr>
        <w:t xml:space="preserve"> unde</w:t>
      </w:r>
      <w:r w:rsidR="00221691">
        <w:rPr>
          <w:rFonts w:ascii="Arial" w:hAnsi="Arial" w:cs="Arial"/>
        </w:rPr>
        <w:t>rtaken</w:t>
      </w:r>
      <w:r>
        <w:rPr>
          <w:rFonts w:ascii="Arial" w:hAnsi="Arial" w:cs="Arial"/>
        </w:rPr>
        <w:t xml:space="preserve"> by GBRMPA as part of public comment on the permission system</w:t>
      </w:r>
      <w:r w:rsidR="00221691">
        <w:rPr>
          <w:rFonts w:ascii="Arial" w:hAnsi="Arial" w:cs="Arial"/>
        </w:rPr>
        <w:t xml:space="preserve"> in October-December 2015</w:t>
      </w:r>
      <w:r>
        <w:rPr>
          <w:rFonts w:ascii="Arial" w:hAnsi="Arial" w:cs="Arial"/>
        </w:rPr>
        <w:t>. The survey results</w:t>
      </w:r>
      <w:r w:rsidR="00221691">
        <w:rPr>
          <w:rFonts w:ascii="Arial" w:hAnsi="Arial" w:cs="Arial"/>
        </w:rPr>
        <w:t xml:space="preserve"> indicate</w:t>
      </w:r>
      <w:r>
        <w:rPr>
          <w:rFonts w:ascii="Arial" w:hAnsi="Arial" w:cs="Arial"/>
        </w:rPr>
        <w:t>d</w:t>
      </w:r>
      <w:r w:rsidR="00221691">
        <w:rPr>
          <w:rFonts w:ascii="Arial" w:hAnsi="Arial" w:cs="Arial"/>
        </w:rPr>
        <w:t xml:space="preserve"> that </w:t>
      </w:r>
      <w:r w:rsidR="00B24E9A">
        <w:rPr>
          <w:rFonts w:ascii="Arial" w:hAnsi="Arial" w:cs="Arial"/>
        </w:rPr>
        <w:t xml:space="preserve">53 per cent of </w:t>
      </w:r>
      <w:r>
        <w:rPr>
          <w:rFonts w:ascii="Arial" w:hAnsi="Arial" w:cs="Arial"/>
        </w:rPr>
        <w:t>clients</w:t>
      </w:r>
      <w:r w:rsidR="00B24E9A">
        <w:rPr>
          <w:rFonts w:ascii="Arial" w:hAnsi="Arial" w:cs="Arial"/>
        </w:rPr>
        <w:t xml:space="preserve"> </w:t>
      </w:r>
      <w:r>
        <w:rPr>
          <w:rFonts w:ascii="Arial" w:hAnsi="Arial" w:cs="Arial"/>
        </w:rPr>
        <w:t>were</w:t>
      </w:r>
      <w:r w:rsidR="00B24E9A">
        <w:rPr>
          <w:rFonts w:ascii="Arial" w:hAnsi="Arial" w:cs="Arial"/>
        </w:rPr>
        <w:t xml:space="preserve"> satisfied with the permission system and most (65 per cent) use</w:t>
      </w:r>
      <w:r>
        <w:rPr>
          <w:rFonts w:ascii="Arial" w:hAnsi="Arial" w:cs="Arial"/>
        </w:rPr>
        <w:t>d</w:t>
      </w:r>
      <w:r w:rsidR="00B24E9A">
        <w:rPr>
          <w:rFonts w:ascii="Arial" w:hAnsi="Arial" w:cs="Arial"/>
        </w:rPr>
        <w:t xml:space="preserve"> the agency’s website to find out information about the permission system.</w:t>
      </w:r>
    </w:p>
    <w:p w14:paraId="08674ECA" w14:textId="22124DC5" w:rsidR="006A6FBC" w:rsidRPr="007D545D" w:rsidRDefault="006A6FBC" w:rsidP="006A6FBC">
      <w:pPr>
        <w:rPr>
          <w:rFonts w:ascii="Arial" w:hAnsi="Arial" w:cs="Arial"/>
        </w:rPr>
      </w:pPr>
      <w:r>
        <w:rPr>
          <w:rFonts w:ascii="Arial" w:hAnsi="Arial" w:cs="Arial"/>
        </w:rPr>
        <w:t xml:space="preserve">One </w:t>
      </w:r>
      <w:r w:rsidRPr="007D545D">
        <w:rPr>
          <w:rFonts w:ascii="Arial" w:hAnsi="Arial" w:cs="Arial"/>
        </w:rPr>
        <w:t xml:space="preserve">Sea Dumping permit </w:t>
      </w:r>
      <w:r>
        <w:rPr>
          <w:rFonts w:ascii="Arial" w:hAnsi="Arial" w:cs="Arial"/>
        </w:rPr>
        <w:t xml:space="preserve">was </w:t>
      </w:r>
      <w:r w:rsidRPr="007D545D">
        <w:rPr>
          <w:rFonts w:ascii="Arial" w:hAnsi="Arial" w:cs="Arial"/>
        </w:rPr>
        <w:t>issued</w:t>
      </w:r>
      <w:r>
        <w:rPr>
          <w:rFonts w:ascii="Arial" w:hAnsi="Arial" w:cs="Arial"/>
        </w:rPr>
        <w:t xml:space="preserve"> by GBRMPA in 2015-16</w:t>
      </w:r>
      <w:r w:rsidRPr="007D545D">
        <w:rPr>
          <w:rFonts w:ascii="Arial" w:hAnsi="Arial" w:cs="Arial"/>
        </w:rPr>
        <w:t xml:space="preserve">. The decision to issue this Sea Dumping permit was gazetted in the Commonwealth of Australia Gazette providing a </w:t>
      </w:r>
      <w:r w:rsidRPr="007D545D">
        <w:rPr>
          <w:rFonts w:ascii="Arial" w:hAnsi="Arial" w:cs="Arial"/>
        </w:rPr>
        <w:lastRenderedPageBreak/>
        <w:t xml:space="preserve">contact number and contact officer for any permit related questions. </w:t>
      </w:r>
      <w:r>
        <w:rPr>
          <w:rFonts w:ascii="Arial" w:hAnsi="Arial" w:cs="Arial"/>
        </w:rPr>
        <w:t>No requests for a statement of reasons or</w:t>
      </w:r>
      <w:r w:rsidRPr="007D545D">
        <w:rPr>
          <w:rFonts w:ascii="Arial" w:hAnsi="Arial" w:cs="Arial"/>
        </w:rPr>
        <w:t xml:space="preserve"> for review rights and procedures were received.</w:t>
      </w:r>
      <w:r w:rsidR="00F033C2" w:rsidRPr="00F033C2">
        <w:rPr>
          <w:rFonts w:ascii="Arial" w:hAnsi="Arial" w:cs="Arial"/>
        </w:rPr>
        <w:t xml:space="preserve"> </w:t>
      </w:r>
      <w:r w:rsidR="00F033C2" w:rsidRPr="007D545D">
        <w:rPr>
          <w:rFonts w:ascii="Arial" w:hAnsi="Arial" w:cs="Arial"/>
        </w:rPr>
        <w:t xml:space="preserve">Information on </w:t>
      </w:r>
      <w:hyperlink r:id="rId50" w:history="1">
        <w:r w:rsidR="00F033C2" w:rsidRPr="001A32D6">
          <w:rPr>
            <w:rStyle w:val="Hyperlink"/>
            <w:rFonts w:ascii="Arial" w:hAnsi="Arial" w:cs="Arial"/>
          </w:rPr>
          <w:t>dredging and dredge material disposal</w:t>
        </w:r>
      </w:hyperlink>
      <w:r w:rsidR="00F033C2" w:rsidRPr="007D545D">
        <w:rPr>
          <w:rFonts w:ascii="Arial" w:hAnsi="Arial" w:cs="Arial"/>
        </w:rPr>
        <w:t xml:space="preserve"> is a</w:t>
      </w:r>
      <w:r w:rsidR="00F033C2">
        <w:rPr>
          <w:rFonts w:ascii="Arial" w:hAnsi="Arial" w:cs="Arial"/>
        </w:rPr>
        <w:t>vailable on the GBRMPA website.</w:t>
      </w:r>
    </w:p>
    <w:p w14:paraId="70CA96DA" w14:textId="7645D80E" w:rsidR="006A6FBC" w:rsidRPr="007D545D" w:rsidRDefault="006A6FBC" w:rsidP="006A6FBC">
      <w:pPr>
        <w:rPr>
          <w:rFonts w:ascii="Arial" w:hAnsi="Arial" w:cs="Arial"/>
        </w:rPr>
      </w:pPr>
      <w:r w:rsidRPr="007D545D">
        <w:rPr>
          <w:rFonts w:ascii="Arial" w:hAnsi="Arial" w:cs="Arial"/>
        </w:rPr>
        <w:t>The Department of the Environment and Energy is responsible for the Sea Dumping Act</w:t>
      </w:r>
      <w:r>
        <w:rPr>
          <w:rFonts w:ascii="Arial" w:hAnsi="Arial" w:cs="Arial"/>
        </w:rPr>
        <w:t xml:space="preserve"> and would lead any process for amendment</w:t>
      </w:r>
      <w:r w:rsidR="00F033C2">
        <w:rPr>
          <w:rFonts w:ascii="Arial" w:hAnsi="Arial" w:cs="Arial"/>
        </w:rPr>
        <w:t xml:space="preserve"> to that legislation</w:t>
      </w:r>
      <w:r>
        <w:rPr>
          <w:rFonts w:ascii="Arial" w:hAnsi="Arial" w:cs="Arial"/>
        </w:rPr>
        <w:t>.</w:t>
      </w:r>
    </w:p>
    <w:p w14:paraId="4035FC4D" w14:textId="15F4D4B1" w:rsidR="00DF7743" w:rsidRPr="0053529E" w:rsidRDefault="00F033C2" w:rsidP="005825E1">
      <w:pPr>
        <w:rPr>
          <w:rFonts w:ascii="Arial" w:hAnsi="Arial" w:cs="Arial"/>
        </w:rPr>
      </w:pPr>
      <w:r>
        <w:rPr>
          <w:rFonts w:ascii="Arial" w:hAnsi="Arial" w:cs="Arial"/>
        </w:rPr>
        <w:t xml:space="preserve">There are a range of operational policy documents which guide GBRMPA delegates in making permit decisions. These are available on the GBRMPA </w:t>
      </w:r>
      <w:hyperlink r:id="rId51" w:history="1">
        <w:r w:rsidRPr="00F033C2">
          <w:rPr>
            <w:rStyle w:val="Hyperlink"/>
            <w:rFonts w:ascii="Arial" w:hAnsi="Arial" w:cs="Arial"/>
          </w:rPr>
          <w:t>website</w:t>
        </w:r>
      </w:hyperlink>
      <w:r>
        <w:rPr>
          <w:rFonts w:ascii="Arial" w:hAnsi="Arial" w:cs="Arial"/>
        </w:rPr>
        <w:t>.</w:t>
      </w:r>
    </w:p>
    <w:p w14:paraId="411BD522" w14:textId="37261F3A" w:rsidR="005825E1" w:rsidRPr="008463FC" w:rsidRDefault="005825E1" w:rsidP="005825E1">
      <w:pPr>
        <w:pStyle w:val="Heading2"/>
        <w:numPr>
          <w:ilvl w:val="1"/>
          <w:numId w:val="10"/>
        </w:numPr>
        <w:pBdr>
          <w:top w:val="single" w:sz="4" w:space="1" w:color="4F81BD" w:themeColor="accent1"/>
          <w:left w:val="single" w:sz="4" w:space="4" w:color="4F81BD" w:themeColor="accent1"/>
        </w:pBdr>
        <w:spacing w:before="240" w:after="120"/>
        <w:ind w:left="567" w:hanging="573"/>
        <w:rPr>
          <w:rFonts w:ascii="Arial" w:hAnsi="Arial" w:cs="Arial"/>
          <w:b w:val="0"/>
          <w:color w:val="1F497D" w:themeColor="text2"/>
          <w:sz w:val="22"/>
        </w:rPr>
      </w:pPr>
      <w:bookmarkStart w:id="20" w:name="_KPI_3_-"/>
      <w:bookmarkStart w:id="21" w:name="_Toc474753108"/>
      <w:bookmarkEnd w:id="20"/>
      <w:r w:rsidRPr="008463FC">
        <w:rPr>
          <w:rFonts w:ascii="Arial" w:hAnsi="Arial" w:cs="Arial"/>
          <w:b w:val="0"/>
          <w:color w:val="1F497D" w:themeColor="text2"/>
          <w:sz w:val="22"/>
        </w:rPr>
        <w:t xml:space="preserve">KPI 3 </w:t>
      </w:r>
      <w:r w:rsidR="006726B1">
        <w:rPr>
          <w:rFonts w:ascii="Arial" w:hAnsi="Arial" w:cs="Arial"/>
          <w:b w:val="0"/>
          <w:color w:val="1F497D" w:themeColor="text2"/>
          <w:sz w:val="22"/>
        </w:rPr>
        <w:t>—</w:t>
      </w:r>
      <w:r w:rsidRPr="008463FC">
        <w:rPr>
          <w:rFonts w:ascii="Arial" w:hAnsi="Arial" w:cs="Arial"/>
          <w:b w:val="0"/>
          <w:color w:val="1F497D" w:themeColor="text2"/>
          <w:sz w:val="22"/>
        </w:rPr>
        <w:t xml:space="preserve">- Actions undertaken by </w:t>
      </w:r>
      <w:r w:rsidR="00A32FF6">
        <w:rPr>
          <w:rFonts w:ascii="Arial" w:hAnsi="Arial" w:cs="Arial"/>
          <w:b w:val="0"/>
          <w:color w:val="1F497D" w:themeColor="text2"/>
          <w:sz w:val="22"/>
        </w:rPr>
        <w:t>GBRMPA</w:t>
      </w:r>
      <w:r w:rsidRPr="008463FC">
        <w:rPr>
          <w:rFonts w:ascii="Arial" w:hAnsi="Arial" w:cs="Arial"/>
          <w:b w:val="0"/>
          <w:color w:val="1F497D" w:themeColor="text2"/>
          <w:sz w:val="22"/>
        </w:rPr>
        <w:t xml:space="preserve"> are proportionate to the regulatory risk being managed</w:t>
      </w:r>
      <w:bookmarkEnd w:id="21"/>
    </w:p>
    <w:p w14:paraId="44A45507" w14:textId="77777777" w:rsidR="00CD6E65" w:rsidRPr="00CD6E65" w:rsidRDefault="00CD6E65" w:rsidP="00CD6E65">
      <w:pPr>
        <w:keepNext/>
        <w:spacing w:before="240" w:after="0"/>
        <w:rPr>
          <w:rFonts w:ascii="Arial" w:hAnsi="Arial" w:cs="Arial"/>
          <w:u w:val="single"/>
        </w:rPr>
      </w:pPr>
      <w:r w:rsidRPr="00CD6E65">
        <w:rPr>
          <w:rFonts w:ascii="Arial" w:hAnsi="Arial" w:cs="Arial"/>
          <w:u w:val="single"/>
        </w:rPr>
        <w:t>Approved metrics</w:t>
      </w:r>
    </w:p>
    <w:p w14:paraId="6F5ECB93" w14:textId="77777777" w:rsidR="00CD6E65" w:rsidRPr="00CD6E65" w:rsidRDefault="00CD6E65" w:rsidP="00CD6E65">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CD6E65">
        <w:rPr>
          <w:rFonts w:ascii="Arial" w:eastAsia="Times New Roman" w:hAnsi="Arial" w:cs="Arial"/>
          <w:i/>
          <w:color w:val="333333"/>
          <w:lang w:val="en" w:eastAsia="en-AU"/>
        </w:rPr>
        <w:t>Demonstrated engagement with regulated entities to inform them of the regulators’ expectations.</w:t>
      </w:r>
    </w:p>
    <w:p w14:paraId="22B4C509" w14:textId="77777777" w:rsidR="00CD6E65" w:rsidRPr="00CD6E65" w:rsidRDefault="00CD6E65" w:rsidP="00CD6E65">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CD6E65">
        <w:rPr>
          <w:rFonts w:ascii="Arial" w:eastAsia="Times New Roman" w:hAnsi="Arial" w:cs="Arial"/>
          <w:i/>
          <w:color w:val="333333"/>
          <w:lang w:val="en" w:eastAsia="en-AU"/>
        </w:rPr>
        <w:t>Risk management policies and procedures are available to regulator staff and the public.</w:t>
      </w:r>
    </w:p>
    <w:p w14:paraId="0BF79CDA" w14:textId="77777777" w:rsidR="00CD6E65" w:rsidRPr="00CD6E65" w:rsidRDefault="00CD6E65" w:rsidP="00CD6E65">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CD6E65">
        <w:rPr>
          <w:rFonts w:ascii="Arial" w:eastAsia="Times New Roman" w:hAnsi="Arial" w:cs="Arial"/>
          <w:i/>
          <w:color w:val="333333"/>
          <w:lang w:val="en" w:eastAsia="en-AU"/>
        </w:rPr>
        <w:t>Documented enforcement strategy which allows for the compliance records of regulated entities to be considered in determining regulatory actions.</w:t>
      </w:r>
    </w:p>
    <w:p w14:paraId="306F0692" w14:textId="77777777" w:rsidR="007D545D" w:rsidRPr="007D545D" w:rsidRDefault="007D545D" w:rsidP="00CD6E65">
      <w:pPr>
        <w:keepNext/>
        <w:spacing w:before="240" w:after="0"/>
        <w:rPr>
          <w:rFonts w:ascii="Arial" w:hAnsi="Arial" w:cs="Arial"/>
          <w:u w:val="single"/>
        </w:rPr>
      </w:pPr>
      <w:r w:rsidRPr="007D545D">
        <w:rPr>
          <w:rFonts w:ascii="Arial" w:hAnsi="Arial" w:cs="Arial"/>
          <w:u w:val="single"/>
        </w:rPr>
        <w:t xml:space="preserve">Rating:  </w:t>
      </w:r>
    </w:p>
    <w:tbl>
      <w:tblPr>
        <w:tblStyle w:val="TableGrid"/>
        <w:tblW w:w="0" w:type="auto"/>
        <w:jc w:val="center"/>
        <w:tblInd w:w="-1127" w:type="dxa"/>
        <w:tblLook w:val="04A0" w:firstRow="1" w:lastRow="0" w:firstColumn="1" w:lastColumn="0" w:noHBand="0" w:noVBand="1"/>
      </w:tblPr>
      <w:tblGrid>
        <w:gridCol w:w="4779"/>
      </w:tblGrid>
      <w:tr w:rsidR="005D559C" w:rsidRPr="002C19BB" w14:paraId="44C85061" w14:textId="77777777" w:rsidTr="00FA325D">
        <w:trPr>
          <w:cantSplit/>
          <w:jc w:val="center"/>
        </w:trPr>
        <w:tc>
          <w:tcPr>
            <w:tcW w:w="4779" w:type="dxa"/>
            <w:shd w:val="clear" w:color="auto" w:fill="00B050"/>
            <w:vAlign w:val="center"/>
          </w:tcPr>
          <w:p w14:paraId="2BB473B9" w14:textId="77777777" w:rsidR="005D559C" w:rsidRPr="002C19BB" w:rsidRDefault="005D559C" w:rsidP="00FA325D">
            <w:pPr>
              <w:spacing w:before="120" w:after="120"/>
              <w:jc w:val="center"/>
              <w:rPr>
                <w:rFonts w:ascii="Arial" w:hAnsi="Arial" w:cs="Arial"/>
                <w:b/>
              </w:rPr>
            </w:pPr>
            <w:r w:rsidRPr="002C19BB">
              <w:rPr>
                <w:rFonts w:ascii="Arial" w:hAnsi="Arial" w:cs="Arial"/>
                <w:b/>
              </w:rPr>
              <w:t>Effective</w:t>
            </w:r>
            <w:r>
              <w:rPr>
                <w:rFonts w:ascii="Arial" w:hAnsi="Arial" w:cs="Arial"/>
                <w:b/>
              </w:rPr>
              <w:br/>
            </w:r>
            <w:r w:rsidRPr="0067306A">
              <w:rPr>
                <w:rFonts w:ascii="Arial" w:hAnsi="Arial" w:cs="Arial"/>
              </w:rPr>
              <w:t>(81-100% of optimum)</w:t>
            </w:r>
          </w:p>
        </w:tc>
      </w:tr>
    </w:tbl>
    <w:p w14:paraId="52AD9BDD" w14:textId="77777777" w:rsidR="00B11F21" w:rsidRPr="007D545D" w:rsidRDefault="00B11F21" w:rsidP="00B11F21">
      <w:pPr>
        <w:spacing w:after="0"/>
        <w:rPr>
          <w:rFonts w:ascii="Arial" w:hAnsi="Arial" w:cs="Arial"/>
        </w:rPr>
      </w:pPr>
    </w:p>
    <w:p w14:paraId="7BCE39C4" w14:textId="77777777" w:rsidR="008E035C" w:rsidRPr="008E035C" w:rsidRDefault="008E035C" w:rsidP="008E035C">
      <w:pPr>
        <w:rPr>
          <w:rFonts w:ascii="Arial" w:hAnsi="Arial" w:cs="Arial"/>
        </w:rPr>
      </w:pPr>
      <w:r w:rsidRPr="008E035C">
        <w:rPr>
          <w:rFonts w:ascii="Arial" w:hAnsi="Arial" w:cs="Arial"/>
        </w:rPr>
        <w:t>The Great Barrier Reef Marine Park is a multiple-use area. Zoning helps to manage and protect the values of the Marine Park that users enjoy. Zoning Plans define what activities can occur in which locations both to protect the marine environment and to separate potentially conflicting activities.</w:t>
      </w:r>
    </w:p>
    <w:p w14:paraId="4912F5F2" w14:textId="1F43BE7A" w:rsidR="00246287" w:rsidRPr="00246287" w:rsidRDefault="008E035C" w:rsidP="00246287">
      <w:pPr>
        <w:rPr>
          <w:rFonts w:ascii="Arial" w:hAnsi="Arial" w:cs="Arial"/>
        </w:rPr>
      </w:pPr>
      <w:r w:rsidRPr="008E035C">
        <w:rPr>
          <w:rFonts w:ascii="Arial" w:hAnsi="Arial" w:cs="Arial"/>
        </w:rPr>
        <w:t xml:space="preserve">The </w:t>
      </w:r>
      <w:hyperlink r:id="rId52" w:history="1">
        <w:r w:rsidRPr="008E035C">
          <w:rPr>
            <w:rStyle w:val="Hyperlink"/>
            <w:rFonts w:ascii="Arial" w:hAnsi="Arial" w:cs="Arial"/>
            <w:i/>
          </w:rPr>
          <w:t>Great Barrier Reef Zoning Plan 2003</w:t>
        </w:r>
      </w:hyperlink>
      <w:proofErr w:type="gramStart"/>
      <w:r w:rsidRPr="008E035C">
        <w:rPr>
          <w:rFonts w:ascii="Arial" w:hAnsi="Arial" w:cs="Arial"/>
        </w:rPr>
        <w:t>,</w:t>
      </w:r>
      <w:proofErr w:type="gramEnd"/>
      <w:r w:rsidRPr="008E035C">
        <w:rPr>
          <w:rFonts w:ascii="Arial" w:hAnsi="Arial" w:cs="Arial"/>
        </w:rPr>
        <w:t xml:space="preserve"> </w:t>
      </w:r>
      <w:r>
        <w:rPr>
          <w:rFonts w:ascii="Arial" w:hAnsi="Arial" w:cs="Arial"/>
        </w:rPr>
        <w:t xml:space="preserve">provides </w:t>
      </w:r>
      <w:r w:rsidRPr="008E035C">
        <w:rPr>
          <w:rFonts w:ascii="Arial" w:hAnsi="Arial" w:cs="Arial"/>
        </w:rPr>
        <w:t>for a range of ecologically sustainable recreational, commercial and research opportunities and for the continuation of traditional activities.</w:t>
      </w:r>
      <w:r w:rsidR="00246287">
        <w:rPr>
          <w:rFonts w:ascii="Arial" w:hAnsi="Arial" w:cs="Arial"/>
        </w:rPr>
        <w:t xml:space="preserve"> </w:t>
      </w:r>
      <w:r w:rsidRPr="008E035C">
        <w:rPr>
          <w:rFonts w:ascii="Arial" w:hAnsi="Arial" w:cs="Arial"/>
        </w:rPr>
        <w:t xml:space="preserve">Marine Park zoning is an important component in managing marine areas. It </w:t>
      </w:r>
      <w:r w:rsidR="00246287" w:rsidRPr="00246287">
        <w:rPr>
          <w:rFonts w:ascii="Arial" w:hAnsi="Arial" w:cs="Arial"/>
        </w:rPr>
        <w:t>helps ensure:</w:t>
      </w:r>
    </w:p>
    <w:p w14:paraId="70BC3C27" w14:textId="1A5516E9" w:rsidR="00246287" w:rsidRPr="00246287" w:rsidRDefault="00246287" w:rsidP="00246287">
      <w:pPr>
        <w:pStyle w:val="ListParagraph"/>
        <w:numPr>
          <w:ilvl w:val="0"/>
          <w:numId w:val="9"/>
        </w:numPr>
        <w:rPr>
          <w:rFonts w:ascii="Arial" w:hAnsi="Arial" w:cs="Arial"/>
        </w:rPr>
      </w:pPr>
      <w:r>
        <w:rPr>
          <w:rFonts w:ascii="Arial" w:hAnsi="Arial" w:cs="Arial"/>
        </w:rPr>
        <w:t>t</w:t>
      </w:r>
      <w:r w:rsidRPr="00246287">
        <w:rPr>
          <w:rFonts w:ascii="Arial" w:hAnsi="Arial" w:cs="Arial"/>
        </w:rPr>
        <w:t>he continued existence of the unique marine animals, plants and habitats that are found only in the Great Barrier Reef and provide additional protection for threatened species su</w:t>
      </w:r>
      <w:r>
        <w:rPr>
          <w:rFonts w:ascii="Arial" w:hAnsi="Arial" w:cs="Arial"/>
        </w:rPr>
        <w:t>ch as dugong and marine turtles;</w:t>
      </w:r>
    </w:p>
    <w:p w14:paraId="005C970A" w14:textId="6CD92E09" w:rsidR="00246287" w:rsidRPr="00246287" w:rsidRDefault="00246287" w:rsidP="00246287">
      <w:pPr>
        <w:pStyle w:val="ListParagraph"/>
        <w:numPr>
          <w:ilvl w:val="0"/>
          <w:numId w:val="9"/>
        </w:numPr>
        <w:rPr>
          <w:rFonts w:ascii="Arial" w:hAnsi="Arial" w:cs="Arial"/>
        </w:rPr>
      </w:pPr>
      <w:r>
        <w:rPr>
          <w:rFonts w:ascii="Arial" w:hAnsi="Arial" w:cs="Arial"/>
        </w:rPr>
        <w:t>t</w:t>
      </w:r>
      <w:r w:rsidRPr="00246287">
        <w:rPr>
          <w:rFonts w:ascii="Arial" w:hAnsi="Arial" w:cs="Arial"/>
        </w:rPr>
        <w:t>hose industries that rely on the health of the Marine Park are able to continue, providing social and economic benefits to local co</w:t>
      </w:r>
      <w:r>
        <w:rPr>
          <w:rFonts w:ascii="Arial" w:hAnsi="Arial" w:cs="Arial"/>
        </w:rPr>
        <w:t>mmunities and the wider economy;</w:t>
      </w:r>
    </w:p>
    <w:p w14:paraId="7B1AF946" w14:textId="775AADA4" w:rsidR="00246287" w:rsidRPr="00246287" w:rsidRDefault="00246287" w:rsidP="00246287">
      <w:pPr>
        <w:pStyle w:val="ListParagraph"/>
        <w:numPr>
          <w:ilvl w:val="0"/>
          <w:numId w:val="9"/>
        </w:numPr>
        <w:rPr>
          <w:rFonts w:ascii="Arial" w:hAnsi="Arial" w:cs="Arial"/>
        </w:rPr>
      </w:pPr>
      <w:r>
        <w:rPr>
          <w:rFonts w:ascii="Arial" w:hAnsi="Arial" w:cs="Arial"/>
        </w:rPr>
        <w:t>t</w:t>
      </w:r>
      <w:r w:rsidRPr="00246287">
        <w:rPr>
          <w:rFonts w:ascii="Arial" w:hAnsi="Arial" w:cs="Arial"/>
        </w:rPr>
        <w:t xml:space="preserve">hat a diverse range of other benefits and values of the Marine Park, including recreational, cultural, educational and </w:t>
      </w:r>
      <w:r>
        <w:rPr>
          <w:rFonts w:ascii="Arial" w:hAnsi="Arial" w:cs="Arial"/>
        </w:rPr>
        <w:t>scientific values are protected; and</w:t>
      </w:r>
    </w:p>
    <w:p w14:paraId="0823D0F3" w14:textId="0E3BEFD0" w:rsidR="008E035C" w:rsidRPr="008E035C" w:rsidRDefault="00246287" w:rsidP="00246287">
      <w:pPr>
        <w:pStyle w:val="ListParagraph"/>
        <w:numPr>
          <w:ilvl w:val="0"/>
          <w:numId w:val="9"/>
        </w:numPr>
        <w:rPr>
          <w:rFonts w:ascii="Arial" w:hAnsi="Arial" w:cs="Arial"/>
        </w:rPr>
      </w:pPr>
      <w:proofErr w:type="gramStart"/>
      <w:r>
        <w:rPr>
          <w:rFonts w:ascii="Arial" w:hAnsi="Arial" w:cs="Arial"/>
        </w:rPr>
        <w:t>t</w:t>
      </w:r>
      <w:r w:rsidRPr="00246287">
        <w:rPr>
          <w:rFonts w:ascii="Arial" w:hAnsi="Arial" w:cs="Arial"/>
        </w:rPr>
        <w:t>hat</w:t>
      </w:r>
      <w:proofErr w:type="gramEnd"/>
      <w:r w:rsidRPr="00246287">
        <w:rPr>
          <w:rFonts w:ascii="Arial" w:hAnsi="Arial" w:cs="Arial"/>
        </w:rPr>
        <w:t xml:space="preserve"> future generations are able to continue to use and enjoy the Marine Park.</w:t>
      </w:r>
    </w:p>
    <w:p w14:paraId="5D23EF74" w14:textId="4542D368" w:rsidR="008E035C" w:rsidRDefault="008E035C" w:rsidP="008E035C">
      <w:pPr>
        <w:rPr>
          <w:rFonts w:ascii="Arial" w:hAnsi="Arial" w:cs="Arial"/>
        </w:rPr>
      </w:pPr>
      <w:r w:rsidRPr="008E035C">
        <w:rPr>
          <w:rFonts w:ascii="Arial" w:hAnsi="Arial" w:cs="Arial"/>
        </w:rPr>
        <w:t>Zoning defines the activities that can occur in which locations. The level of protection increases from the General Use (Light Blue) Zones up to the most restrictive, Preservation Zone. Each zone has different rules for the activities that are allowed, the activities that are prohibited and the activities that require a permit. Zones may also place restrictions on how some activities are conducted.</w:t>
      </w:r>
    </w:p>
    <w:p w14:paraId="48A3B63E" w14:textId="40A6313E" w:rsidR="00474084" w:rsidRPr="007D545D" w:rsidRDefault="00474084" w:rsidP="008E035C">
      <w:pPr>
        <w:rPr>
          <w:rFonts w:ascii="Arial" w:hAnsi="Arial" w:cs="Arial"/>
        </w:rPr>
      </w:pPr>
      <w:r w:rsidRPr="007D545D">
        <w:rPr>
          <w:rFonts w:ascii="Arial" w:hAnsi="Arial" w:cs="Arial"/>
        </w:rPr>
        <w:lastRenderedPageBreak/>
        <w:t xml:space="preserve">Hard copy zoning maps and an introductory guide explaining zoning and responsible reef practices are available free of charge from bait and tackle shops, Community Access Points, the Queensland Parks and Wildlife Service and by contacting </w:t>
      </w:r>
      <w:r>
        <w:rPr>
          <w:rFonts w:ascii="Arial" w:hAnsi="Arial" w:cs="Arial"/>
        </w:rPr>
        <w:t>GBRMPA</w:t>
      </w:r>
      <w:r w:rsidRPr="007D545D">
        <w:rPr>
          <w:rFonts w:ascii="Arial" w:hAnsi="Arial" w:cs="Arial"/>
        </w:rPr>
        <w:t xml:space="preserve"> on 1800</w:t>
      </w:r>
      <w:r>
        <w:rPr>
          <w:rFonts w:ascii="Arial" w:hAnsi="Arial" w:cs="Arial"/>
        </w:rPr>
        <w:t> </w:t>
      </w:r>
      <w:r w:rsidRPr="007D545D">
        <w:rPr>
          <w:rFonts w:ascii="Arial" w:hAnsi="Arial" w:cs="Arial"/>
        </w:rPr>
        <w:t>990</w:t>
      </w:r>
      <w:r>
        <w:rPr>
          <w:rFonts w:ascii="Arial" w:hAnsi="Arial" w:cs="Arial"/>
        </w:rPr>
        <w:t> </w:t>
      </w:r>
      <w:r w:rsidRPr="007D545D">
        <w:rPr>
          <w:rFonts w:ascii="Arial" w:hAnsi="Arial" w:cs="Arial"/>
        </w:rPr>
        <w:t>177.</w:t>
      </w:r>
      <w:r w:rsidR="007B39C7">
        <w:rPr>
          <w:rFonts w:ascii="Arial" w:hAnsi="Arial" w:cs="Arial"/>
        </w:rPr>
        <w:t xml:space="preserve"> There </w:t>
      </w:r>
      <w:r w:rsidR="00B610E6">
        <w:rPr>
          <w:rFonts w:ascii="Arial" w:hAnsi="Arial" w:cs="Arial"/>
        </w:rPr>
        <w:t>are also</w:t>
      </w:r>
      <w:r w:rsidR="007B39C7">
        <w:rPr>
          <w:rFonts w:ascii="Arial" w:hAnsi="Arial" w:cs="Arial"/>
        </w:rPr>
        <w:t xml:space="preserve"> </w:t>
      </w:r>
      <w:hyperlink r:id="rId53" w:history="1">
        <w:r w:rsidR="007B39C7" w:rsidRPr="007B39C7">
          <w:rPr>
            <w:rStyle w:val="Hyperlink"/>
            <w:rFonts w:ascii="Arial" w:hAnsi="Arial" w:cs="Arial"/>
          </w:rPr>
          <w:t>Visit the Reef</w:t>
        </w:r>
      </w:hyperlink>
      <w:r w:rsidR="00FA7918">
        <w:rPr>
          <w:rStyle w:val="Hyperlink"/>
          <w:rFonts w:ascii="Arial" w:hAnsi="Arial" w:cs="Arial"/>
        </w:rPr>
        <w:t>,</w:t>
      </w:r>
      <w:r w:rsidR="007B39C7">
        <w:rPr>
          <w:rFonts w:ascii="Arial" w:hAnsi="Arial" w:cs="Arial"/>
        </w:rPr>
        <w:t xml:space="preserve"> </w:t>
      </w:r>
      <w:hyperlink r:id="rId54" w:history="1">
        <w:r w:rsidR="00B610E6" w:rsidRPr="00B610E6">
          <w:rPr>
            <w:rStyle w:val="Hyperlink"/>
            <w:rFonts w:ascii="Arial" w:hAnsi="Arial" w:cs="Arial"/>
          </w:rPr>
          <w:t>Zoning</w:t>
        </w:r>
      </w:hyperlink>
      <w:r w:rsidR="00FA7918">
        <w:rPr>
          <w:rStyle w:val="Hyperlink"/>
          <w:rFonts w:ascii="Arial" w:hAnsi="Arial" w:cs="Arial"/>
        </w:rPr>
        <w:t xml:space="preserve">, </w:t>
      </w:r>
      <w:hyperlink r:id="rId55" w:history="1">
        <w:r w:rsidR="00FA7918" w:rsidRPr="00FA7918">
          <w:rPr>
            <w:rStyle w:val="Hyperlink"/>
            <w:rFonts w:ascii="Arial" w:hAnsi="Arial" w:cs="Arial"/>
          </w:rPr>
          <w:t>Plan of Management</w:t>
        </w:r>
      </w:hyperlink>
      <w:r w:rsidR="00FA7918">
        <w:rPr>
          <w:rStyle w:val="Hyperlink"/>
          <w:rFonts w:ascii="Arial" w:hAnsi="Arial" w:cs="Arial"/>
        </w:rPr>
        <w:t xml:space="preserve">, </w:t>
      </w:r>
      <w:hyperlink r:id="rId56" w:history="1">
        <w:r w:rsidR="00FA7918" w:rsidRPr="00FA7918">
          <w:rPr>
            <w:rStyle w:val="Hyperlink"/>
            <w:rFonts w:ascii="Arial" w:hAnsi="Arial" w:cs="Arial"/>
          </w:rPr>
          <w:t>Permits</w:t>
        </w:r>
      </w:hyperlink>
      <w:r w:rsidR="00FA7918">
        <w:rPr>
          <w:rStyle w:val="Hyperlink"/>
          <w:rFonts w:ascii="Arial" w:hAnsi="Arial" w:cs="Arial"/>
        </w:rPr>
        <w:t xml:space="preserve"> and </w:t>
      </w:r>
      <w:hyperlink r:id="rId57" w:history="1">
        <w:r w:rsidR="00FA7918" w:rsidRPr="00FA7918">
          <w:rPr>
            <w:rStyle w:val="Hyperlink"/>
            <w:rFonts w:ascii="Arial" w:hAnsi="Arial" w:cs="Arial"/>
          </w:rPr>
          <w:t>TUMRA</w:t>
        </w:r>
      </w:hyperlink>
      <w:r w:rsidR="00B610E6">
        <w:rPr>
          <w:rFonts w:ascii="Arial" w:hAnsi="Arial" w:cs="Arial"/>
        </w:rPr>
        <w:t xml:space="preserve"> </w:t>
      </w:r>
      <w:r w:rsidR="007B39C7">
        <w:rPr>
          <w:rFonts w:ascii="Arial" w:hAnsi="Arial" w:cs="Arial"/>
        </w:rPr>
        <w:t>section</w:t>
      </w:r>
      <w:r w:rsidR="00B610E6">
        <w:rPr>
          <w:rFonts w:ascii="Arial" w:hAnsi="Arial" w:cs="Arial"/>
        </w:rPr>
        <w:t>s</w:t>
      </w:r>
      <w:r w:rsidR="007B39C7">
        <w:rPr>
          <w:rFonts w:ascii="Arial" w:hAnsi="Arial" w:cs="Arial"/>
        </w:rPr>
        <w:t xml:space="preserve"> on the GBRMPA website.</w:t>
      </w:r>
    </w:p>
    <w:p w14:paraId="1D3FBFF4" w14:textId="77777777" w:rsidR="00D005FC" w:rsidRPr="007D545D" w:rsidRDefault="00D005FC" w:rsidP="00D005FC">
      <w:pPr>
        <w:rPr>
          <w:rFonts w:ascii="Arial" w:hAnsi="Arial" w:cs="Arial"/>
        </w:rPr>
      </w:pPr>
      <w:r>
        <w:rPr>
          <w:rFonts w:ascii="Arial" w:hAnsi="Arial" w:cs="Arial"/>
        </w:rPr>
        <w:t xml:space="preserve">GBRMPA’s </w:t>
      </w:r>
      <w:r w:rsidRPr="007D545D">
        <w:rPr>
          <w:rFonts w:ascii="Arial" w:hAnsi="Arial" w:cs="Arial"/>
        </w:rPr>
        <w:t xml:space="preserve">Environmental Assessment and Management </w:t>
      </w:r>
      <w:hyperlink r:id="rId58" w:history="1">
        <w:r w:rsidRPr="007E7043">
          <w:rPr>
            <w:rStyle w:val="Hyperlink"/>
            <w:rFonts w:ascii="Arial" w:hAnsi="Arial" w:cs="Arial"/>
          </w:rPr>
          <w:t>Risk Management Framework</w:t>
        </w:r>
      </w:hyperlink>
      <w:r w:rsidRPr="007D545D">
        <w:rPr>
          <w:rFonts w:ascii="Arial" w:hAnsi="Arial" w:cs="Arial"/>
        </w:rPr>
        <w:t xml:space="preserve"> </w:t>
      </w:r>
      <w:proofErr w:type="gramStart"/>
      <w:r w:rsidRPr="007D545D">
        <w:rPr>
          <w:rFonts w:ascii="Arial" w:hAnsi="Arial" w:cs="Arial"/>
        </w:rPr>
        <w:t>is</w:t>
      </w:r>
      <w:proofErr w:type="gramEnd"/>
      <w:r w:rsidRPr="007D545D">
        <w:rPr>
          <w:rFonts w:ascii="Arial" w:hAnsi="Arial" w:cs="Arial"/>
        </w:rPr>
        <w:t xml:space="preserve"> available to regulator staff and to the public on the GBRMPA website.</w:t>
      </w:r>
      <w:r>
        <w:rPr>
          <w:rFonts w:ascii="Arial" w:hAnsi="Arial" w:cs="Arial"/>
        </w:rPr>
        <w:t xml:space="preserve"> </w:t>
      </w:r>
    </w:p>
    <w:p w14:paraId="31B3C6E3" w14:textId="2616AF1D" w:rsidR="00D005FC" w:rsidRPr="007D545D" w:rsidRDefault="00D005FC" w:rsidP="00D005FC">
      <w:pPr>
        <w:rPr>
          <w:rFonts w:ascii="Arial" w:hAnsi="Arial" w:cs="Arial"/>
        </w:rPr>
      </w:pPr>
      <w:r>
        <w:rPr>
          <w:rFonts w:ascii="Arial" w:hAnsi="Arial" w:cs="Arial"/>
        </w:rPr>
        <w:t>T</w:t>
      </w:r>
      <w:r w:rsidRPr="007D545D">
        <w:rPr>
          <w:rFonts w:ascii="Arial" w:hAnsi="Arial" w:cs="Arial"/>
        </w:rPr>
        <w:t xml:space="preserve">he </w:t>
      </w:r>
      <w:hyperlink r:id="rId59" w:history="1">
        <w:r w:rsidRPr="00C70F8D">
          <w:rPr>
            <w:rStyle w:val="Hyperlink"/>
            <w:rFonts w:ascii="Arial" w:hAnsi="Arial" w:cs="Arial"/>
          </w:rPr>
          <w:t>Environmental Impact Management policy</w:t>
        </w:r>
      </w:hyperlink>
      <w:r w:rsidRPr="007D545D">
        <w:rPr>
          <w:rFonts w:ascii="Arial" w:hAnsi="Arial" w:cs="Arial"/>
        </w:rPr>
        <w:t xml:space="preserve"> recommends applicants discuss proposals with GBRMPA as a first step</w:t>
      </w:r>
      <w:r w:rsidR="006F1EC2">
        <w:rPr>
          <w:rFonts w:ascii="Arial" w:hAnsi="Arial" w:cs="Arial"/>
        </w:rPr>
        <w:t>.</w:t>
      </w:r>
      <w:r w:rsidRPr="007D545D">
        <w:rPr>
          <w:rFonts w:ascii="Arial" w:hAnsi="Arial" w:cs="Arial"/>
        </w:rPr>
        <w:t xml:space="preserve"> </w:t>
      </w:r>
    </w:p>
    <w:p w14:paraId="40CED164" w14:textId="4A76380F" w:rsidR="007E7043" w:rsidRPr="007D545D" w:rsidRDefault="007E7043" w:rsidP="00D005FC">
      <w:pPr>
        <w:rPr>
          <w:rFonts w:ascii="Arial" w:hAnsi="Arial" w:cs="Arial"/>
        </w:rPr>
      </w:pPr>
      <w:r>
        <w:rPr>
          <w:rFonts w:ascii="Arial" w:hAnsi="Arial" w:cs="Arial"/>
        </w:rPr>
        <w:t>In addition to the regular consultation with stakeholders outlined at KPI 2, i</w:t>
      </w:r>
      <w:r w:rsidR="006417DB" w:rsidRPr="007D545D">
        <w:rPr>
          <w:rFonts w:ascii="Arial" w:hAnsi="Arial" w:cs="Arial"/>
        </w:rPr>
        <w:t xml:space="preserve">nformation is available </w:t>
      </w:r>
      <w:r w:rsidRPr="007D545D">
        <w:rPr>
          <w:rFonts w:ascii="Arial" w:hAnsi="Arial" w:cs="Arial"/>
        </w:rPr>
        <w:t xml:space="preserve">on the GBRMPA website about </w:t>
      </w:r>
      <w:hyperlink r:id="rId60" w:history="1">
        <w:r w:rsidRPr="007B39C7">
          <w:rPr>
            <w:rStyle w:val="Hyperlink"/>
            <w:rFonts w:ascii="Arial" w:hAnsi="Arial" w:cs="Arial"/>
          </w:rPr>
          <w:t>permit applications</w:t>
        </w:r>
      </w:hyperlink>
      <w:r w:rsidRPr="007D545D">
        <w:rPr>
          <w:rFonts w:ascii="Arial" w:hAnsi="Arial" w:cs="Arial"/>
        </w:rPr>
        <w:t>. This includes a dedicated email –</w:t>
      </w:r>
      <w:r w:rsidR="00DF7743">
        <w:rPr>
          <w:rFonts w:ascii="Arial" w:hAnsi="Arial" w:cs="Arial"/>
        </w:rPr>
        <w:t xml:space="preserve"> </w:t>
      </w:r>
      <w:hyperlink r:id="rId61" w:history="1">
        <w:r w:rsidRPr="00EA3CD7">
          <w:rPr>
            <w:rStyle w:val="Hyperlink"/>
            <w:rFonts w:ascii="Arial" w:hAnsi="Arial" w:cs="Arial"/>
          </w:rPr>
          <w:t>assessments@gbrmpa.gov.au</w:t>
        </w:r>
      </w:hyperlink>
      <w:r w:rsidR="00474084">
        <w:rPr>
          <w:rFonts w:ascii="Arial" w:hAnsi="Arial" w:cs="Arial"/>
        </w:rPr>
        <w:t>.</w:t>
      </w:r>
    </w:p>
    <w:p w14:paraId="4C745197" w14:textId="5168F3F3" w:rsidR="00FA7918" w:rsidRPr="007D545D" w:rsidRDefault="00B54D28" w:rsidP="00FA7918">
      <w:pPr>
        <w:rPr>
          <w:rFonts w:ascii="Arial" w:hAnsi="Arial" w:cs="Arial"/>
        </w:rPr>
      </w:pPr>
      <w:r>
        <w:rPr>
          <w:rFonts w:ascii="Arial" w:hAnsi="Arial" w:cs="Arial"/>
        </w:rPr>
        <w:t xml:space="preserve">The </w:t>
      </w:r>
      <w:hyperlink r:id="rId62" w:history="1">
        <w:r w:rsidRPr="008E035C">
          <w:rPr>
            <w:rStyle w:val="Hyperlink"/>
            <w:rFonts w:ascii="Arial" w:hAnsi="Arial" w:cs="Arial"/>
          </w:rPr>
          <w:t>Great Barrier Reef Marine Park Regulations 1983</w:t>
        </w:r>
      </w:hyperlink>
      <w:r>
        <w:rPr>
          <w:rFonts w:ascii="Arial" w:hAnsi="Arial" w:cs="Arial"/>
        </w:rPr>
        <w:t xml:space="preserve"> (the Regulations) set out mandatory (88</w:t>
      </w:r>
      <w:r w:rsidR="00FA7918">
        <w:rPr>
          <w:rFonts w:ascii="Arial" w:hAnsi="Arial" w:cs="Arial"/>
        </w:rPr>
        <w:t>Q</w:t>
      </w:r>
      <w:r>
        <w:rPr>
          <w:rFonts w:ascii="Arial" w:hAnsi="Arial" w:cs="Arial"/>
        </w:rPr>
        <w:t>) and discretionary (88</w:t>
      </w:r>
      <w:r w:rsidR="00FA7918">
        <w:rPr>
          <w:rFonts w:ascii="Arial" w:hAnsi="Arial" w:cs="Arial"/>
        </w:rPr>
        <w:t>R</w:t>
      </w:r>
      <w:r>
        <w:rPr>
          <w:rFonts w:ascii="Arial" w:hAnsi="Arial" w:cs="Arial"/>
        </w:rPr>
        <w:t>) considerations for GBRMPA delegates deciding on whether or not to grant a permission</w:t>
      </w:r>
      <w:r w:rsidR="008E035C">
        <w:rPr>
          <w:rFonts w:ascii="Arial" w:hAnsi="Arial" w:cs="Arial"/>
        </w:rPr>
        <w:t xml:space="preserve"> or to impose conditions o</w:t>
      </w:r>
      <w:r w:rsidR="00D005FC">
        <w:rPr>
          <w:rFonts w:ascii="Arial" w:hAnsi="Arial" w:cs="Arial"/>
        </w:rPr>
        <w:t xml:space="preserve">n the permission. </w:t>
      </w:r>
      <w:r w:rsidR="006417DB" w:rsidRPr="007D545D">
        <w:rPr>
          <w:rFonts w:ascii="Arial" w:hAnsi="Arial" w:cs="Arial"/>
        </w:rPr>
        <w:t>Suitable person is one of the criteria considered before granting a</w:t>
      </w:r>
      <w:r w:rsidR="0099055C">
        <w:rPr>
          <w:rFonts w:ascii="Arial" w:hAnsi="Arial" w:cs="Arial"/>
        </w:rPr>
        <w:t xml:space="preserve"> permission – GBRMPA Reg </w:t>
      </w:r>
      <w:proofErr w:type="gramStart"/>
      <w:r w:rsidR="0099055C">
        <w:rPr>
          <w:rFonts w:ascii="Arial" w:hAnsi="Arial" w:cs="Arial"/>
        </w:rPr>
        <w:t>88R(</w:t>
      </w:r>
      <w:proofErr w:type="gramEnd"/>
      <w:r w:rsidR="0099055C">
        <w:rPr>
          <w:rFonts w:ascii="Arial" w:hAnsi="Arial" w:cs="Arial"/>
        </w:rPr>
        <w:t xml:space="preserve">j) – which allows the delegate to consider the applicant’s </w:t>
      </w:r>
      <w:r w:rsidR="00FA7918">
        <w:rPr>
          <w:rFonts w:ascii="Arial" w:hAnsi="Arial" w:cs="Arial"/>
        </w:rPr>
        <w:t xml:space="preserve">environmental </w:t>
      </w:r>
      <w:r w:rsidR="0099055C">
        <w:rPr>
          <w:rFonts w:ascii="Arial" w:hAnsi="Arial" w:cs="Arial"/>
        </w:rPr>
        <w:t>history.</w:t>
      </w:r>
      <w:r w:rsidR="00FA7918">
        <w:rPr>
          <w:rFonts w:ascii="Arial" w:hAnsi="Arial" w:cs="Arial"/>
        </w:rPr>
        <w:t xml:space="preserve"> </w:t>
      </w:r>
    </w:p>
    <w:p w14:paraId="0A269AE0" w14:textId="028BD0AA" w:rsidR="00C002C0" w:rsidRPr="00C002C0" w:rsidRDefault="0099055C" w:rsidP="00C002C0">
      <w:pPr>
        <w:rPr>
          <w:rFonts w:ascii="Arial" w:hAnsi="Arial" w:cs="Arial"/>
        </w:rPr>
      </w:pPr>
      <w:r>
        <w:rPr>
          <w:rFonts w:ascii="Arial" w:hAnsi="Arial" w:cs="Arial"/>
        </w:rPr>
        <w:t>T</w:t>
      </w:r>
      <w:r w:rsidR="00C002C0" w:rsidRPr="00C002C0">
        <w:rPr>
          <w:rFonts w:ascii="Arial" w:hAnsi="Arial" w:cs="Arial"/>
        </w:rPr>
        <w:t xml:space="preserve">ourism operations </w:t>
      </w:r>
      <w:r>
        <w:rPr>
          <w:rFonts w:ascii="Arial" w:hAnsi="Arial" w:cs="Arial"/>
        </w:rPr>
        <w:t xml:space="preserve">are encouraged </w:t>
      </w:r>
      <w:r w:rsidR="00BC2574">
        <w:rPr>
          <w:rFonts w:ascii="Arial" w:hAnsi="Arial" w:cs="Arial"/>
        </w:rPr>
        <w:t xml:space="preserve">by GBRMPA </w:t>
      </w:r>
      <w:r w:rsidR="00C002C0" w:rsidRPr="00C002C0">
        <w:rPr>
          <w:rFonts w:ascii="Arial" w:hAnsi="Arial" w:cs="Arial"/>
        </w:rPr>
        <w:t>to adopt high standards for protection, presentation and partnership within the Marine Park. GBRMPA relies on independent certification to identify high standard operations</w:t>
      </w:r>
      <w:r w:rsidR="00C002C0">
        <w:rPr>
          <w:rFonts w:ascii="Arial" w:hAnsi="Arial" w:cs="Arial"/>
        </w:rPr>
        <w:t xml:space="preserve"> that</w:t>
      </w:r>
      <w:r w:rsidR="00C002C0" w:rsidRPr="00C002C0">
        <w:rPr>
          <w:rFonts w:ascii="Arial" w:hAnsi="Arial" w:cs="Arial"/>
        </w:rPr>
        <w:t xml:space="preserve"> enhance environmental protection, reef resilience and tourism sustainability.</w:t>
      </w:r>
    </w:p>
    <w:p w14:paraId="3A5C0531" w14:textId="4597430F" w:rsidR="00C002C0" w:rsidRDefault="006417DB" w:rsidP="00C002C0">
      <w:pPr>
        <w:rPr>
          <w:rFonts w:ascii="Arial" w:hAnsi="Arial" w:cs="Arial"/>
        </w:rPr>
      </w:pPr>
      <w:r w:rsidRPr="007D545D">
        <w:rPr>
          <w:rFonts w:ascii="Arial" w:hAnsi="Arial" w:cs="Arial"/>
        </w:rPr>
        <w:t>Tourism operators who are certified with the ECO Certification Program (Ecotourism and Advanced Ecotourism levels) are eligible to apply for a</w:t>
      </w:r>
      <w:r w:rsidR="00C002C0">
        <w:rPr>
          <w:rFonts w:ascii="Arial" w:hAnsi="Arial" w:cs="Arial"/>
        </w:rPr>
        <w:t xml:space="preserve">n extended permit term of 15 years </w:t>
      </w:r>
      <w:r w:rsidR="0099055C">
        <w:rPr>
          <w:rFonts w:ascii="Arial" w:hAnsi="Arial" w:cs="Arial"/>
        </w:rPr>
        <w:t xml:space="preserve">for </w:t>
      </w:r>
      <w:r w:rsidRPr="007D545D">
        <w:rPr>
          <w:rFonts w:ascii="Arial" w:hAnsi="Arial" w:cs="Arial"/>
        </w:rPr>
        <w:t>certified tourism products</w:t>
      </w:r>
      <w:r w:rsidR="00740037">
        <w:rPr>
          <w:rFonts w:ascii="Arial" w:hAnsi="Arial" w:cs="Arial"/>
        </w:rPr>
        <w:t xml:space="preserve">. </w:t>
      </w:r>
      <w:r w:rsidR="00BE4B35" w:rsidRPr="00BE4B35">
        <w:rPr>
          <w:rFonts w:ascii="Arial" w:hAnsi="Arial" w:cs="Arial"/>
        </w:rPr>
        <w:t>In addition, certified operators are listed on GBRMPA's website and are showcased at various trade events (</w:t>
      </w:r>
      <w:r w:rsidR="00BE4B35">
        <w:rPr>
          <w:rFonts w:ascii="Arial" w:hAnsi="Arial" w:cs="Arial"/>
        </w:rPr>
        <w:t>e.g.</w:t>
      </w:r>
      <w:r w:rsidR="00BE4B35" w:rsidRPr="00BE4B35">
        <w:rPr>
          <w:rFonts w:ascii="Arial" w:hAnsi="Arial" w:cs="Arial"/>
        </w:rPr>
        <w:t xml:space="preserve"> Australian Tourism Exchange) and in publications (</w:t>
      </w:r>
      <w:r w:rsidR="00BE4B35">
        <w:rPr>
          <w:rFonts w:ascii="Arial" w:hAnsi="Arial" w:cs="Arial"/>
        </w:rPr>
        <w:t>e.g.</w:t>
      </w:r>
      <w:r w:rsidR="00BE4B35" w:rsidRPr="00BE4B35">
        <w:rPr>
          <w:rFonts w:ascii="Arial" w:hAnsi="Arial" w:cs="Arial"/>
        </w:rPr>
        <w:t xml:space="preserve"> Australian Ecotourism Directory).</w:t>
      </w:r>
    </w:p>
    <w:p w14:paraId="0C2F4A27" w14:textId="3FEFD10E" w:rsidR="006417DB" w:rsidRPr="007D545D" w:rsidRDefault="006417DB" w:rsidP="007D545D">
      <w:pPr>
        <w:rPr>
          <w:rFonts w:ascii="Arial" w:hAnsi="Arial" w:cs="Arial"/>
        </w:rPr>
      </w:pPr>
      <w:r w:rsidRPr="007D545D">
        <w:rPr>
          <w:rFonts w:ascii="Arial" w:hAnsi="Arial" w:cs="Arial"/>
        </w:rPr>
        <w:t xml:space="preserve">In 2015–16, three new operators received ECO Certification, bringing total operators in the program to 67. </w:t>
      </w:r>
      <w:r w:rsidR="00740037" w:rsidRPr="007D545D">
        <w:rPr>
          <w:rFonts w:ascii="Arial" w:hAnsi="Arial" w:cs="Arial"/>
        </w:rPr>
        <w:t>In the reporting period, 30 fifteen-year permits were granted to high standard tourism operations.</w:t>
      </w:r>
      <w:r w:rsidR="00C002C0">
        <w:rPr>
          <w:rFonts w:ascii="Arial" w:hAnsi="Arial" w:cs="Arial"/>
        </w:rPr>
        <w:t xml:space="preserve"> </w:t>
      </w:r>
      <w:hyperlink r:id="rId63" w:history="1">
        <w:r w:rsidRPr="00BE4B35">
          <w:rPr>
            <w:rStyle w:val="Hyperlink"/>
            <w:rFonts w:ascii="Arial" w:hAnsi="Arial" w:cs="Arial"/>
          </w:rPr>
          <w:t>High standard tourism operators</w:t>
        </w:r>
      </w:hyperlink>
      <w:r w:rsidRPr="007D545D">
        <w:rPr>
          <w:rFonts w:ascii="Arial" w:hAnsi="Arial" w:cs="Arial"/>
        </w:rPr>
        <w:t xml:space="preserve"> carry more than 69 per cent of tourists to the Marine Park.</w:t>
      </w:r>
    </w:p>
    <w:p w14:paraId="5F89F54C" w14:textId="77777777" w:rsidR="00950D71" w:rsidRDefault="0099055C" w:rsidP="0099055C">
      <w:pPr>
        <w:rPr>
          <w:rFonts w:ascii="Arial" w:hAnsi="Arial" w:cs="Arial"/>
        </w:rPr>
      </w:pPr>
      <w:r>
        <w:rPr>
          <w:rFonts w:ascii="Arial" w:hAnsi="Arial" w:cs="Arial"/>
        </w:rPr>
        <w:t>While responsibility for fisheries is led by the Queensland Government, GBRMPA liaises with the industry. I</w:t>
      </w:r>
      <w:r w:rsidRPr="007D545D">
        <w:rPr>
          <w:rFonts w:ascii="Arial" w:hAnsi="Arial" w:cs="Arial"/>
        </w:rPr>
        <w:t>n 2015-16</w:t>
      </w:r>
      <w:r>
        <w:rPr>
          <w:rFonts w:ascii="Arial" w:hAnsi="Arial" w:cs="Arial"/>
        </w:rPr>
        <w:t xml:space="preserve">, two meetings were held with the </w:t>
      </w:r>
      <w:r w:rsidRPr="007D545D">
        <w:rPr>
          <w:rFonts w:ascii="Arial" w:hAnsi="Arial" w:cs="Arial"/>
        </w:rPr>
        <w:t>Queensla</w:t>
      </w:r>
      <w:r>
        <w:rPr>
          <w:rFonts w:ascii="Arial" w:hAnsi="Arial" w:cs="Arial"/>
        </w:rPr>
        <w:t xml:space="preserve">nd Seafood Industry Association. </w:t>
      </w:r>
    </w:p>
    <w:p w14:paraId="2F7A52E4" w14:textId="4D3B7632" w:rsidR="00950D71" w:rsidRPr="00950D71" w:rsidRDefault="0099055C" w:rsidP="00950D71">
      <w:pPr>
        <w:rPr>
          <w:rFonts w:ascii="Arial" w:hAnsi="Arial" w:cs="Arial"/>
        </w:rPr>
      </w:pPr>
      <w:r>
        <w:rPr>
          <w:rFonts w:ascii="Arial" w:hAnsi="Arial" w:cs="Arial"/>
        </w:rPr>
        <w:t xml:space="preserve">GBRMPA also runs a </w:t>
      </w:r>
      <w:hyperlink r:id="rId64" w:history="1">
        <w:r w:rsidRPr="0099055C">
          <w:rPr>
            <w:rStyle w:val="Hyperlink"/>
            <w:rFonts w:ascii="Arial" w:hAnsi="Arial" w:cs="Arial"/>
          </w:rPr>
          <w:t>Reef Guardian Fishers</w:t>
        </w:r>
      </w:hyperlink>
      <w:r>
        <w:rPr>
          <w:rFonts w:ascii="Arial" w:hAnsi="Arial" w:cs="Arial"/>
        </w:rPr>
        <w:t xml:space="preserve"> program, which </w:t>
      </w:r>
      <w:r w:rsidRPr="0099055C">
        <w:rPr>
          <w:rFonts w:ascii="Arial" w:hAnsi="Arial" w:cs="Arial"/>
        </w:rPr>
        <w:t>recognises commercial fishers who are fishing sustainably and maintaining the health of the Great Barrier Reef while building the future of their fishery</w:t>
      </w:r>
      <w:r>
        <w:rPr>
          <w:rFonts w:ascii="Arial" w:hAnsi="Arial" w:cs="Arial"/>
        </w:rPr>
        <w:t xml:space="preserve"> and</w:t>
      </w:r>
      <w:r w:rsidRPr="0099055C">
        <w:rPr>
          <w:rFonts w:ascii="Arial" w:hAnsi="Arial" w:cs="Arial"/>
        </w:rPr>
        <w:t xml:space="preserve"> their business.</w:t>
      </w:r>
      <w:r>
        <w:rPr>
          <w:rFonts w:ascii="Arial" w:hAnsi="Arial" w:cs="Arial"/>
        </w:rPr>
        <w:t xml:space="preserve"> </w:t>
      </w:r>
      <w:r w:rsidR="006F1EC2">
        <w:rPr>
          <w:rFonts w:ascii="Arial" w:hAnsi="Arial" w:cs="Arial"/>
        </w:rPr>
        <w:t>Seventeen (</w:t>
      </w:r>
      <w:r>
        <w:rPr>
          <w:rFonts w:ascii="Arial" w:hAnsi="Arial" w:cs="Arial"/>
        </w:rPr>
        <w:t>17</w:t>
      </w:r>
      <w:r w:rsidR="006F1EC2">
        <w:rPr>
          <w:rFonts w:ascii="Arial" w:hAnsi="Arial" w:cs="Arial"/>
        </w:rPr>
        <w:t>)</w:t>
      </w:r>
      <w:r>
        <w:rPr>
          <w:rFonts w:ascii="Arial" w:hAnsi="Arial" w:cs="Arial"/>
        </w:rPr>
        <w:t xml:space="preserve"> fishing operations are recognised under the program.</w:t>
      </w:r>
      <w:r w:rsidR="00950D71">
        <w:rPr>
          <w:rFonts w:ascii="Arial" w:hAnsi="Arial" w:cs="Arial"/>
        </w:rPr>
        <w:t xml:space="preserve"> </w:t>
      </w:r>
      <w:r w:rsidR="00950D71" w:rsidRPr="00950D71">
        <w:rPr>
          <w:rFonts w:ascii="Arial" w:hAnsi="Arial" w:cs="Arial"/>
        </w:rPr>
        <w:t>Participants in the program:</w:t>
      </w:r>
    </w:p>
    <w:p w14:paraId="3708C315" w14:textId="5015A471" w:rsidR="00950D71" w:rsidRPr="00950D71" w:rsidRDefault="00950D71" w:rsidP="00950D71">
      <w:pPr>
        <w:pStyle w:val="ListParagraph"/>
        <w:numPr>
          <w:ilvl w:val="0"/>
          <w:numId w:val="9"/>
        </w:numPr>
        <w:rPr>
          <w:rFonts w:ascii="Arial" w:hAnsi="Arial" w:cs="Arial"/>
        </w:rPr>
      </w:pPr>
      <w:r>
        <w:rPr>
          <w:rFonts w:ascii="Arial" w:hAnsi="Arial" w:cs="Arial"/>
        </w:rPr>
        <w:t>s</w:t>
      </w:r>
      <w:r w:rsidRPr="00950D71">
        <w:rPr>
          <w:rFonts w:ascii="Arial" w:hAnsi="Arial" w:cs="Arial"/>
        </w:rPr>
        <w:t>et robust voluntary protocols for their operations</w:t>
      </w:r>
      <w:r>
        <w:rPr>
          <w:rFonts w:ascii="Arial" w:hAnsi="Arial" w:cs="Arial"/>
        </w:rPr>
        <w:t>;</w:t>
      </w:r>
    </w:p>
    <w:p w14:paraId="6630C935" w14:textId="69527278" w:rsidR="00950D71" w:rsidRPr="00950D71" w:rsidRDefault="00950D71" w:rsidP="00950D71">
      <w:pPr>
        <w:pStyle w:val="ListParagraph"/>
        <w:numPr>
          <w:ilvl w:val="0"/>
          <w:numId w:val="9"/>
        </w:numPr>
        <w:rPr>
          <w:rFonts w:ascii="Arial" w:hAnsi="Arial" w:cs="Arial"/>
        </w:rPr>
      </w:pPr>
      <w:r>
        <w:rPr>
          <w:rFonts w:ascii="Arial" w:hAnsi="Arial" w:cs="Arial"/>
        </w:rPr>
        <w:t>d</w:t>
      </w:r>
      <w:r w:rsidRPr="00950D71">
        <w:rPr>
          <w:rFonts w:ascii="Arial" w:hAnsi="Arial" w:cs="Arial"/>
        </w:rPr>
        <w:t>evelop innovative practices to minimise impacts on the environment and non-target species</w:t>
      </w:r>
      <w:r>
        <w:rPr>
          <w:rFonts w:ascii="Arial" w:hAnsi="Arial" w:cs="Arial"/>
        </w:rPr>
        <w:t>;</w:t>
      </w:r>
    </w:p>
    <w:p w14:paraId="78A3D928" w14:textId="1AFE4342" w:rsidR="00950D71" w:rsidRPr="00950D71" w:rsidRDefault="00950D71" w:rsidP="00950D71">
      <w:pPr>
        <w:pStyle w:val="ListParagraph"/>
        <w:numPr>
          <w:ilvl w:val="0"/>
          <w:numId w:val="9"/>
        </w:numPr>
        <w:rPr>
          <w:rFonts w:ascii="Arial" w:hAnsi="Arial" w:cs="Arial"/>
        </w:rPr>
      </w:pPr>
      <w:r>
        <w:rPr>
          <w:rFonts w:ascii="Arial" w:hAnsi="Arial" w:cs="Arial"/>
        </w:rPr>
        <w:t>s</w:t>
      </w:r>
      <w:r w:rsidRPr="00950D71">
        <w:rPr>
          <w:rFonts w:ascii="Arial" w:hAnsi="Arial" w:cs="Arial"/>
        </w:rPr>
        <w:t>hare knowledge with other fishers and their communities</w:t>
      </w:r>
      <w:r>
        <w:rPr>
          <w:rFonts w:ascii="Arial" w:hAnsi="Arial" w:cs="Arial"/>
        </w:rPr>
        <w:t>; and</w:t>
      </w:r>
    </w:p>
    <w:p w14:paraId="4EE70471" w14:textId="4A2386FF" w:rsidR="0099055C" w:rsidRPr="007D545D" w:rsidRDefault="00950D71" w:rsidP="00950D71">
      <w:pPr>
        <w:pStyle w:val="ListParagraph"/>
        <w:numPr>
          <w:ilvl w:val="0"/>
          <w:numId w:val="9"/>
        </w:numPr>
        <w:rPr>
          <w:rFonts w:ascii="Arial" w:hAnsi="Arial" w:cs="Arial"/>
        </w:rPr>
      </w:pPr>
      <w:proofErr w:type="gramStart"/>
      <w:r>
        <w:rPr>
          <w:rFonts w:ascii="Arial" w:hAnsi="Arial" w:cs="Arial"/>
        </w:rPr>
        <w:lastRenderedPageBreak/>
        <w:t>a</w:t>
      </w:r>
      <w:r w:rsidRPr="00950D71">
        <w:rPr>
          <w:rFonts w:ascii="Arial" w:hAnsi="Arial" w:cs="Arial"/>
        </w:rPr>
        <w:t>ssist</w:t>
      </w:r>
      <w:proofErr w:type="gramEnd"/>
      <w:r w:rsidRPr="00950D71">
        <w:rPr>
          <w:rFonts w:ascii="Arial" w:hAnsi="Arial" w:cs="Arial"/>
        </w:rPr>
        <w:t xml:space="preserve"> with research and trialling new technologies</w:t>
      </w:r>
      <w:r>
        <w:rPr>
          <w:rFonts w:ascii="Arial" w:hAnsi="Arial" w:cs="Arial"/>
        </w:rPr>
        <w:t>, e.g. voluntary vessel tracking</w:t>
      </w:r>
      <w:r w:rsidRPr="00950D71">
        <w:rPr>
          <w:rFonts w:ascii="Arial" w:hAnsi="Arial" w:cs="Arial"/>
        </w:rPr>
        <w:t>.</w:t>
      </w:r>
    </w:p>
    <w:p w14:paraId="481D799E" w14:textId="4BB7CECB" w:rsidR="0075590A" w:rsidRPr="007D545D" w:rsidRDefault="0075590A" w:rsidP="0075590A">
      <w:pPr>
        <w:rPr>
          <w:rFonts w:ascii="Arial" w:hAnsi="Arial" w:cs="Arial"/>
        </w:rPr>
      </w:pPr>
      <w:r w:rsidRPr="007D545D">
        <w:rPr>
          <w:rFonts w:ascii="Arial" w:hAnsi="Arial" w:cs="Arial"/>
        </w:rPr>
        <w:t xml:space="preserve">For many users, the public face of the Australian and Queensland governments' </w:t>
      </w:r>
      <w:r>
        <w:rPr>
          <w:rFonts w:ascii="Arial" w:hAnsi="Arial" w:cs="Arial"/>
        </w:rPr>
        <w:t xml:space="preserve">Great Barrier Reef </w:t>
      </w:r>
      <w:r w:rsidRPr="007D545D">
        <w:rPr>
          <w:rFonts w:ascii="Arial" w:hAnsi="Arial" w:cs="Arial"/>
        </w:rPr>
        <w:t xml:space="preserve">management is the Joint Field Management Program officers they meet while using the reef and islands. </w:t>
      </w:r>
      <w:r w:rsidR="00516EFE">
        <w:rPr>
          <w:rFonts w:ascii="Arial" w:hAnsi="Arial" w:cs="Arial"/>
        </w:rPr>
        <w:t>T</w:t>
      </w:r>
      <w:r w:rsidR="00516EFE" w:rsidRPr="007D545D">
        <w:rPr>
          <w:rFonts w:ascii="Arial" w:hAnsi="Arial" w:cs="Arial"/>
        </w:rPr>
        <w:t xml:space="preserve">he Joint Field Management Program officers </w:t>
      </w:r>
      <w:r w:rsidR="00A32BCC">
        <w:rPr>
          <w:rFonts w:ascii="Arial" w:hAnsi="Arial" w:cs="Arial"/>
        </w:rPr>
        <w:t>provide p</w:t>
      </w:r>
      <w:r w:rsidR="00A32BCC" w:rsidRPr="007D545D">
        <w:rPr>
          <w:rFonts w:ascii="Arial" w:hAnsi="Arial" w:cs="Arial"/>
        </w:rPr>
        <w:t xml:space="preserve">ublicly </w:t>
      </w:r>
      <w:r w:rsidRPr="007D545D">
        <w:rPr>
          <w:rFonts w:ascii="Arial" w:hAnsi="Arial" w:cs="Arial"/>
        </w:rPr>
        <w:t xml:space="preserve">available information on how to enjoy </w:t>
      </w:r>
      <w:r>
        <w:rPr>
          <w:rFonts w:ascii="Arial" w:hAnsi="Arial" w:cs="Arial"/>
        </w:rPr>
        <w:t>the Reef</w:t>
      </w:r>
      <w:r w:rsidRPr="007D545D">
        <w:rPr>
          <w:rFonts w:ascii="Arial" w:hAnsi="Arial" w:cs="Arial"/>
        </w:rPr>
        <w:t xml:space="preserve"> responsibly</w:t>
      </w:r>
      <w:r w:rsidR="00A32BCC">
        <w:rPr>
          <w:rFonts w:ascii="Arial" w:hAnsi="Arial" w:cs="Arial"/>
        </w:rPr>
        <w:t xml:space="preserve"> as well as being responsible for enforcing compliance.</w:t>
      </w:r>
    </w:p>
    <w:p w14:paraId="2DCF7C9D" w14:textId="77777777" w:rsidR="0075590A" w:rsidRPr="007D545D" w:rsidRDefault="0075590A" w:rsidP="0075590A">
      <w:pPr>
        <w:rPr>
          <w:rFonts w:ascii="Arial" w:hAnsi="Arial" w:cs="Arial"/>
        </w:rPr>
      </w:pPr>
      <w:r w:rsidRPr="007D545D">
        <w:rPr>
          <w:rFonts w:ascii="Arial" w:hAnsi="Arial" w:cs="Arial"/>
        </w:rPr>
        <w:t>GBRMPA has a graduated range of responses that correlate to the level of non-compliance:</w:t>
      </w:r>
    </w:p>
    <w:p w14:paraId="0BEC6130" w14:textId="783AF837" w:rsidR="0075590A" w:rsidRPr="007D545D" w:rsidRDefault="006F1EC2" w:rsidP="0075590A">
      <w:pPr>
        <w:pStyle w:val="ListParagraph"/>
        <w:numPr>
          <w:ilvl w:val="0"/>
          <w:numId w:val="9"/>
        </w:numPr>
        <w:rPr>
          <w:rFonts w:ascii="Arial" w:hAnsi="Arial" w:cs="Arial"/>
        </w:rPr>
      </w:pPr>
      <w:r>
        <w:rPr>
          <w:rFonts w:ascii="Arial" w:hAnsi="Arial" w:cs="Arial"/>
        </w:rPr>
        <w:t>a</w:t>
      </w:r>
      <w:r w:rsidR="0075590A" w:rsidRPr="007D545D">
        <w:rPr>
          <w:rFonts w:ascii="Arial" w:hAnsi="Arial" w:cs="Arial"/>
        </w:rPr>
        <w:t>wareness, education and information;</w:t>
      </w:r>
    </w:p>
    <w:p w14:paraId="0659333A" w14:textId="6AB417B9" w:rsidR="0075590A" w:rsidRPr="007D545D" w:rsidRDefault="006F1EC2" w:rsidP="0075590A">
      <w:pPr>
        <w:pStyle w:val="ListParagraph"/>
        <w:numPr>
          <w:ilvl w:val="0"/>
          <w:numId w:val="9"/>
        </w:numPr>
        <w:rPr>
          <w:rFonts w:ascii="Arial" w:hAnsi="Arial" w:cs="Arial"/>
        </w:rPr>
      </w:pPr>
      <w:r>
        <w:rPr>
          <w:rFonts w:ascii="Arial" w:hAnsi="Arial" w:cs="Arial"/>
        </w:rPr>
        <w:t>s</w:t>
      </w:r>
      <w:r w:rsidR="0075590A" w:rsidRPr="007D545D">
        <w:rPr>
          <w:rFonts w:ascii="Arial" w:hAnsi="Arial" w:cs="Arial"/>
        </w:rPr>
        <w:t xml:space="preserve">urveillance, monitoring and warnings; </w:t>
      </w:r>
    </w:p>
    <w:p w14:paraId="270EE1CF" w14:textId="6BD6EA76" w:rsidR="0075590A" w:rsidRPr="007D545D" w:rsidRDefault="006F1EC2" w:rsidP="0075590A">
      <w:pPr>
        <w:pStyle w:val="ListParagraph"/>
        <w:numPr>
          <w:ilvl w:val="0"/>
          <w:numId w:val="9"/>
        </w:numPr>
        <w:rPr>
          <w:rFonts w:ascii="Arial" w:hAnsi="Arial" w:cs="Arial"/>
        </w:rPr>
      </w:pPr>
      <w:r>
        <w:rPr>
          <w:rFonts w:ascii="Arial" w:hAnsi="Arial" w:cs="Arial"/>
        </w:rPr>
        <w:t>a</w:t>
      </w:r>
      <w:r w:rsidR="0075590A" w:rsidRPr="007D545D">
        <w:rPr>
          <w:rFonts w:ascii="Arial" w:hAnsi="Arial" w:cs="Arial"/>
        </w:rPr>
        <w:t>udit, administrative action and penalties; then</w:t>
      </w:r>
    </w:p>
    <w:p w14:paraId="00F97C59" w14:textId="34F5D999" w:rsidR="0075590A" w:rsidRPr="007D545D" w:rsidRDefault="006F1EC2" w:rsidP="0075590A">
      <w:pPr>
        <w:pStyle w:val="ListParagraph"/>
        <w:numPr>
          <w:ilvl w:val="0"/>
          <w:numId w:val="9"/>
        </w:numPr>
        <w:rPr>
          <w:rFonts w:ascii="Arial" w:hAnsi="Arial" w:cs="Arial"/>
        </w:rPr>
      </w:pPr>
      <w:proofErr w:type="gramStart"/>
      <w:r>
        <w:rPr>
          <w:rFonts w:ascii="Arial" w:hAnsi="Arial" w:cs="Arial"/>
        </w:rPr>
        <w:t>i</w:t>
      </w:r>
      <w:r w:rsidR="0075590A" w:rsidRPr="007D545D">
        <w:rPr>
          <w:rFonts w:ascii="Arial" w:hAnsi="Arial" w:cs="Arial"/>
        </w:rPr>
        <w:t>nvestigation</w:t>
      </w:r>
      <w:proofErr w:type="gramEnd"/>
      <w:r w:rsidR="0075590A" w:rsidRPr="007D545D">
        <w:rPr>
          <w:rFonts w:ascii="Arial" w:hAnsi="Arial" w:cs="Arial"/>
        </w:rPr>
        <w:t xml:space="preserve"> and prosecution</w:t>
      </w:r>
      <w:r>
        <w:rPr>
          <w:rFonts w:ascii="Arial" w:hAnsi="Arial" w:cs="Arial"/>
        </w:rPr>
        <w:t>.</w:t>
      </w:r>
    </w:p>
    <w:p w14:paraId="7E241402" w14:textId="7EB61C68" w:rsidR="0075590A" w:rsidRPr="007D545D" w:rsidRDefault="0075590A" w:rsidP="0075590A">
      <w:pPr>
        <w:rPr>
          <w:rFonts w:ascii="Arial" w:hAnsi="Arial" w:cs="Arial"/>
        </w:rPr>
      </w:pPr>
      <w:r w:rsidRPr="007D545D">
        <w:rPr>
          <w:rFonts w:ascii="Arial" w:hAnsi="Arial" w:cs="Arial"/>
        </w:rPr>
        <w:t>The F</w:t>
      </w:r>
      <w:r w:rsidR="006F1EC2">
        <w:rPr>
          <w:rFonts w:ascii="Arial" w:hAnsi="Arial" w:cs="Arial"/>
        </w:rPr>
        <w:t xml:space="preserve">ield </w:t>
      </w:r>
      <w:r w:rsidRPr="007D545D">
        <w:rPr>
          <w:rFonts w:ascii="Arial" w:hAnsi="Arial" w:cs="Arial"/>
        </w:rPr>
        <w:t>M</w:t>
      </w:r>
      <w:r w:rsidR="006F1EC2">
        <w:rPr>
          <w:rFonts w:ascii="Arial" w:hAnsi="Arial" w:cs="Arial"/>
        </w:rPr>
        <w:t xml:space="preserve">anagement </w:t>
      </w:r>
      <w:r w:rsidRPr="007D545D">
        <w:rPr>
          <w:rFonts w:ascii="Arial" w:hAnsi="Arial" w:cs="Arial"/>
        </w:rPr>
        <w:t>C</w:t>
      </w:r>
      <w:r w:rsidR="006F1EC2">
        <w:rPr>
          <w:rFonts w:ascii="Arial" w:hAnsi="Arial" w:cs="Arial"/>
        </w:rPr>
        <w:t xml:space="preserve">ompliance </w:t>
      </w:r>
      <w:r w:rsidRPr="007D545D">
        <w:rPr>
          <w:rFonts w:ascii="Arial" w:hAnsi="Arial" w:cs="Arial"/>
        </w:rPr>
        <w:t>U</w:t>
      </w:r>
      <w:r w:rsidR="006F1EC2">
        <w:rPr>
          <w:rFonts w:ascii="Arial" w:hAnsi="Arial" w:cs="Arial"/>
        </w:rPr>
        <w:t>nit (FMCU)</w:t>
      </w:r>
      <w:r w:rsidRPr="007D545D">
        <w:rPr>
          <w:rFonts w:ascii="Arial" w:hAnsi="Arial" w:cs="Arial"/>
        </w:rPr>
        <w:t xml:space="preserve"> has established a strategic risk register that outlines the key compliance risks to the Reef. </w:t>
      </w:r>
    </w:p>
    <w:p w14:paraId="49207AFA" w14:textId="77777777" w:rsidR="0075590A" w:rsidRPr="007D545D" w:rsidRDefault="0075590A" w:rsidP="0075590A">
      <w:pPr>
        <w:rPr>
          <w:rFonts w:ascii="Arial" w:hAnsi="Arial" w:cs="Arial"/>
        </w:rPr>
      </w:pPr>
      <w:r w:rsidRPr="007D545D">
        <w:rPr>
          <w:rFonts w:ascii="Arial" w:hAnsi="Arial" w:cs="Arial"/>
        </w:rPr>
        <w:t>Only a small proportion of the ‘Extreme’ and ‘Very High’ rated compliance risks relate to GBRMP</w:t>
      </w:r>
      <w:r>
        <w:rPr>
          <w:rFonts w:ascii="Arial" w:hAnsi="Arial" w:cs="Arial"/>
        </w:rPr>
        <w:t>A</w:t>
      </w:r>
      <w:r w:rsidRPr="007D545D">
        <w:rPr>
          <w:rFonts w:ascii="Arial" w:hAnsi="Arial" w:cs="Arial"/>
        </w:rPr>
        <w:t xml:space="preserve"> permitted activities—with most relating to commercial fishing, vessel groundings or the illegal take of protected species.</w:t>
      </w:r>
    </w:p>
    <w:p w14:paraId="7E1A9D90" w14:textId="77777777" w:rsidR="0075590A" w:rsidRPr="007D545D" w:rsidRDefault="0075590A" w:rsidP="0075590A">
      <w:pPr>
        <w:rPr>
          <w:rFonts w:ascii="Arial" w:hAnsi="Arial" w:cs="Arial"/>
        </w:rPr>
      </w:pPr>
      <w:r w:rsidRPr="007D545D">
        <w:rPr>
          <w:rFonts w:ascii="Arial" w:hAnsi="Arial" w:cs="Arial"/>
        </w:rPr>
        <w:t>The FMCU monitors identified compliance risk treatments on a quarterly basis.</w:t>
      </w:r>
      <w:r>
        <w:rPr>
          <w:rFonts w:ascii="Arial" w:hAnsi="Arial" w:cs="Arial"/>
        </w:rPr>
        <w:t xml:space="preserve"> </w:t>
      </w:r>
      <w:r w:rsidRPr="007D545D">
        <w:rPr>
          <w:rFonts w:ascii="Arial" w:hAnsi="Arial" w:cs="Arial"/>
        </w:rPr>
        <w:t>As part of its annual business planning cycle, the FMCU reviews, and where necessary, upd</w:t>
      </w:r>
      <w:r>
        <w:rPr>
          <w:rFonts w:ascii="Arial" w:hAnsi="Arial" w:cs="Arial"/>
        </w:rPr>
        <w:t>ates it strategic risk register</w:t>
      </w:r>
      <w:r w:rsidRPr="007D545D">
        <w:rPr>
          <w:rFonts w:ascii="Arial" w:hAnsi="Arial" w:cs="Arial"/>
        </w:rPr>
        <w:t>—in consultation with other areas</w:t>
      </w:r>
      <w:r>
        <w:rPr>
          <w:rFonts w:ascii="Arial" w:hAnsi="Arial" w:cs="Arial"/>
        </w:rPr>
        <w:t xml:space="preserve"> of GBRMPA and partner agencies</w:t>
      </w:r>
      <w:r w:rsidRPr="007D545D">
        <w:rPr>
          <w:rFonts w:ascii="Arial" w:hAnsi="Arial" w:cs="Arial"/>
        </w:rPr>
        <w:t>.</w:t>
      </w:r>
    </w:p>
    <w:p w14:paraId="5E1B87DC" w14:textId="205EF508" w:rsidR="0075590A" w:rsidRPr="007D545D" w:rsidRDefault="0075590A" w:rsidP="0075590A">
      <w:pPr>
        <w:rPr>
          <w:rFonts w:ascii="Arial" w:hAnsi="Arial" w:cs="Arial"/>
        </w:rPr>
      </w:pPr>
      <w:r w:rsidRPr="007D545D">
        <w:rPr>
          <w:rFonts w:ascii="Arial" w:hAnsi="Arial" w:cs="Arial"/>
        </w:rPr>
        <w:t xml:space="preserve">Details on Field Management Program operations are included in the </w:t>
      </w:r>
      <w:hyperlink r:id="rId65" w:history="1">
        <w:r w:rsidRPr="00A55337">
          <w:rPr>
            <w:rStyle w:val="Hyperlink"/>
            <w:rFonts w:ascii="Arial" w:hAnsi="Arial" w:cs="Arial"/>
          </w:rPr>
          <w:t>2015-16 GBRMPA Annual Report</w:t>
        </w:r>
      </w:hyperlink>
      <w:r w:rsidRPr="007D545D">
        <w:rPr>
          <w:rFonts w:ascii="Arial" w:hAnsi="Arial" w:cs="Arial"/>
        </w:rPr>
        <w:t xml:space="preserve"> pp. 66-85</w:t>
      </w:r>
      <w:r w:rsidR="0099055C">
        <w:rPr>
          <w:rFonts w:ascii="Arial" w:hAnsi="Arial" w:cs="Arial"/>
        </w:rPr>
        <w:t xml:space="preserve"> and the </w:t>
      </w:r>
      <w:hyperlink r:id="rId66" w:history="1">
        <w:r w:rsidR="0099055C" w:rsidRPr="00130BC0">
          <w:rPr>
            <w:rStyle w:val="Hyperlink"/>
            <w:rFonts w:ascii="Arial" w:hAnsi="Arial" w:cs="Arial"/>
          </w:rPr>
          <w:t>Field Management Program Annual Report Summary</w:t>
        </w:r>
      </w:hyperlink>
      <w:r w:rsidRPr="007D545D">
        <w:rPr>
          <w:rFonts w:ascii="Arial" w:hAnsi="Arial" w:cs="Arial"/>
        </w:rPr>
        <w:t>.</w:t>
      </w:r>
    </w:p>
    <w:p w14:paraId="1A36B067" w14:textId="01C1B411" w:rsidR="005825E1" w:rsidRPr="008463FC" w:rsidRDefault="005825E1" w:rsidP="005825E1">
      <w:pPr>
        <w:pStyle w:val="Heading2"/>
        <w:numPr>
          <w:ilvl w:val="1"/>
          <w:numId w:val="10"/>
        </w:numPr>
        <w:pBdr>
          <w:top w:val="single" w:sz="4" w:space="1" w:color="4F81BD" w:themeColor="accent1"/>
          <w:left w:val="single" w:sz="4" w:space="4" w:color="4F81BD" w:themeColor="accent1"/>
        </w:pBdr>
        <w:spacing w:before="240" w:after="120"/>
        <w:ind w:left="567" w:hanging="573"/>
        <w:rPr>
          <w:rFonts w:ascii="Arial" w:hAnsi="Arial" w:cs="Arial"/>
          <w:b w:val="0"/>
          <w:color w:val="1F497D" w:themeColor="text2"/>
          <w:sz w:val="22"/>
        </w:rPr>
      </w:pPr>
      <w:bookmarkStart w:id="22" w:name="_Toc474753109"/>
      <w:r w:rsidRPr="008463FC">
        <w:rPr>
          <w:rFonts w:ascii="Arial" w:hAnsi="Arial" w:cs="Arial"/>
          <w:b w:val="0"/>
          <w:color w:val="1F497D" w:themeColor="text2"/>
          <w:sz w:val="22"/>
        </w:rPr>
        <w:t xml:space="preserve">KPI 4 </w:t>
      </w:r>
      <w:r w:rsidR="006726B1">
        <w:rPr>
          <w:rFonts w:ascii="Arial" w:hAnsi="Arial" w:cs="Arial"/>
          <w:b w:val="0"/>
          <w:color w:val="1F497D" w:themeColor="text2"/>
          <w:sz w:val="22"/>
        </w:rPr>
        <w:t>—</w:t>
      </w:r>
      <w:r w:rsidRPr="008463FC">
        <w:rPr>
          <w:rFonts w:ascii="Arial" w:hAnsi="Arial" w:cs="Arial"/>
          <w:b w:val="0"/>
          <w:color w:val="1F497D" w:themeColor="text2"/>
          <w:sz w:val="22"/>
        </w:rPr>
        <w:t xml:space="preserve"> </w:t>
      </w:r>
      <w:r w:rsidR="00A32FF6">
        <w:rPr>
          <w:rFonts w:ascii="Arial" w:hAnsi="Arial" w:cs="Arial"/>
          <w:b w:val="0"/>
          <w:color w:val="1F497D" w:themeColor="text2"/>
          <w:sz w:val="22"/>
        </w:rPr>
        <w:t>GBRMPA’s c</w:t>
      </w:r>
      <w:r w:rsidRPr="008463FC">
        <w:rPr>
          <w:rFonts w:ascii="Arial" w:hAnsi="Arial" w:cs="Arial"/>
          <w:b w:val="0"/>
          <w:color w:val="1F497D" w:themeColor="text2"/>
          <w:sz w:val="22"/>
        </w:rPr>
        <w:t>ompliance and monitoring approaches are streamlined and coordinated</w:t>
      </w:r>
      <w:bookmarkEnd w:id="22"/>
      <w:r w:rsidRPr="008463FC">
        <w:rPr>
          <w:rFonts w:ascii="Arial" w:hAnsi="Arial" w:cs="Arial"/>
          <w:b w:val="0"/>
          <w:color w:val="1F497D" w:themeColor="text2"/>
          <w:sz w:val="22"/>
        </w:rPr>
        <w:t xml:space="preserve"> </w:t>
      </w:r>
    </w:p>
    <w:p w14:paraId="313B83FB" w14:textId="77777777" w:rsidR="00373055" w:rsidRPr="00373055" w:rsidRDefault="00373055" w:rsidP="00373055">
      <w:pPr>
        <w:keepNext/>
        <w:spacing w:before="240" w:after="0"/>
        <w:rPr>
          <w:rFonts w:ascii="Arial" w:hAnsi="Arial" w:cs="Arial"/>
          <w:u w:val="single"/>
        </w:rPr>
      </w:pPr>
      <w:r w:rsidRPr="00373055">
        <w:rPr>
          <w:rFonts w:ascii="Arial" w:hAnsi="Arial" w:cs="Arial"/>
          <w:u w:val="single"/>
        </w:rPr>
        <w:t>Approved metrics</w:t>
      </w:r>
    </w:p>
    <w:p w14:paraId="534314C4" w14:textId="77777777" w:rsidR="00373055" w:rsidRPr="00373055" w:rsidRDefault="00373055" w:rsidP="00373055">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373055">
        <w:rPr>
          <w:rFonts w:ascii="Arial" w:eastAsia="Times New Roman" w:hAnsi="Arial" w:cs="Arial"/>
          <w:i/>
          <w:color w:val="333333"/>
          <w:lang w:val="en" w:eastAsia="en-AU"/>
        </w:rPr>
        <w:t>Demonstrated effort to coordinate inspections with similar regulators, where appropriate.</w:t>
      </w:r>
    </w:p>
    <w:p w14:paraId="4F808236" w14:textId="77777777" w:rsidR="00373055" w:rsidRPr="00373055" w:rsidRDefault="00373055" w:rsidP="00373055">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373055">
        <w:rPr>
          <w:rFonts w:ascii="Arial" w:eastAsia="Times New Roman" w:hAnsi="Arial" w:cs="Arial"/>
          <w:i/>
          <w:color w:val="333333"/>
          <w:lang w:val="en" w:eastAsia="en-AU"/>
        </w:rPr>
        <w:t>Evidence of collected information being acted upon, stored and re-used.</w:t>
      </w:r>
    </w:p>
    <w:p w14:paraId="101037BF" w14:textId="77777777" w:rsidR="00373055" w:rsidRPr="00373055" w:rsidRDefault="00373055" w:rsidP="00373055">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373055">
        <w:rPr>
          <w:rFonts w:ascii="Arial" w:eastAsia="Times New Roman" w:hAnsi="Arial" w:cs="Arial"/>
          <w:i/>
          <w:color w:val="333333"/>
          <w:lang w:val="en" w:eastAsia="en-AU"/>
        </w:rPr>
        <w:t>Demonstrated effort to share and receive information among regulators, where appropriate.</w:t>
      </w:r>
    </w:p>
    <w:p w14:paraId="593763F7" w14:textId="77777777" w:rsidR="00373055" w:rsidRPr="00373055" w:rsidRDefault="00373055" w:rsidP="00373055">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373055">
        <w:rPr>
          <w:rFonts w:ascii="Arial" w:eastAsia="Times New Roman" w:hAnsi="Arial" w:cs="Arial"/>
          <w:i/>
          <w:color w:val="333333"/>
          <w:lang w:val="en" w:eastAsia="en-AU"/>
        </w:rPr>
        <w:t>Monitoring and enforcement strategies that allow for a range of regulatory responses.</w:t>
      </w:r>
    </w:p>
    <w:p w14:paraId="72944A04" w14:textId="77777777" w:rsidR="007D545D" w:rsidRPr="007D545D" w:rsidRDefault="007D545D" w:rsidP="007D545D">
      <w:pPr>
        <w:keepNext/>
        <w:spacing w:after="0"/>
        <w:rPr>
          <w:rFonts w:ascii="Arial" w:hAnsi="Arial" w:cs="Arial"/>
          <w:u w:val="single"/>
        </w:rPr>
      </w:pPr>
      <w:r w:rsidRPr="007D545D">
        <w:rPr>
          <w:rFonts w:ascii="Arial" w:hAnsi="Arial" w:cs="Arial"/>
          <w:u w:val="single"/>
        </w:rPr>
        <w:t xml:space="preserve">Rating:  </w:t>
      </w:r>
    </w:p>
    <w:tbl>
      <w:tblPr>
        <w:tblStyle w:val="TableGrid"/>
        <w:tblW w:w="0" w:type="auto"/>
        <w:jc w:val="center"/>
        <w:tblInd w:w="-1127" w:type="dxa"/>
        <w:tblLook w:val="04A0" w:firstRow="1" w:lastRow="0" w:firstColumn="1" w:lastColumn="0" w:noHBand="0" w:noVBand="1"/>
      </w:tblPr>
      <w:tblGrid>
        <w:gridCol w:w="4779"/>
      </w:tblGrid>
      <w:tr w:rsidR="00BF2E2B" w:rsidRPr="002C19BB" w14:paraId="77B6D274" w14:textId="77777777" w:rsidTr="00FA325D">
        <w:trPr>
          <w:cantSplit/>
          <w:jc w:val="center"/>
        </w:trPr>
        <w:tc>
          <w:tcPr>
            <w:tcW w:w="4779" w:type="dxa"/>
            <w:shd w:val="clear" w:color="auto" w:fill="92D050"/>
            <w:vAlign w:val="center"/>
          </w:tcPr>
          <w:p w14:paraId="6ADE92E9" w14:textId="77777777" w:rsidR="00BF2E2B" w:rsidRPr="002C19BB" w:rsidRDefault="00BF2E2B" w:rsidP="00FA325D">
            <w:pPr>
              <w:spacing w:before="120" w:after="120"/>
              <w:jc w:val="center"/>
              <w:rPr>
                <w:rFonts w:ascii="Arial" w:hAnsi="Arial" w:cs="Arial"/>
                <w:b/>
              </w:rPr>
            </w:pPr>
            <w:r w:rsidRPr="002C19BB">
              <w:rPr>
                <w:rFonts w:ascii="Arial" w:hAnsi="Arial" w:cs="Arial"/>
                <w:b/>
              </w:rPr>
              <w:t>Mostly effective</w:t>
            </w:r>
            <w:r>
              <w:rPr>
                <w:rFonts w:ascii="Arial" w:hAnsi="Arial" w:cs="Arial"/>
                <w:b/>
              </w:rPr>
              <w:br/>
            </w:r>
            <w:r w:rsidRPr="0067306A">
              <w:rPr>
                <w:rFonts w:ascii="Arial" w:hAnsi="Arial" w:cs="Arial"/>
              </w:rPr>
              <w:t>(51-80% of optimum)</w:t>
            </w:r>
          </w:p>
        </w:tc>
      </w:tr>
    </w:tbl>
    <w:p w14:paraId="3BB495DD" w14:textId="77777777" w:rsidR="00BF2E2B" w:rsidRPr="007D545D" w:rsidRDefault="00BF2E2B" w:rsidP="00BF2E2B">
      <w:pPr>
        <w:spacing w:after="0"/>
        <w:rPr>
          <w:rFonts w:ascii="Arial" w:hAnsi="Arial" w:cs="Arial"/>
        </w:rPr>
      </w:pPr>
    </w:p>
    <w:p w14:paraId="7398304B" w14:textId="2C1DC4E7" w:rsidR="00A55337" w:rsidRPr="007D545D" w:rsidRDefault="00A55337" w:rsidP="00A55337">
      <w:pPr>
        <w:rPr>
          <w:rFonts w:ascii="Arial" w:hAnsi="Arial" w:cs="Arial"/>
        </w:rPr>
      </w:pPr>
      <w:r w:rsidRPr="007D545D">
        <w:rPr>
          <w:rFonts w:ascii="Arial" w:hAnsi="Arial" w:cs="Arial"/>
        </w:rPr>
        <w:t xml:space="preserve">The </w:t>
      </w:r>
      <w:hyperlink r:id="rId67" w:history="1">
        <w:r w:rsidRPr="00B11CFC">
          <w:rPr>
            <w:rStyle w:val="Hyperlink"/>
            <w:rFonts w:ascii="Arial" w:hAnsi="Arial" w:cs="Arial"/>
          </w:rPr>
          <w:t>Great Barrier Reef Intergovernmental Agreement 2015</w:t>
        </w:r>
      </w:hyperlink>
      <w:r w:rsidRPr="007D545D">
        <w:rPr>
          <w:rFonts w:ascii="Arial" w:hAnsi="Arial" w:cs="Arial"/>
        </w:rPr>
        <w:t xml:space="preserve"> (IGA) between the Australian and Queensland governments provides the framework for both governments to work together to protect the Great Barrier Reef</w:t>
      </w:r>
      <w:r w:rsidR="00BC2574">
        <w:rPr>
          <w:rFonts w:ascii="Arial" w:hAnsi="Arial" w:cs="Arial"/>
        </w:rPr>
        <w:t xml:space="preserve"> World Heritage Area</w:t>
      </w:r>
      <w:r w:rsidRPr="007D545D">
        <w:rPr>
          <w:rFonts w:ascii="Arial" w:hAnsi="Arial" w:cs="Arial"/>
        </w:rPr>
        <w:t xml:space="preserve">. </w:t>
      </w:r>
    </w:p>
    <w:p w14:paraId="3081A2CF" w14:textId="77777777" w:rsidR="00A55337" w:rsidRPr="007D545D" w:rsidRDefault="00A55337" w:rsidP="00A55337">
      <w:pPr>
        <w:rPr>
          <w:rFonts w:ascii="Arial" w:hAnsi="Arial" w:cs="Arial"/>
        </w:rPr>
      </w:pPr>
      <w:r w:rsidRPr="007D545D">
        <w:rPr>
          <w:rFonts w:ascii="Arial" w:hAnsi="Arial" w:cs="Arial"/>
        </w:rPr>
        <w:t xml:space="preserve">The IGA outlines the roles of the Great Barrier Reef Ministerial Forum and establishes arrangements for a Joint Field Management Program funded on a shared 50:50 basis. </w:t>
      </w:r>
    </w:p>
    <w:p w14:paraId="784FB8E3" w14:textId="00DF2F8E" w:rsidR="00A55337" w:rsidRPr="007D545D" w:rsidRDefault="00A55337" w:rsidP="00A55337">
      <w:pPr>
        <w:rPr>
          <w:rFonts w:ascii="Arial" w:hAnsi="Arial" w:cs="Arial"/>
        </w:rPr>
      </w:pPr>
      <w:r w:rsidRPr="007D545D">
        <w:rPr>
          <w:rFonts w:ascii="Arial" w:hAnsi="Arial" w:cs="Arial"/>
        </w:rPr>
        <w:lastRenderedPageBreak/>
        <w:t xml:space="preserve">The IGA requires the development of a Field Management Business Strategy to guide the Joint Field Management Program over a </w:t>
      </w:r>
      <w:r w:rsidR="0003751D" w:rsidRPr="007D545D">
        <w:rPr>
          <w:rFonts w:ascii="Arial" w:hAnsi="Arial" w:cs="Arial"/>
        </w:rPr>
        <w:t>five-year</w:t>
      </w:r>
      <w:r w:rsidRPr="007D545D">
        <w:rPr>
          <w:rFonts w:ascii="Arial" w:hAnsi="Arial" w:cs="Arial"/>
        </w:rPr>
        <w:t xml:space="preserve"> period and of Annual Business Plans</w:t>
      </w:r>
      <w:r w:rsidR="00BC2574">
        <w:rPr>
          <w:rFonts w:ascii="Arial" w:hAnsi="Arial" w:cs="Arial"/>
        </w:rPr>
        <w:t>,</w:t>
      </w:r>
      <w:r w:rsidRPr="007D545D">
        <w:rPr>
          <w:rFonts w:ascii="Arial" w:hAnsi="Arial" w:cs="Arial"/>
        </w:rPr>
        <w:t xml:space="preserve"> Annual Reports</w:t>
      </w:r>
      <w:r w:rsidR="00BC2574">
        <w:rPr>
          <w:rFonts w:ascii="Arial" w:hAnsi="Arial" w:cs="Arial"/>
        </w:rPr>
        <w:t xml:space="preserve"> and five-yearly reviews of the entire Program</w:t>
      </w:r>
      <w:r w:rsidRPr="007D545D">
        <w:rPr>
          <w:rFonts w:ascii="Arial" w:hAnsi="Arial" w:cs="Arial"/>
        </w:rPr>
        <w:t xml:space="preserve">. </w:t>
      </w:r>
    </w:p>
    <w:p w14:paraId="2D5EA696" w14:textId="2DF6AD4B" w:rsidR="00A55337" w:rsidRPr="007D545D" w:rsidRDefault="00A55337" w:rsidP="00A55337">
      <w:pPr>
        <w:rPr>
          <w:rFonts w:ascii="Arial" w:hAnsi="Arial" w:cs="Arial"/>
        </w:rPr>
      </w:pPr>
      <w:r w:rsidRPr="007D545D">
        <w:rPr>
          <w:rFonts w:ascii="Arial" w:hAnsi="Arial" w:cs="Arial"/>
        </w:rPr>
        <w:t xml:space="preserve">The </w:t>
      </w:r>
      <w:hyperlink r:id="rId68" w:history="1">
        <w:r w:rsidRPr="00EB6535">
          <w:rPr>
            <w:rStyle w:val="Hyperlink"/>
            <w:rFonts w:ascii="Arial" w:hAnsi="Arial" w:cs="Arial"/>
          </w:rPr>
          <w:t>Field Management Program</w:t>
        </w:r>
      </w:hyperlink>
      <w:r w:rsidRPr="007D545D">
        <w:rPr>
          <w:rFonts w:ascii="Arial" w:hAnsi="Arial" w:cs="Arial"/>
        </w:rPr>
        <w:t xml:space="preserve"> is delivered jointly by GBRMPA and the Queensland Parks and Wildlife Service and is responsible for planning and executing field operations in the Commonwealth and Queensland Marine Parks (including Commonwealth islands) and on island national parks within the Great Barrier Reef World Heritage Area.</w:t>
      </w:r>
    </w:p>
    <w:p w14:paraId="232981E4" w14:textId="0B6AE4F2" w:rsidR="00A55337" w:rsidRPr="007D545D" w:rsidRDefault="00A55337" w:rsidP="00FA7918">
      <w:pPr>
        <w:rPr>
          <w:rFonts w:ascii="Arial" w:hAnsi="Arial" w:cs="Arial"/>
        </w:rPr>
      </w:pPr>
      <w:r w:rsidRPr="007D545D">
        <w:rPr>
          <w:rFonts w:ascii="Arial" w:hAnsi="Arial" w:cs="Arial"/>
        </w:rPr>
        <w:t>Traditional Owner engagement and involvement in field management is an intrinsic part of program delivery.</w:t>
      </w:r>
    </w:p>
    <w:p w14:paraId="7AF99623" w14:textId="77777777" w:rsidR="005274EB" w:rsidRDefault="00B72E5E" w:rsidP="00B72E5E">
      <w:pPr>
        <w:rPr>
          <w:rFonts w:ascii="Arial" w:hAnsi="Arial" w:cs="Arial"/>
        </w:rPr>
      </w:pPr>
      <w:r w:rsidRPr="007D545D">
        <w:rPr>
          <w:rFonts w:ascii="Arial" w:hAnsi="Arial" w:cs="Arial"/>
        </w:rPr>
        <w:t xml:space="preserve">The Joint Field Management Program coordinates vessel, aerial and land-based surveillance activities across the World Heritage Area. </w:t>
      </w:r>
    </w:p>
    <w:p w14:paraId="383A8615" w14:textId="3B51342E" w:rsidR="00B72E5E" w:rsidRPr="007D545D" w:rsidRDefault="005274EB" w:rsidP="005274EB">
      <w:pPr>
        <w:rPr>
          <w:rFonts w:ascii="Arial" w:hAnsi="Arial" w:cs="Arial"/>
        </w:rPr>
      </w:pPr>
      <w:r w:rsidRPr="007D545D">
        <w:rPr>
          <w:rFonts w:ascii="Arial" w:hAnsi="Arial" w:cs="Arial"/>
        </w:rPr>
        <w:t xml:space="preserve">Eleven Compliance Operation Group meetings were held to coordinate strategic forward planning of surveillance activities. </w:t>
      </w:r>
      <w:r w:rsidR="00B72E5E" w:rsidRPr="007D545D">
        <w:rPr>
          <w:rFonts w:ascii="Arial" w:hAnsi="Arial" w:cs="Arial"/>
        </w:rPr>
        <w:t>A cooperative multi-agency approach to patrolling allows a broad range of compliance management tools to be applied in an efficient whole-of-government manner.</w:t>
      </w:r>
    </w:p>
    <w:p w14:paraId="6B9D300F" w14:textId="286657E6" w:rsidR="006417DB" w:rsidRPr="007D545D" w:rsidRDefault="006417DB" w:rsidP="007D545D">
      <w:pPr>
        <w:rPr>
          <w:rFonts w:ascii="Arial" w:hAnsi="Arial" w:cs="Arial"/>
        </w:rPr>
      </w:pPr>
      <w:r w:rsidRPr="007D545D">
        <w:rPr>
          <w:rFonts w:ascii="Arial" w:hAnsi="Arial" w:cs="Arial"/>
        </w:rPr>
        <w:t>Across the participating agencies, there were 735 dedicated compliance patrol vessel days, 13 land-based days and 90 days of targeted chartered flights (across all partner agencies) during the</w:t>
      </w:r>
      <w:r w:rsidR="005274EB">
        <w:rPr>
          <w:rFonts w:ascii="Arial" w:hAnsi="Arial" w:cs="Arial"/>
        </w:rPr>
        <w:t xml:space="preserve"> reporting period. </w:t>
      </w:r>
      <w:r w:rsidR="00F43334">
        <w:rPr>
          <w:rFonts w:ascii="Arial" w:hAnsi="Arial" w:cs="Arial"/>
        </w:rPr>
        <w:t xml:space="preserve">In the reporting period, </w:t>
      </w:r>
      <w:r w:rsidRPr="007D545D">
        <w:rPr>
          <w:rFonts w:ascii="Arial" w:hAnsi="Arial" w:cs="Arial"/>
        </w:rPr>
        <w:t>81 per cent of the 32 special operations conducted had multi agency participation</w:t>
      </w:r>
      <w:r w:rsidR="00130BC0">
        <w:rPr>
          <w:rFonts w:ascii="Arial" w:hAnsi="Arial" w:cs="Arial"/>
        </w:rPr>
        <w:t xml:space="preserve"> – this exceeds the 70 per cent target</w:t>
      </w:r>
      <w:r w:rsidRPr="007D545D">
        <w:rPr>
          <w:rFonts w:ascii="Arial" w:hAnsi="Arial" w:cs="Arial"/>
        </w:rPr>
        <w: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8"/>
      </w:tblGrid>
      <w:tr w:rsidR="00F43334" w14:paraId="444D512A" w14:textId="77777777" w:rsidTr="00F43334">
        <w:tc>
          <w:tcPr>
            <w:tcW w:w="8958" w:type="dxa"/>
            <w:shd w:val="clear" w:color="auto" w:fill="DBE5F1" w:themeFill="accent1" w:themeFillTint="33"/>
          </w:tcPr>
          <w:p w14:paraId="2B49ABB7" w14:textId="17FB4F17" w:rsidR="00894043" w:rsidRPr="00F43334" w:rsidRDefault="00F43334" w:rsidP="0075590A">
            <w:pPr>
              <w:shd w:val="clear" w:color="auto" w:fill="DBE5F1" w:themeFill="accent1" w:themeFillTint="33"/>
              <w:ind w:left="357" w:right="522"/>
              <w:rPr>
                <w:rFonts w:ascii="Arial" w:hAnsi="Arial" w:cs="Arial"/>
              </w:rPr>
            </w:pPr>
            <w:r w:rsidRPr="00F43334">
              <w:rPr>
                <w:rFonts w:ascii="Arial" w:hAnsi="Arial" w:cs="Arial"/>
              </w:rPr>
              <w:t xml:space="preserve">The Prime Minister’s Awards for Excellence in Public Sector Management </w:t>
            </w:r>
            <w:proofErr w:type="gramStart"/>
            <w:r w:rsidRPr="00F43334">
              <w:rPr>
                <w:rFonts w:ascii="Arial" w:hAnsi="Arial" w:cs="Arial"/>
              </w:rPr>
              <w:t>is</w:t>
            </w:r>
            <w:proofErr w:type="gramEnd"/>
            <w:r w:rsidRPr="00F43334">
              <w:rPr>
                <w:rFonts w:ascii="Arial" w:hAnsi="Arial" w:cs="Arial"/>
              </w:rPr>
              <w:t xml:space="preserve"> a national Awards program run annually by the Institute of Public Administration Australia. In 2015, the collaboration under the Joint Field Management Program was recognised with a silver award and a collaboration award.</w:t>
            </w:r>
          </w:p>
        </w:tc>
      </w:tr>
    </w:tbl>
    <w:p w14:paraId="0DAB43C3" w14:textId="77777777" w:rsidR="0075590A" w:rsidRDefault="0075590A" w:rsidP="007D545D">
      <w:pPr>
        <w:rPr>
          <w:rFonts w:ascii="Arial" w:hAnsi="Arial" w:cs="Arial"/>
        </w:rPr>
      </w:pPr>
    </w:p>
    <w:p w14:paraId="1BB20BD6" w14:textId="77777777" w:rsidR="006417DB" w:rsidRPr="007D545D" w:rsidRDefault="006417DB" w:rsidP="007D545D">
      <w:pPr>
        <w:rPr>
          <w:rFonts w:ascii="Arial" w:hAnsi="Arial" w:cs="Arial"/>
        </w:rPr>
      </w:pPr>
      <w:r w:rsidRPr="007D545D">
        <w:rPr>
          <w:rFonts w:ascii="Arial" w:hAnsi="Arial" w:cs="Arial"/>
        </w:rPr>
        <w:t xml:space="preserve">During the reporting period, 273 information reports, relating to a wide variety of issues and activities, were recorded and analysed. They enable greater understanding, and enhance responses to ongoing compliance issues and emerging trends in the World Heritage Area. </w:t>
      </w:r>
    </w:p>
    <w:p w14:paraId="187CD827" w14:textId="77777777" w:rsidR="006417DB" w:rsidRPr="007D545D" w:rsidRDefault="006417DB" w:rsidP="007D545D">
      <w:pPr>
        <w:rPr>
          <w:rFonts w:ascii="Arial" w:hAnsi="Arial" w:cs="Arial"/>
        </w:rPr>
      </w:pPr>
      <w:r w:rsidRPr="007D545D">
        <w:rPr>
          <w:rFonts w:ascii="Arial" w:hAnsi="Arial" w:cs="Arial"/>
        </w:rPr>
        <w:t>Of these reports, 139 related to illegal recreational fishing activity. Illegal recreational activity continues to be high, with the trend reflecting the long-term increase in illegal recreational fishing.</w:t>
      </w:r>
    </w:p>
    <w:p w14:paraId="3F99FBC2" w14:textId="55A43890" w:rsidR="006417DB" w:rsidRPr="007D545D" w:rsidRDefault="006417DB" w:rsidP="007D545D">
      <w:pPr>
        <w:rPr>
          <w:rFonts w:ascii="Arial" w:hAnsi="Arial" w:cs="Arial"/>
        </w:rPr>
      </w:pPr>
      <w:r w:rsidRPr="007D545D">
        <w:rPr>
          <w:rFonts w:ascii="Arial" w:hAnsi="Arial" w:cs="Arial"/>
        </w:rPr>
        <w:t>The reporting period was</w:t>
      </w:r>
      <w:r w:rsidR="003E3E64">
        <w:rPr>
          <w:rFonts w:ascii="Arial" w:hAnsi="Arial" w:cs="Arial"/>
        </w:rPr>
        <w:t xml:space="preserve"> also</w:t>
      </w:r>
      <w:r w:rsidRPr="007D545D">
        <w:rPr>
          <w:rFonts w:ascii="Arial" w:hAnsi="Arial" w:cs="Arial"/>
        </w:rPr>
        <w:t xml:space="preserve"> the first full year in which on-the-spot warnings, known as Commonwealth</w:t>
      </w:r>
      <w:r w:rsidR="00A407AE">
        <w:rPr>
          <w:rFonts w:ascii="Arial" w:hAnsi="Arial" w:cs="Arial"/>
        </w:rPr>
        <w:t xml:space="preserve"> caution notices, were issued. </w:t>
      </w:r>
      <w:r w:rsidRPr="007D545D">
        <w:rPr>
          <w:rFonts w:ascii="Arial" w:hAnsi="Arial" w:cs="Arial"/>
        </w:rPr>
        <w:t>This system was introduced to empower inspectors so they could warn fishers about low-risk alleged non-compliant behaviour at the point of detection — thereby reducing the double-handling of information.</w:t>
      </w:r>
    </w:p>
    <w:p w14:paraId="64175ACC" w14:textId="6C6321C0" w:rsidR="006417DB" w:rsidRPr="007D545D" w:rsidRDefault="006417DB" w:rsidP="007D545D">
      <w:pPr>
        <w:rPr>
          <w:rFonts w:ascii="Arial" w:hAnsi="Arial" w:cs="Arial"/>
        </w:rPr>
      </w:pPr>
      <w:r w:rsidRPr="007D545D">
        <w:rPr>
          <w:rFonts w:ascii="Arial" w:hAnsi="Arial" w:cs="Arial"/>
        </w:rPr>
        <w:t>The Field Management Compliance Unit (FMCU) within GBRMPA is responsible for the management of compliance for the Great Ba</w:t>
      </w:r>
      <w:r w:rsidR="003E3E64">
        <w:rPr>
          <w:rFonts w:ascii="Arial" w:hAnsi="Arial" w:cs="Arial"/>
        </w:rPr>
        <w:t xml:space="preserve">rrier Reef World Heritage Area. </w:t>
      </w:r>
      <w:r w:rsidRPr="007D545D">
        <w:rPr>
          <w:rFonts w:ascii="Arial" w:hAnsi="Arial" w:cs="Arial"/>
        </w:rPr>
        <w:t xml:space="preserve">In the conduct of this responsibility, the FMCU </w:t>
      </w:r>
      <w:proofErr w:type="gramStart"/>
      <w:r w:rsidRPr="007D545D">
        <w:rPr>
          <w:rFonts w:ascii="Arial" w:hAnsi="Arial" w:cs="Arial"/>
        </w:rPr>
        <w:t>col</w:t>
      </w:r>
      <w:r w:rsidR="00611E10">
        <w:rPr>
          <w:rFonts w:ascii="Arial" w:hAnsi="Arial" w:cs="Arial"/>
        </w:rPr>
        <w:t>lects,</w:t>
      </w:r>
      <w:proofErr w:type="gramEnd"/>
      <w:r w:rsidR="00611E10">
        <w:rPr>
          <w:rFonts w:ascii="Arial" w:hAnsi="Arial" w:cs="Arial"/>
        </w:rPr>
        <w:t xml:space="preserve"> stores and disseminates </w:t>
      </w:r>
      <w:r w:rsidRPr="007D545D">
        <w:rPr>
          <w:rFonts w:ascii="Arial" w:hAnsi="Arial" w:cs="Arial"/>
        </w:rPr>
        <w:t xml:space="preserve">personal information that is subject to the </w:t>
      </w:r>
      <w:r w:rsidRPr="003E3E64">
        <w:rPr>
          <w:rFonts w:ascii="Arial" w:hAnsi="Arial" w:cs="Arial"/>
          <w:i/>
        </w:rPr>
        <w:t>Privacy Act 1988</w:t>
      </w:r>
      <w:r w:rsidRPr="007D545D">
        <w:rPr>
          <w:rFonts w:ascii="Arial" w:hAnsi="Arial" w:cs="Arial"/>
        </w:rPr>
        <w:t xml:space="preserve"> and the Australian Privacy Principles (APPs).</w:t>
      </w:r>
    </w:p>
    <w:p w14:paraId="4B357B07" w14:textId="77777777" w:rsidR="005274EB" w:rsidRPr="007D545D" w:rsidRDefault="005274EB" w:rsidP="005274EB">
      <w:pPr>
        <w:rPr>
          <w:rFonts w:ascii="Arial" w:hAnsi="Arial" w:cs="Arial"/>
        </w:rPr>
      </w:pPr>
      <w:r w:rsidRPr="007D545D">
        <w:rPr>
          <w:rFonts w:ascii="Arial" w:hAnsi="Arial" w:cs="Arial"/>
        </w:rPr>
        <w:t xml:space="preserve">For the purposes of the Privacy Act, GBRMPA is considered a law enforcement agency </w:t>
      </w:r>
      <w:r>
        <w:rPr>
          <w:rFonts w:ascii="Arial" w:hAnsi="Arial" w:cs="Arial"/>
        </w:rPr>
        <w:t>with this</w:t>
      </w:r>
      <w:r w:rsidRPr="007D545D">
        <w:rPr>
          <w:rFonts w:ascii="Arial" w:hAnsi="Arial" w:cs="Arial"/>
        </w:rPr>
        <w:t xml:space="preserve"> status </w:t>
      </w:r>
      <w:r>
        <w:rPr>
          <w:rFonts w:ascii="Arial" w:hAnsi="Arial" w:cs="Arial"/>
        </w:rPr>
        <w:t xml:space="preserve">granted </w:t>
      </w:r>
      <w:r w:rsidRPr="007D545D">
        <w:rPr>
          <w:rFonts w:ascii="Arial" w:hAnsi="Arial" w:cs="Arial"/>
        </w:rPr>
        <w:t>in 2014</w:t>
      </w:r>
      <w:r>
        <w:rPr>
          <w:rFonts w:ascii="Arial" w:hAnsi="Arial" w:cs="Arial"/>
        </w:rPr>
        <w:t xml:space="preserve">. This </w:t>
      </w:r>
      <w:r w:rsidRPr="007D545D">
        <w:rPr>
          <w:rFonts w:ascii="Arial" w:hAnsi="Arial" w:cs="Arial"/>
        </w:rPr>
        <w:t xml:space="preserve">means </w:t>
      </w:r>
      <w:r>
        <w:rPr>
          <w:rFonts w:ascii="Arial" w:hAnsi="Arial" w:cs="Arial"/>
        </w:rPr>
        <w:t>GBRMPA</w:t>
      </w:r>
      <w:r w:rsidRPr="007D545D">
        <w:rPr>
          <w:rFonts w:ascii="Arial" w:hAnsi="Arial" w:cs="Arial"/>
        </w:rPr>
        <w:t xml:space="preserve"> can share information between regulators for law enforcement purposes</w:t>
      </w:r>
    </w:p>
    <w:p w14:paraId="1DFD7963" w14:textId="77777777" w:rsidR="006417DB" w:rsidRPr="007D545D" w:rsidRDefault="006417DB" w:rsidP="007D545D">
      <w:pPr>
        <w:rPr>
          <w:rFonts w:ascii="Arial" w:hAnsi="Arial" w:cs="Arial"/>
        </w:rPr>
      </w:pPr>
      <w:r w:rsidRPr="007D545D">
        <w:rPr>
          <w:rFonts w:ascii="Arial" w:hAnsi="Arial" w:cs="Arial"/>
        </w:rPr>
        <w:lastRenderedPageBreak/>
        <w:t>FMCU maintains a Compliance Management Information System database with on-line access to facilitate the recording, storage, searching and retrieval of compliance-related information.</w:t>
      </w:r>
    </w:p>
    <w:p w14:paraId="2729FD4F" w14:textId="77777777" w:rsidR="006417DB" w:rsidRDefault="006417DB" w:rsidP="007D545D">
      <w:pPr>
        <w:rPr>
          <w:rFonts w:ascii="Arial" w:hAnsi="Arial" w:cs="Arial"/>
        </w:rPr>
      </w:pPr>
      <w:r w:rsidRPr="007D545D">
        <w:rPr>
          <w:rFonts w:ascii="Arial" w:hAnsi="Arial" w:cs="Arial"/>
        </w:rPr>
        <w:t>Memoranda of Understanding with Maritime Border Command (MBC) and Queensland Boating and Fisheries Patrol (QBFP) detail agency roles and responsibilities, to enable effective and coordinated surveillance and compliance.</w:t>
      </w:r>
    </w:p>
    <w:p w14:paraId="54F3D78F" w14:textId="36D6136D" w:rsidR="003B1934" w:rsidRPr="00DF7743" w:rsidRDefault="003B1934" w:rsidP="007D545D">
      <w:pPr>
        <w:rPr>
          <w:rFonts w:ascii="Arial" w:hAnsi="Arial" w:cs="Arial"/>
          <w:i/>
        </w:rPr>
      </w:pPr>
      <w:r w:rsidRPr="00DF7743">
        <w:rPr>
          <w:rFonts w:ascii="Arial" w:hAnsi="Arial" w:cs="Arial"/>
          <w:i/>
        </w:rPr>
        <w:t>Permission system</w:t>
      </w:r>
      <w:r w:rsidR="00124935">
        <w:rPr>
          <w:rFonts w:ascii="Arial" w:hAnsi="Arial" w:cs="Arial"/>
          <w:i/>
        </w:rPr>
        <w:t xml:space="preserve"> performance audit</w:t>
      </w:r>
    </w:p>
    <w:p w14:paraId="129B691D" w14:textId="5C92BEED" w:rsidR="0075590A" w:rsidRDefault="00E40E49" w:rsidP="007D545D">
      <w:pPr>
        <w:rPr>
          <w:rFonts w:ascii="Arial" w:hAnsi="Arial" w:cs="Arial"/>
        </w:rPr>
      </w:pPr>
      <w:r>
        <w:rPr>
          <w:rFonts w:ascii="Arial" w:hAnsi="Arial" w:cs="Arial"/>
        </w:rPr>
        <w:t>ANAO found that: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8"/>
      </w:tblGrid>
      <w:tr w:rsidR="0075590A" w14:paraId="36A2FBCC" w14:textId="77777777" w:rsidTr="0075590A">
        <w:tc>
          <w:tcPr>
            <w:tcW w:w="8958" w:type="dxa"/>
            <w:shd w:val="clear" w:color="auto" w:fill="DBE5F1" w:themeFill="accent1" w:themeFillTint="33"/>
          </w:tcPr>
          <w:p w14:paraId="0B2726DB" w14:textId="77777777" w:rsidR="0075590A" w:rsidRDefault="0075590A" w:rsidP="00FA325D">
            <w:pPr>
              <w:pStyle w:val="Default"/>
              <w:spacing w:after="60"/>
              <w:ind w:left="360" w:right="284"/>
              <w:rPr>
                <w:rFonts w:ascii="Arial" w:hAnsi="Arial" w:cs="Arial"/>
                <w:sz w:val="22"/>
              </w:rPr>
            </w:pPr>
            <w:r w:rsidRPr="0075590A">
              <w:rPr>
                <w:rFonts w:ascii="Arial" w:hAnsi="Arial" w:cs="Arial"/>
                <w:sz w:val="22"/>
              </w:rPr>
              <w:t>Overall, permit monitoring undertaken by GBRMPA has been insufficient to determine permit holders’ compliance with permit conditions. Improved monitoring of permit holders’ compliance with post-approval reporting requirements and the establishment of a risk-based program of supplementary monitoring would better position GBRMPA to manage the risks posed to the Marine Park by permitted activities.</w:t>
            </w:r>
          </w:p>
          <w:p w14:paraId="1DAAA5AF" w14:textId="1B4CB9F7" w:rsidR="0075590A" w:rsidRPr="0075590A" w:rsidRDefault="0075590A" w:rsidP="00420CED">
            <w:pPr>
              <w:pStyle w:val="Default"/>
              <w:spacing w:after="60"/>
              <w:ind w:left="360" w:right="284"/>
              <w:rPr>
                <w:rFonts w:ascii="Arial" w:hAnsi="Arial" w:cs="Arial"/>
                <w:sz w:val="22"/>
              </w:rPr>
            </w:pPr>
            <w:r>
              <w:rPr>
                <w:rFonts w:ascii="Arial" w:hAnsi="Arial" w:cs="Arial"/>
                <w:sz w:val="22"/>
              </w:rPr>
              <w:t xml:space="preserve">Source: </w:t>
            </w:r>
            <w:hyperlink r:id="rId69" w:history="1">
              <w:r w:rsidRPr="00E538F1">
                <w:rPr>
                  <w:rStyle w:val="Hyperlink"/>
                  <w:rFonts w:ascii="Arial" w:hAnsi="Arial" w:cs="Arial"/>
                  <w:sz w:val="22"/>
                </w:rPr>
                <w:t>ANAO Report No.3 2015–16 Regulation of Great Barrier Reef Marine Park Permits and Approvals</w:t>
              </w:r>
            </w:hyperlink>
            <w:r w:rsidR="00E538F1">
              <w:rPr>
                <w:rFonts w:ascii="Arial" w:hAnsi="Arial" w:cs="Arial"/>
                <w:sz w:val="22"/>
              </w:rPr>
              <w:t>, p. 22</w:t>
            </w:r>
          </w:p>
        </w:tc>
      </w:tr>
    </w:tbl>
    <w:p w14:paraId="25A2970E" w14:textId="77777777" w:rsidR="0075590A" w:rsidRDefault="0075590A" w:rsidP="0075590A">
      <w:pPr>
        <w:rPr>
          <w:rFonts w:ascii="Arial" w:hAnsi="Arial" w:cs="Arial"/>
        </w:rPr>
      </w:pPr>
    </w:p>
    <w:p w14:paraId="236E5DDC" w14:textId="008F2641" w:rsidR="00BC2574" w:rsidRDefault="0075590A" w:rsidP="0075590A">
      <w:pPr>
        <w:rPr>
          <w:rFonts w:ascii="Arial" w:hAnsi="Arial" w:cs="Arial"/>
        </w:rPr>
      </w:pPr>
      <w:r w:rsidRPr="0075590A">
        <w:rPr>
          <w:rFonts w:ascii="Arial" w:hAnsi="Arial" w:cs="Arial"/>
        </w:rPr>
        <w:t>To improve monitoring and man</w:t>
      </w:r>
      <w:r>
        <w:rPr>
          <w:rFonts w:ascii="Arial" w:hAnsi="Arial" w:cs="Arial"/>
        </w:rPr>
        <w:t xml:space="preserve">agement of compliance </w:t>
      </w:r>
      <w:r w:rsidRPr="0075590A">
        <w:rPr>
          <w:rFonts w:ascii="Arial" w:hAnsi="Arial" w:cs="Arial"/>
        </w:rPr>
        <w:t>risks associated with permits an</w:t>
      </w:r>
      <w:r>
        <w:rPr>
          <w:rFonts w:ascii="Arial" w:hAnsi="Arial" w:cs="Arial"/>
        </w:rPr>
        <w:t>d permitted activities, GBRMPA</w:t>
      </w:r>
      <w:r w:rsidRPr="0075590A">
        <w:rPr>
          <w:rFonts w:ascii="Arial" w:hAnsi="Arial" w:cs="Arial"/>
        </w:rPr>
        <w:t xml:space="preserve"> </w:t>
      </w:r>
      <w:r w:rsidR="005933F6">
        <w:rPr>
          <w:rFonts w:ascii="Arial" w:hAnsi="Arial" w:cs="Arial"/>
        </w:rPr>
        <w:t>introduced an</w:t>
      </w:r>
      <w:r w:rsidR="003B1934">
        <w:rPr>
          <w:rFonts w:ascii="Arial" w:hAnsi="Arial" w:cs="Arial"/>
        </w:rPr>
        <w:t xml:space="preserve"> Action Plan to guide development of the compliance program and an</w:t>
      </w:r>
      <w:r w:rsidR="005933F6">
        <w:rPr>
          <w:rFonts w:ascii="Arial" w:hAnsi="Arial" w:cs="Arial"/>
        </w:rPr>
        <w:t xml:space="preserve"> Annual Permissions Compliance</w:t>
      </w:r>
      <w:r w:rsidRPr="0075590A">
        <w:rPr>
          <w:rFonts w:ascii="Arial" w:hAnsi="Arial" w:cs="Arial"/>
        </w:rPr>
        <w:t>.</w:t>
      </w:r>
      <w:r w:rsidR="00C648A0">
        <w:rPr>
          <w:rFonts w:ascii="Arial" w:hAnsi="Arial" w:cs="Arial"/>
        </w:rPr>
        <w:t xml:space="preserve"> </w:t>
      </w:r>
      <w:r w:rsidR="00124935">
        <w:rPr>
          <w:rFonts w:ascii="Arial" w:hAnsi="Arial" w:cs="Arial"/>
        </w:rPr>
        <w:t xml:space="preserve">Refer to pages 29-30 in the </w:t>
      </w:r>
      <w:hyperlink r:id="rId70" w:history="1">
        <w:r w:rsidR="00124935" w:rsidRPr="00C54ADB">
          <w:rPr>
            <w:rStyle w:val="Hyperlink"/>
            <w:rFonts w:ascii="Arial" w:hAnsi="Arial" w:cs="Arial"/>
          </w:rPr>
          <w:t>Annual Report</w:t>
        </w:r>
      </w:hyperlink>
      <w:r w:rsidR="00124935">
        <w:rPr>
          <w:rFonts w:ascii="Arial" w:hAnsi="Arial" w:cs="Arial"/>
        </w:rPr>
        <w:t xml:space="preserve"> for</w:t>
      </w:r>
      <w:r w:rsidR="00BC2574">
        <w:rPr>
          <w:rFonts w:ascii="Arial" w:hAnsi="Arial" w:cs="Arial"/>
        </w:rPr>
        <w:t xml:space="preserve"> Action Plan for achi</w:t>
      </w:r>
      <w:r w:rsidR="00124935">
        <w:rPr>
          <w:rFonts w:ascii="Arial" w:hAnsi="Arial" w:cs="Arial"/>
        </w:rPr>
        <w:t>evements in 2015-16</w:t>
      </w:r>
      <w:r w:rsidR="00BC2574">
        <w:rPr>
          <w:rFonts w:ascii="Arial" w:hAnsi="Arial" w:cs="Arial"/>
        </w:rPr>
        <w:t>.</w:t>
      </w:r>
    </w:p>
    <w:p w14:paraId="19653787" w14:textId="68574C0B" w:rsidR="005933F6" w:rsidRDefault="00C648A0" w:rsidP="0075590A">
      <w:pPr>
        <w:rPr>
          <w:rFonts w:ascii="Arial" w:hAnsi="Arial" w:cs="Arial"/>
        </w:rPr>
      </w:pPr>
      <w:r>
        <w:rPr>
          <w:rFonts w:ascii="Arial" w:hAnsi="Arial" w:cs="Arial"/>
        </w:rPr>
        <w:t xml:space="preserve">The </w:t>
      </w:r>
      <w:r w:rsidR="003B1934">
        <w:rPr>
          <w:rFonts w:ascii="Arial" w:hAnsi="Arial" w:cs="Arial"/>
        </w:rPr>
        <w:t>Annual P</w:t>
      </w:r>
      <w:r>
        <w:rPr>
          <w:rFonts w:ascii="Arial" w:hAnsi="Arial" w:cs="Arial"/>
        </w:rPr>
        <w:t xml:space="preserve">lan </w:t>
      </w:r>
      <w:r w:rsidR="005933F6" w:rsidRPr="005933F6">
        <w:rPr>
          <w:rFonts w:ascii="Arial" w:hAnsi="Arial" w:cs="Arial"/>
        </w:rPr>
        <w:t xml:space="preserve">identifies and analyses the compliance risks associated with permissions, notifications and accreditations. It then prioritises them and identifies treatments for implementation, based on the available resources and the application </w:t>
      </w:r>
      <w:r w:rsidR="005933F6">
        <w:rPr>
          <w:rFonts w:ascii="Arial" w:hAnsi="Arial" w:cs="Arial"/>
        </w:rPr>
        <w:t xml:space="preserve">of appropriate compliance tools. </w:t>
      </w:r>
    </w:p>
    <w:p w14:paraId="54E160F3" w14:textId="19D64509" w:rsidR="0075590A" w:rsidRDefault="005933F6" w:rsidP="0075590A">
      <w:pPr>
        <w:rPr>
          <w:rFonts w:ascii="Arial" w:hAnsi="Arial" w:cs="Arial"/>
        </w:rPr>
      </w:pPr>
      <w:r>
        <w:rPr>
          <w:rFonts w:ascii="Arial" w:hAnsi="Arial" w:cs="Arial"/>
        </w:rPr>
        <w:t xml:space="preserve">Treatments range from educational approaches to assisted self-regulation to stronger mechanisms designed to enforce compliance. Achievement of actions in the annual plan </w:t>
      </w:r>
      <w:r w:rsidR="00DF7743">
        <w:rPr>
          <w:rFonts w:ascii="Arial" w:hAnsi="Arial" w:cs="Arial"/>
        </w:rPr>
        <w:t xml:space="preserve">is </w:t>
      </w:r>
      <w:r>
        <w:rPr>
          <w:rFonts w:ascii="Arial" w:hAnsi="Arial" w:cs="Arial"/>
        </w:rPr>
        <w:t>dependent on resources.</w:t>
      </w:r>
      <w:r w:rsidR="00BC2574">
        <w:rPr>
          <w:rFonts w:ascii="Arial" w:hAnsi="Arial" w:cs="Arial"/>
        </w:rPr>
        <w:t xml:space="preserve"> Refer to </w:t>
      </w:r>
      <w:hyperlink r:id="rId71" w:history="1">
        <w:r w:rsidR="00C54ADB" w:rsidRPr="00C54ADB">
          <w:rPr>
            <w:rStyle w:val="Hyperlink"/>
            <w:rFonts w:ascii="Arial" w:hAnsi="Arial" w:cs="Arial"/>
          </w:rPr>
          <w:t>Annual Report</w:t>
        </w:r>
      </w:hyperlink>
      <w:r w:rsidR="00C54ADB">
        <w:rPr>
          <w:rFonts w:ascii="Arial" w:hAnsi="Arial" w:cs="Arial"/>
        </w:rPr>
        <w:t xml:space="preserve"> </w:t>
      </w:r>
      <w:r w:rsidR="00BC2574">
        <w:rPr>
          <w:rFonts w:ascii="Arial" w:hAnsi="Arial" w:cs="Arial"/>
        </w:rPr>
        <w:t>pages 55-61 for a summary of permission system compliance activities and results.</w:t>
      </w:r>
    </w:p>
    <w:p w14:paraId="1EDDD342" w14:textId="77777777" w:rsidR="003B1934" w:rsidRPr="00C54ADB" w:rsidRDefault="003B1934" w:rsidP="003B1934">
      <w:pPr>
        <w:rPr>
          <w:rFonts w:ascii="Arial" w:hAnsi="Arial" w:cs="Arial"/>
          <w:i/>
        </w:rPr>
      </w:pPr>
      <w:r w:rsidRPr="00C54ADB">
        <w:rPr>
          <w:rFonts w:ascii="Arial" w:hAnsi="Arial" w:cs="Arial"/>
          <w:i/>
        </w:rPr>
        <w:t>Joint permission system</w:t>
      </w:r>
    </w:p>
    <w:p w14:paraId="3EFE5F6C" w14:textId="5FA787AD" w:rsidR="003B1934" w:rsidRPr="00FA7918" w:rsidRDefault="003B1934" w:rsidP="003B1934">
      <w:pPr>
        <w:rPr>
          <w:rFonts w:ascii="Arial" w:hAnsi="Arial" w:cs="Arial"/>
        </w:rPr>
      </w:pPr>
      <w:r>
        <w:rPr>
          <w:rFonts w:ascii="Arial" w:hAnsi="Arial" w:cs="Arial"/>
        </w:rPr>
        <w:t xml:space="preserve">As part of measures to reduce regulatory burden on applicants, for more than thirty years, </w:t>
      </w:r>
      <w:r w:rsidR="00DF7743">
        <w:rPr>
          <w:rFonts w:ascii="Arial" w:hAnsi="Arial" w:cs="Arial"/>
        </w:rPr>
        <w:t>GBRMPA</w:t>
      </w:r>
      <w:r>
        <w:rPr>
          <w:rFonts w:ascii="Arial" w:hAnsi="Arial" w:cs="Arial"/>
        </w:rPr>
        <w:t xml:space="preserve">, together with the Queensland Parks and Wildlife Service. Many </w:t>
      </w:r>
      <w:r w:rsidRPr="00FA7918">
        <w:rPr>
          <w:rFonts w:ascii="Arial" w:hAnsi="Arial" w:cs="Arial"/>
        </w:rPr>
        <w:t xml:space="preserve">activities </w:t>
      </w:r>
      <w:r>
        <w:rPr>
          <w:rFonts w:ascii="Arial" w:hAnsi="Arial" w:cs="Arial"/>
        </w:rPr>
        <w:t xml:space="preserve">across </w:t>
      </w:r>
      <w:r w:rsidRPr="00FA7918">
        <w:rPr>
          <w:rFonts w:ascii="Arial" w:hAnsi="Arial" w:cs="Arial"/>
        </w:rPr>
        <w:t xml:space="preserve">require permission for both </w:t>
      </w:r>
      <w:r>
        <w:rPr>
          <w:rFonts w:ascii="Arial" w:hAnsi="Arial" w:cs="Arial"/>
        </w:rPr>
        <w:t>the GBRMP and the State Marine Park</w:t>
      </w:r>
      <w:r w:rsidRPr="00FA7918">
        <w:rPr>
          <w:rFonts w:ascii="Arial" w:hAnsi="Arial" w:cs="Arial"/>
        </w:rPr>
        <w:t>. Because of this, a joint permission system has been established</w:t>
      </w:r>
      <w:r>
        <w:rPr>
          <w:rFonts w:ascii="Arial" w:hAnsi="Arial" w:cs="Arial"/>
        </w:rPr>
        <w:t xml:space="preserve"> for nearly 30 years</w:t>
      </w:r>
      <w:r w:rsidRPr="00FA7918">
        <w:rPr>
          <w:rFonts w:ascii="Arial" w:hAnsi="Arial" w:cs="Arial"/>
        </w:rPr>
        <w:t xml:space="preserve"> to streamline the process for applicants and to ensure a complementary approach between State and Commonwealth Marine Parks.</w:t>
      </w:r>
      <w:r>
        <w:rPr>
          <w:rFonts w:ascii="Arial" w:hAnsi="Arial" w:cs="Arial"/>
        </w:rPr>
        <w:t xml:space="preserve"> </w:t>
      </w:r>
      <w:r w:rsidRPr="00FA7918">
        <w:rPr>
          <w:rFonts w:ascii="Arial" w:hAnsi="Arial" w:cs="Arial"/>
        </w:rPr>
        <w:t>In most cases, the joint permission system includes processes that meet both State and Commonwealth requirements, such as:</w:t>
      </w:r>
    </w:p>
    <w:p w14:paraId="3F9F80E9" w14:textId="77777777" w:rsidR="003B1934" w:rsidRPr="00FA7918" w:rsidRDefault="003B1934" w:rsidP="00124935">
      <w:pPr>
        <w:pStyle w:val="ListParagraph"/>
        <w:numPr>
          <w:ilvl w:val="0"/>
          <w:numId w:val="9"/>
        </w:numPr>
        <w:rPr>
          <w:rFonts w:ascii="Arial" w:hAnsi="Arial" w:cs="Arial"/>
        </w:rPr>
      </w:pPr>
      <w:r w:rsidRPr="00FA7918">
        <w:rPr>
          <w:rFonts w:ascii="Arial" w:hAnsi="Arial" w:cs="Arial"/>
        </w:rPr>
        <w:t>A single application meets the requirements of both Acts.</w:t>
      </w:r>
    </w:p>
    <w:p w14:paraId="652139D7" w14:textId="77777777" w:rsidR="003B1934" w:rsidRPr="00FA7918" w:rsidRDefault="003B1934" w:rsidP="00124935">
      <w:pPr>
        <w:pStyle w:val="ListParagraph"/>
        <w:numPr>
          <w:ilvl w:val="0"/>
          <w:numId w:val="9"/>
        </w:numPr>
        <w:rPr>
          <w:rFonts w:ascii="Arial" w:hAnsi="Arial" w:cs="Arial"/>
        </w:rPr>
      </w:pPr>
      <w:r w:rsidRPr="00FA7918">
        <w:rPr>
          <w:rFonts w:ascii="Arial" w:hAnsi="Arial" w:cs="Arial"/>
        </w:rPr>
        <w:t xml:space="preserve">Where required, a single public comment period meets the requirements of both Acts. </w:t>
      </w:r>
    </w:p>
    <w:p w14:paraId="46B4ED15" w14:textId="77777777" w:rsidR="003B1934" w:rsidRPr="00FA7918" w:rsidRDefault="003B1934" w:rsidP="00124935">
      <w:pPr>
        <w:pStyle w:val="ListParagraph"/>
        <w:numPr>
          <w:ilvl w:val="0"/>
          <w:numId w:val="9"/>
        </w:numPr>
        <w:rPr>
          <w:rFonts w:ascii="Arial" w:hAnsi="Arial" w:cs="Arial"/>
        </w:rPr>
      </w:pPr>
      <w:r w:rsidRPr="00FA7918">
        <w:rPr>
          <w:rFonts w:ascii="Arial" w:hAnsi="Arial" w:cs="Arial"/>
        </w:rPr>
        <w:t>A single assessment report is prepared with contributions from both managing agencies.</w:t>
      </w:r>
    </w:p>
    <w:p w14:paraId="25F821C3" w14:textId="77777777" w:rsidR="003B1934" w:rsidRPr="00FA7918" w:rsidRDefault="003B1934" w:rsidP="00124935">
      <w:pPr>
        <w:pStyle w:val="ListParagraph"/>
        <w:numPr>
          <w:ilvl w:val="0"/>
          <w:numId w:val="9"/>
        </w:numPr>
        <w:rPr>
          <w:rFonts w:ascii="Arial" w:hAnsi="Arial" w:cs="Arial"/>
        </w:rPr>
      </w:pPr>
      <w:r w:rsidRPr="00FA7918">
        <w:rPr>
          <w:rFonts w:ascii="Arial" w:hAnsi="Arial" w:cs="Arial"/>
        </w:rPr>
        <w:lastRenderedPageBreak/>
        <w:t xml:space="preserve">Two separate decisions are made on each application by the QPWS delegate and the GBRMPA delegate. </w:t>
      </w:r>
    </w:p>
    <w:p w14:paraId="3B33F53B" w14:textId="77777777" w:rsidR="003B1934" w:rsidRDefault="003B1934" w:rsidP="00124935">
      <w:pPr>
        <w:pStyle w:val="ListParagraph"/>
        <w:numPr>
          <w:ilvl w:val="0"/>
          <w:numId w:val="9"/>
        </w:numPr>
        <w:rPr>
          <w:rFonts w:ascii="Arial" w:hAnsi="Arial" w:cs="Arial"/>
        </w:rPr>
      </w:pPr>
      <w:r w:rsidRPr="00FA7918">
        <w:rPr>
          <w:rFonts w:ascii="Arial" w:hAnsi="Arial" w:cs="Arial"/>
        </w:rPr>
        <w:t>Where both delegates agree to the grant of permission, a single permit document is issued which details the permissions granted under both jurisdictions.</w:t>
      </w:r>
    </w:p>
    <w:p w14:paraId="5353A589" w14:textId="77777777" w:rsidR="003B1934" w:rsidRPr="00A16649" w:rsidRDefault="003B1934" w:rsidP="003B1934">
      <w:pPr>
        <w:rPr>
          <w:rFonts w:ascii="Arial" w:hAnsi="Arial" w:cs="Arial"/>
        </w:rPr>
      </w:pPr>
      <w:r>
        <w:rPr>
          <w:rFonts w:ascii="Arial" w:hAnsi="Arial" w:cs="Arial"/>
        </w:rPr>
        <w:t>GBRMPA leads the administrative and assessment processes for these applications and works with QPWS staff from the Field Management Program during the implementation of the joint permission system.</w:t>
      </w:r>
    </w:p>
    <w:p w14:paraId="4B024F16" w14:textId="77777777" w:rsidR="003B1934" w:rsidRPr="00C54ADB" w:rsidRDefault="003B1934" w:rsidP="003B1934">
      <w:pPr>
        <w:rPr>
          <w:rFonts w:ascii="Arial" w:hAnsi="Arial" w:cs="Arial"/>
          <w:i/>
        </w:rPr>
      </w:pPr>
      <w:r w:rsidRPr="00C54ADB">
        <w:rPr>
          <w:rFonts w:ascii="Arial" w:hAnsi="Arial" w:cs="Arial"/>
          <w:i/>
        </w:rPr>
        <w:t>Streamlining with the EPBC Act</w:t>
      </w:r>
    </w:p>
    <w:p w14:paraId="32A0E26C" w14:textId="77777777" w:rsidR="003B1934" w:rsidRDefault="003B1934" w:rsidP="003B1934">
      <w:pPr>
        <w:rPr>
          <w:rFonts w:ascii="Arial" w:hAnsi="Arial" w:cs="Arial"/>
        </w:rPr>
      </w:pPr>
      <w:r>
        <w:rPr>
          <w:rFonts w:ascii="Arial" w:hAnsi="Arial" w:cs="Arial"/>
        </w:rPr>
        <w:t>GBRMPA also</w:t>
      </w:r>
      <w:r w:rsidRPr="00A16649">
        <w:rPr>
          <w:rFonts w:ascii="Arial" w:hAnsi="Arial" w:cs="Arial"/>
        </w:rPr>
        <w:t xml:space="preserve"> works with the Commonwealth Department of the Environment and Energy to jointly assess proposals requiring permission under the </w:t>
      </w:r>
      <w:r>
        <w:rPr>
          <w:rFonts w:ascii="Arial" w:hAnsi="Arial" w:cs="Arial"/>
        </w:rPr>
        <w:t>GBRMP</w:t>
      </w:r>
      <w:r w:rsidRPr="00A16649">
        <w:rPr>
          <w:rFonts w:ascii="Arial" w:hAnsi="Arial" w:cs="Arial"/>
        </w:rPr>
        <w:t xml:space="preserve"> Act and referral under the </w:t>
      </w:r>
      <w:r w:rsidRPr="00A16649">
        <w:rPr>
          <w:rFonts w:ascii="Arial" w:hAnsi="Arial" w:cs="Arial"/>
          <w:i/>
        </w:rPr>
        <w:t>Environment Protection and Biodiversity Conservation Act 1999</w:t>
      </w:r>
      <w:r w:rsidRPr="00A16649">
        <w:rPr>
          <w:rFonts w:ascii="Arial" w:hAnsi="Arial" w:cs="Arial"/>
        </w:rPr>
        <w:t>.</w:t>
      </w:r>
    </w:p>
    <w:p w14:paraId="611B247F" w14:textId="77777777" w:rsidR="003B1934" w:rsidRDefault="003B1934" w:rsidP="003B1934">
      <w:pPr>
        <w:rPr>
          <w:rFonts w:ascii="Arial" w:hAnsi="Arial" w:cs="Arial"/>
        </w:rPr>
      </w:pPr>
      <w:r w:rsidRPr="00A16649">
        <w:rPr>
          <w:rFonts w:ascii="Arial" w:hAnsi="Arial" w:cs="Arial"/>
        </w:rPr>
        <w:t>In some circumstances, a proposal may require assessment under both the EPBC Act and GBRMPA’s legislation. A 2009 Memorandum of Understanding (MOU) between GBRMPA and the Department sets out how the two agencies will work together to assess activities which require assessment under both the EPBC Act and the GBRMP Act. The goal of the MOU is to provide effective integration and streamlining of regulatory requirements. The MOU also describes how GBRMPA will give advice to the Department on EPBC Act assessments for activities which are not located in the Marine Park and therefore do not require GBRMPA’s permission.</w:t>
      </w:r>
    </w:p>
    <w:p w14:paraId="530E67CD" w14:textId="34339449" w:rsidR="005933F6" w:rsidRDefault="003B1934" w:rsidP="0075590A">
      <w:pPr>
        <w:rPr>
          <w:rFonts w:ascii="Arial" w:hAnsi="Arial" w:cs="Arial"/>
        </w:rPr>
      </w:pPr>
      <w:r>
        <w:rPr>
          <w:rFonts w:ascii="Arial" w:hAnsi="Arial" w:cs="Arial"/>
        </w:rPr>
        <w:t>In 2015-16, GBRMPA provided advice to the Department on 20 referrals and approved projects.</w:t>
      </w:r>
    </w:p>
    <w:p w14:paraId="47B05124" w14:textId="0CB1C738" w:rsidR="005825E1" w:rsidRPr="008463FC" w:rsidRDefault="005825E1" w:rsidP="005825E1">
      <w:pPr>
        <w:pStyle w:val="Heading2"/>
        <w:numPr>
          <w:ilvl w:val="1"/>
          <w:numId w:val="10"/>
        </w:numPr>
        <w:pBdr>
          <w:top w:val="single" w:sz="4" w:space="1" w:color="4F81BD" w:themeColor="accent1"/>
          <w:left w:val="single" w:sz="4" w:space="4" w:color="4F81BD" w:themeColor="accent1"/>
        </w:pBdr>
        <w:spacing w:before="240" w:after="120"/>
        <w:ind w:left="567" w:hanging="573"/>
        <w:rPr>
          <w:rFonts w:ascii="Arial" w:hAnsi="Arial" w:cs="Arial"/>
          <w:b w:val="0"/>
          <w:color w:val="1F497D" w:themeColor="text2"/>
          <w:sz w:val="22"/>
        </w:rPr>
      </w:pPr>
      <w:bookmarkStart w:id="23" w:name="_Toc474753110"/>
      <w:r w:rsidRPr="008463FC">
        <w:rPr>
          <w:rFonts w:ascii="Arial" w:hAnsi="Arial" w:cs="Arial"/>
          <w:b w:val="0"/>
          <w:color w:val="1F497D" w:themeColor="text2"/>
          <w:sz w:val="22"/>
        </w:rPr>
        <w:t xml:space="preserve">KPI 5 </w:t>
      </w:r>
      <w:r w:rsidR="006726B1">
        <w:rPr>
          <w:rFonts w:ascii="Arial" w:hAnsi="Arial" w:cs="Arial"/>
          <w:b w:val="0"/>
          <w:color w:val="1F497D" w:themeColor="text2"/>
          <w:sz w:val="22"/>
        </w:rPr>
        <w:t>—</w:t>
      </w:r>
      <w:r w:rsidRPr="008463FC">
        <w:rPr>
          <w:rFonts w:ascii="Arial" w:hAnsi="Arial" w:cs="Arial"/>
          <w:b w:val="0"/>
          <w:color w:val="1F497D" w:themeColor="text2"/>
          <w:sz w:val="22"/>
        </w:rPr>
        <w:t xml:space="preserve"> </w:t>
      </w:r>
      <w:r w:rsidR="00A32FF6">
        <w:rPr>
          <w:rFonts w:ascii="Arial" w:hAnsi="Arial" w:cs="Arial"/>
          <w:b w:val="0"/>
          <w:color w:val="1F497D" w:themeColor="text2"/>
          <w:sz w:val="22"/>
        </w:rPr>
        <w:t>GBRMPA is open and transparent in</w:t>
      </w:r>
      <w:r w:rsidRPr="008463FC">
        <w:rPr>
          <w:rFonts w:ascii="Arial" w:hAnsi="Arial" w:cs="Arial"/>
          <w:b w:val="0"/>
          <w:color w:val="1F497D" w:themeColor="text2"/>
          <w:sz w:val="22"/>
        </w:rPr>
        <w:t xml:space="preserve"> dealings with regulated entities</w:t>
      </w:r>
      <w:bookmarkEnd w:id="23"/>
    </w:p>
    <w:p w14:paraId="55098490" w14:textId="77777777" w:rsidR="00705FA9" w:rsidRPr="00705FA9" w:rsidRDefault="00705FA9" w:rsidP="00705FA9">
      <w:pPr>
        <w:keepNext/>
        <w:spacing w:before="240" w:after="0"/>
        <w:rPr>
          <w:rFonts w:ascii="Arial" w:hAnsi="Arial" w:cs="Arial"/>
          <w:u w:val="single"/>
        </w:rPr>
      </w:pPr>
      <w:r w:rsidRPr="00705FA9">
        <w:rPr>
          <w:rFonts w:ascii="Arial" w:hAnsi="Arial" w:cs="Arial"/>
          <w:u w:val="single"/>
        </w:rPr>
        <w:t>Approved metrics</w:t>
      </w:r>
    </w:p>
    <w:p w14:paraId="692F7076" w14:textId="77777777" w:rsidR="00705FA9" w:rsidRPr="00705FA9" w:rsidRDefault="00705FA9" w:rsidP="00705FA9">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705FA9">
        <w:rPr>
          <w:rFonts w:ascii="Arial" w:eastAsia="Times New Roman" w:hAnsi="Arial" w:cs="Arial"/>
          <w:i/>
          <w:color w:val="333333"/>
          <w:lang w:val="en" w:eastAsia="en-AU"/>
        </w:rPr>
        <w:t>Enforcement strategy and risk approach are published.</w:t>
      </w:r>
    </w:p>
    <w:p w14:paraId="5BFA4B23" w14:textId="77777777" w:rsidR="00705FA9" w:rsidRPr="00705FA9" w:rsidRDefault="00705FA9" w:rsidP="00705FA9">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705FA9">
        <w:rPr>
          <w:rFonts w:ascii="Arial" w:eastAsia="Times New Roman" w:hAnsi="Arial" w:cs="Arial"/>
          <w:i/>
          <w:color w:val="333333"/>
          <w:lang w:val="en" w:eastAsia="en-AU"/>
        </w:rPr>
        <w:t>Performance measurement results are published.</w:t>
      </w:r>
    </w:p>
    <w:p w14:paraId="2C21699D" w14:textId="77777777" w:rsidR="00705FA9" w:rsidRPr="00705FA9" w:rsidRDefault="00705FA9" w:rsidP="00705FA9">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705FA9">
        <w:rPr>
          <w:rFonts w:ascii="Arial" w:eastAsia="Times New Roman" w:hAnsi="Arial" w:cs="Arial"/>
          <w:i/>
          <w:color w:val="333333"/>
          <w:lang w:val="en" w:eastAsia="en-AU"/>
        </w:rPr>
        <w:t>Performance information is made publicly available, where appropriate.</w:t>
      </w:r>
    </w:p>
    <w:p w14:paraId="18DD7518" w14:textId="77777777" w:rsidR="00705FA9" w:rsidRPr="00705FA9" w:rsidRDefault="00705FA9" w:rsidP="00705FA9">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705FA9">
        <w:rPr>
          <w:rFonts w:ascii="Arial" w:eastAsia="Times New Roman" w:hAnsi="Arial" w:cs="Arial"/>
          <w:i/>
          <w:color w:val="333333"/>
          <w:lang w:val="en" w:eastAsia="en-AU"/>
        </w:rPr>
        <w:t>Advice and guidance is widely available to stakeholders, with feedback mechanisms in place to support and inform continuous improvement.</w:t>
      </w:r>
    </w:p>
    <w:p w14:paraId="54D16449" w14:textId="77777777" w:rsidR="007D545D" w:rsidRPr="007D545D" w:rsidRDefault="007D545D" w:rsidP="007D545D">
      <w:pPr>
        <w:keepNext/>
        <w:spacing w:after="0"/>
        <w:rPr>
          <w:rFonts w:ascii="Arial" w:hAnsi="Arial" w:cs="Arial"/>
          <w:u w:val="single"/>
        </w:rPr>
      </w:pPr>
      <w:r w:rsidRPr="007D545D">
        <w:rPr>
          <w:rFonts w:ascii="Arial" w:hAnsi="Arial" w:cs="Arial"/>
          <w:u w:val="single"/>
        </w:rPr>
        <w:t>Rating:</w:t>
      </w:r>
    </w:p>
    <w:tbl>
      <w:tblPr>
        <w:tblStyle w:val="TableGrid"/>
        <w:tblW w:w="0" w:type="auto"/>
        <w:jc w:val="center"/>
        <w:tblInd w:w="-1127" w:type="dxa"/>
        <w:tblLook w:val="04A0" w:firstRow="1" w:lastRow="0" w:firstColumn="1" w:lastColumn="0" w:noHBand="0" w:noVBand="1"/>
      </w:tblPr>
      <w:tblGrid>
        <w:gridCol w:w="4779"/>
      </w:tblGrid>
      <w:tr w:rsidR="005E7C87" w:rsidRPr="002C19BB" w14:paraId="25914FF7" w14:textId="77777777" w:rsidTr="00FF6BF8">
        <w:trPr>
          <w:cantSplit/>
          <w:jc w:val="center"/>
        </w:trPr>
        <w:tc>
          <w:tcPr>
            <w:tcW w:w="4779" w:type="dxa"/>
            <w:shd w:val="clear" w:color="auto" w:fill="92D050"/>
            <w:vAlign w:val="center"/>
          </w:tcPr>
          <w:p w14:paraId="42ED52E1" w14:textId="77777777" w:rsidR="005E7C87" w:rsidRPr="002C19BB" w:rsidRDefault="005E7C87" w:rsidP="00FF6BF8">
            <w:pPr>
              <w:spacing w:before="120" w:after="120"/>
              <w:jc w:val="center"/>
              <w:rPr>
                <w:rFonts w:ascii="Arial" w:hAnsi="Arial" w:cs="Arial"/>
                <w:b/>
              </w:rPr>
            </w:pPr>
            <w:r w:rsidRPr="002C19BB">
              <w:rPr>
                <w:rFonts w:ascii="Arial" w:hAnsi="Arial" w:cs="Arial"/>
                <w:b/>
              </w:rPr>
              <w:t>Mostly effective</w:t>
            </w:r>
            <w:r>
              <w:rPr>
                <w:rFonts w:ascii="Arial" w:hAnsi="Arial" w:cs="Arial"/>
                <w:b/>
              </w:rPr>
              <w:br/>
            </w:r>
            <w:r w:rsidRPr="0067306A">
              <w:rPr>
                <w:rFonts w:ascii="Arial" w:hAnsi="Arial" w:cs="Arial"/>
              </w:rPr>
              <w:t>(51-80% of optimum)</w:t>
            </w:r>
          </w:p>
        </w:tc>
      </w:tr>
    </w:tbl>
    <w:p w14:paraId="52B5827B" w14:textId="77777777" w:rsidR="005E7C87" w:rsidRPr="007D545D" w:rsidRDefault="005E7C87" w:rsidP="005E7C87">
      <w:pPr>
        <w:spacing w:after="0"/>
        <w:rPr>
          <w:rFonts w:ascii="Arial" w:hAnsi="Arial" w:cs="Arial"/>
        </w:rPr>
      </w:pPr>
    </w:p>
    <w:p w14:paraId="50D6518E" w14:textId="0D5C5E12" w:rsidR="003D4BAC" w:rsidRDefault="003D4BAC" w:rsidP="003D4BAC">
      <w:pPr>
        <w:rPr>
          <w:rFonts w:ascii="Arial" w:hAnsi="Arial" w:cs="Arial"/>
        </w:rPr>
      </w:pPr>
      <w:r>
        <w:rPr>
          <w:rFonts w:ascii="Arial" w:hAnsi="Arial" w:cs="Arial"/>
        </w:rPr>
        <w:t xml:space="preserve">GBRMPA’s </w:t>
      </w:r>
      <w:r w:rsidRPr="007D545D">
        <w:rPr>
          <w:rFonts w:ascii="Arial" w:hAnsi="Arial" w:cs="Arial"/>
        </w:rPr>
        <w:t xml:space="preserve">Environmental Assessment and Management </w:t>
      </w:r>
      <w:hyperlink r:id="rId72" w:history="1">
        <w:r w:rsidRPr="007E7043">
          <w:rPr>
            <w:rStyle w:val="Hyperlink"/>
            <w:rFonts w:ascii="Arial" w:hAnsi="Arial" w:cs="Arial"/>
          </w:rPr>
          <w:t>Risk Management Framework</w:t>
        </w:r>
      </w:hyperlink>
      <w:r w:rsidRPr="007D545D">
        <w:rPr>
          <w:rFonts w:ascii="Arial" w:hAnsi="Arial" w:cs="Arial"/>
        </w:rPr>
        <w:t xml:space="preserve"> </w:t>
      </w:r>
      <w:proofErr w:type="gramStart"/>
      <w:r w:rsidRPr="007D545D">
        <w:rPr>
          <w:rFonts w:ascii="Arial" w:hAnsi="Arial" w:cs="Arial"/>
        </w:rPr>
        <w:t>is</w:t>
      </w:r>
      <w:proofErr w:type="gramEnd"/>
      <w:r w:rsidRPr="007D545D">
        <w:rPr>
          <w:rFonts w:ascii="Arial" w:hAnsi="Arial" w:cs="Arial"/>
        </w:rPr>
        <w:t xml:space="preserve"> available to regulator staff and to the public on the GBRMPA website.</w:t>
      </w:r>
      <w:r>
        <w:rPr>
          <w:rFonts w:ascii="Arial" w:hAnsi="Arial" w:cs="Arial"/>
        </w:rPr>
        <w:t xml:space="preserve"> </w:t>
      </w:r>
    </w:p>
    <w:p w14:paraId="13CF3F78" w14:textId="77777777" w:rsidR="00391A37" w:rsidRDefault="00F556F6" w:rsidP="003D4BAC">
      <w:pPr>
        <w:rPr>
          <w:rFonts w:ascii="Arial" w:hAnsi="Arial" w:cs="Arial"/>
        </w:rPr>
      </w:pPr>
      <w:r>
        <w:rPr>
          <w:rFonts w:ascii="Arial" w:hAnsi="Arial" w:cs="Arial"/>
        </w:rPr>
        <w:t xml:space="preserve">GBRMPA has </w:t>
      </w:r>
      <w:r w:rsidR="00391A37">
        <w:rPr>
          <w:rFonts w:ascii="Arial" w:hAnsi="Arial" w:cs="Arial"/>
        </w:rPr>
        <w:t xml:space="preserve">a Compliance Management Strategy, but this is not published. </w:t>
      </w:r>
    </w:p>
    <w:p w14:paraId="6CFAF98B" w14:textId="65C4A889" w:rsidR="00BC2574" w:rsidRDefault="00BC2574" w:rsidP="003D4BAC">
      <w:pPr>
        <w:rPr>
          <w:rFonts w:ascii="Arial" w:hAnsi="Arial" w:cs="Arial"/>
        </w:rPr>
      </w:pPr>
      <w:r>
        <w:rPr>
          <w:rFonts w:ascii="Arial" w:hAnsi="Arial" w:cs="Arial"/>
        </w:rPr>
        <w:t>GBRMPA also has an internal policy ‘Compliance Framework – Environmental Management Charge’ and guidelines for compliance with the remittance of the charge. Also in development in an internal policy ‘Compliance Framework – Permission System’</w:t>
      </w:r>
      <w:r w:rsidR="00B43627">
        <w:rPr>
          <w:rFonts w:ascii="Arial" w:hAnsi="Arial" w:cs="Arial"/>
        </w:rPr>
        <w:t xml:space="preserve"> with associated guidelines, procedures and templates; these are</w:t>
      </w:r>
      <w:r>
        <w:rPr>
          <w:rFonts w:ascii="Arial" w:hAnsi="Arial" w:cs="Arial"/>
        </w:rPr>
        <w:t xml:space="preserve"> due for completion in 2016-17. Once complete</w:t>
      </w:r>
      <w:r w:rsidR="00B43627">
        <w:rPr>
          <w:rFonts w:ascii="Arial" w:hAnsi="Arial" w:cs="Arial"/>
        </w:rPr>
        <w:t xml:space="preserve"> </w:t>
      </w:r>
      <w:r w:rsidR="00C54ADB">
        <w:rPr>
          <w:rFonts w:ascii="Arial" w:hAnsi="Arial" w:cs="Arial"/>
        </w:rPr>
        <w:t>GBRMPA</w:t>
      </w:r>
      <w:r w:rsidR="00B43627">
        <w:rPr>
          <w:rFonts w:ascii="Arial" w:hAnsi="Arial" w:cs="Arial"/>
        </w:rPr>
        <w:t xml:space="preserve"> will publish both policies on it</w:t>
      </w:r>
      <w:r w:rsidR="00C54ADB">
        <w:rPr>
          <w:rFonts w:ascii="Arial" w:hAnsi="Arial" w:cs="Arial"/>
        </w:rPr>
        <w:t>’s</w:t>
      </w:r>
      <w:r w:rsidR="00B43627">
        <w:rPr>
          <w:rFonts w:ascii="Arial" w:hAnsi="Arial" w:cs="Arial"/>
        </w:rPr>
        <w:t xml:space="preserve"> website as well as permission </w:t>
      </w:r>
      <w:r w:rsidR="00B43627">
        <w:rPr>
          <w:rFonts w:ascii="Arial" w:hAnsi="Arial" w:cs="Arial"/>
        </w:rPr>
        <w:lastRenderedPageBreak/>
        <w:t>system compliance priorities based on themes identified in each Permission System Annual Compliance Plan.</w:t>
      </w:r>
    </w:p>
    <w:p w14:paraId="2C651499" w14:textId="016716DC" w:rsidR="006417DB" w:rsidRPr="007D545D" w:rsidRDefault="003D4BAC" w:rsidP="007D545D">
      <w:pPr>
        <w:rPr>
          <w:rFonts w:ascii="Arial" w:hAnsi="Arial" w:cs="Arial"/>
        </w:rPr>
      </w:pPr>
      <w:r>
        <w:rPr>
          <w:rFonts w:ascii="Arial" w:hAnsi="Arial" w:cs="Arial"/>
        </w:rPr>
        <w:t xml:space="preserve">As outlined at </w:t>
      </w:r>
      <w:hyperlink w:anchor="_KPI_3_-" w:history="1">
        <w:r w:rsidRPr="009A2C52">
          <w:rPr>
            <w:rStyle w:val="Hyperlink"/>
            <w:rFonts w:ascii="Arial" w:hAnsi="Arial" w:cs="Arial"/>
          </w:rPr>
          <w:t>KPI 3</w:t>
        </w:r>
      </w:hyperlink>
      <w:r>
        <w:rPr>
          <w:rFonts w:ascii="Arial" w:hAnsi="Arial" w:cs="Arial"/>
        </w:rPr>
        <w:t xml:space="preserve">, </w:t>
      </w:r>
      <w:r w:rsidR="006417DB" w:rsidRPr="007D545D">
        <w:rPr>
          <w:rFonts w:ascii="Arial" w:hAnsi="Arial" w:cs="Arial"/>
        </w:rPr>
        <w:t>GBRMPA has a graduated range of responses that correlate to the level of non-compliance:</w:t>
      </w:r>
      <w:r w:rsidR="00391A37">
        <w:rPr>
          <w:rFonts w:ascii="Arial" w:hAnsi="Arial" w:cs="Arial"/>
        </w:rPr>
        <w:t xml:space="preserve"> The </w:t>
      </w:r>
      <w:r w:rsidR="00C54ADB">
        <w:rPr>
          <w:rFonts w:ascii="Arial" w:hAnsi="Arial" w:cs="Arial"/>
        </w:rPr>
        <w:t xml:space="preserve">compliance network structure </w:t>
      </w:r>
      <w:r w:rsidR="00391A37">
        <w:rPr>
          <w:rFonts w:ascii="Arial" w:hAnsi="Arial" w:cs="Arial"/>
        </w:rPr>
        <w:t>supports these responses.</w:t>
      </w:r>
    </w:p>
    <w:p w14:paraId="264E9A83" w14:textId="15186661" w:rsidR="006417DB" w:rsidRPr="007D545D" w:rsidRDefault="006417DB" w:rsidP="007D545D">
      <w:pPr>
        <w:rPr>
          <w:rFonts w:ascii="Arial" w:hAnsi="Arial" w:cs="Arial"/>
        </w:rPr>
      </w:pPr>
      <w:r w:rsidRPr="007D545D">
        <w:rPr>
          <w:rFonts w:ascii="Arial" w:hAnsi="Arial" w:cs="Arial"/>
        </w:rPr>
        <w:t xml:space="preserve">Field Management Program operations </w:t>
      </w:r>
      <w:r w:rsidR="00130BC0">
        <w:rPr>
          <w:rFonts w:ascii="Arial" w:hAnsi="Arial" w:cs="Arial"/>
        </w:rPr>
        <w:t xml:space="preserve">are </w:t>
      </w:r>
      <w:r w:rsidRPr="007D545D">
        <w:rPr>
          <w:rFonts w:ascii="Arial" w:hAnsi="Arial" w:cs="Arial"/>
        </w:rPr>
        <w:t xml:space="preserve">published in the </w:t>
      </w:r>
      <w:hyperlink r:id="rId73" w:history="1">
        <w:r w:rsidRPr="005E7C87">
          <w:rPr>
            <w:rStyle w:val="Hyperlink"/>
            <w:rFonts w:ascii="Arial" w:hAnsi="Arial" w:cs="Arial"/>
          </w:rPr>
          <w:t>GBRMPA Annual Report</w:t>
        </w:r>
      </w:hyperlink>
      <w:r w:rsidRPr="007D545D">
        <w:rPr>
          <w:rFonts w:ascii="Arial" w:hAnsi="Arial" w:cs="Arial"/>
        </w:rPr>
        <w:t xml:space="preserve"> </w:t>
      </w:r>
      <w:r w:rsidR="003D4BAC">
        <w:rPr>
          <w:rFonts w:ascii="Arial" w:hAnsi="Arial" w:cs="Arial"/>
        </w:rPr>
        <w:t xml:space="preserve">(pp.66-85) </w:t>
      </w:r>
      <w:r w:rsidRPr="007D545D">
        <w:rPr>
          <w:rFonts w:ascii="Arial" w:hAnsi="Arial" w:cs="Arial"/>
        </w:rPr>
        <w:t xml:space="preserve">and </w:t>
      </w:r>
      <w:r w:rsidR="00130BC0">
        <w:rPr>
          <w:rFonts w:ascii="Arial" w:hAnsi="Arial" w:cs="Arial"/>
        </w:rPr>
        <w:t xml:space="preserve">the </w:t>
      </w:r>
      <w:hyperlink r:id="rId74" w:history="1">
        <w:r w:rsidR="003D4BAC" w:rsidRPr="00130BC0">
          <w:rPr>
            <w:rStyle w:val="Hyperlink"/>
            <w:rFonts w:ascii="Arial" w:hAnsi="Arial" w:cs="Arial"/>
          </w:rPr>
          <w:t xml:space="preserve">Field Management Program </w:t>
        </w:r>
        <w:r w:rsidRPr="00130BC0">
          <w:rPr>
            <w:rStyle w:val="Hyperlink"/>
            <w:rFonts w:ascii="Arial" w:hAnsi="Arial" w:cs="Arial"/>
          </w:rPr>
          <w:t>Annual Report</w:t>
        </w:r>
        <w:r w:rsidR="00130BC0" w:rsidRPr="00130BC0">
          <w:rPr>
            <w:rStyle w:val="Hyperlink"/>
            <w:rFonts w:ascii="Arial" w:hAnsi="Arial" w:cs="Arial"/>
          </w:rPr>
          <w:t xml:space="preserve"> Summary</w:t>
        </w:r>
      </w:hyperlink>
      <w:r w:rsidR="00130BC0">
        <w:rPr>
          <w:rFonts w:ascii="Arial" w:hAnsi="Arial" w:cs="Arial"/>
        </w:rPr>
        <w:t xml:space="preserve">. </w:t>
      </w:r>
    </w:p>
    <w:p w14:paraId="37BCABFE" w14:textId="5BAE77EC" w:rsidR="003D4BAC" w:rsidRDefault="003D4BAC" w:rsidP="005825E1">
      <w:pPr>
        <w:rPr>
          <w:rFonts w:ascii="Arial" w:hAnsi="Arial" w:cs="Arial"/>
        </w:rPr>
      </w:pPr>
      <w:r>
        <w:rPr>
          <w:rFonts w:ascii="Arial" w:hAnsi="Arial" w:cs="Arial"/>
        </w:rPr>
        <w:t xml:space="preserve">Permission System operations are published in the </w:t>
      </w:r>
      <w:hyperlink r:id="rId75" w:history="1">
        <w:r w:rsidRPr="005E7C87">
          <w:rPr>
            <w:rStyle w:val="Hyperlink"/>
            <w:rFonts w:ascii="Arial" w:hAnsi="Arial" w:cs="Arial"/>
          </w:rPr>
          <w:t>GBRMPA Annual Report</w:t>
        </w:r>
      </w:hyperlink>
      <w:r>
        <w:rPr>
          <w:rFonts w:ascii="Arial" w:hAnsi="Arial" w:cs="Arial"/>
        </w:rPr>
        <w:t xml:space="preserve"> </w:t>
      </w:r>
      <w:r w:rsidR="00F556F6">
        <w:rPr>
          <w:rFonts w:ascii="Arial" w:hAnsi="Arial" w:cs="Arial"/>
        </w:rPr>
        <w:t>(pp.58-65).</w:t>
      </w:r>
    </w:p>
    <w:p w14:paraId="513885EF" w14:textId="079E4E93" w:rsidR="00D005FC" w:rsidRDefault="005E7C87" w:rsidP="007D545D">
      <w:pPr>
        <w:rPr>
          <w:rFonts w:ascii="Arial" w:hAnsi="Arial" w:cs="Arial"/>
        </w:rPr>
      </w:pPr>
      <w:r>
        <w:rPr>
          <w:rFonts w:ascii="Arial" w:hAnsi="Arial" w:cs="Arial"/>
        </w:rPr>
        <w:t xml:space="preserve">As noted at </w:t>
      </w:r>
      <w:hyperlink w:anchor="_KPI_2_–" w:history="1">
        <w:r w:rsidRPr="009A2C52">
          <w:rPr>
            <w:rStyle w:val="Hyperlink"/>
            <w:rFonts w:ascii="Arial" w:hAnsi="Arial" w:cs="Arial"/>
          </w:rPr>
          <w:t>KPI 2</w:t>
        </w:r>
      </w:hyperlink>
      <w:r>
        <w:rPr>
          <w:rFonts w:ascii="Arial" w:hAnsi="Arial" w:cs="Arial"/>
        </w:rPr>
        <w:t xml:space="preserve"> </w:t>
      </w:r>
      <w:r w:rsidRPr="007D545D">
        <w:rPr>
          <w:rFonts w:ascii="Arial" w:hAnsi="Arial" w:cs="Arial"/>
        </w:rPr>
        <w:t xml:space="preserve">all </w:t>
      </w:r>
      <w:r w:rsidR="00BF6426">
        <w:rPr>
          <w:rFonts w:ascii="Arial" w:hAnsi="Arial" w:cs="Arial"/>
        </w:rPr>
        <w:t xml:space="preserve">permit </w:t>
      </w:r>
      <w:r w:rsidR="00B43627">
        <w:rPr>
          <w:rFonts w:ascii="Arial" w:hAnsi="Arial" w:cs="Arial"/>
        </w:rPr>
        <w:t xml:space="preserve">decisions </w:t>
      </w:r>
      <w:r w:rsidR="00BF6426">
        <w:rPr>
          <w:rFonts w:ascii="Arial" w:hAnsi="Arial" w:cs="Arial"/>
        </w:rPr>
        <w:t>were</w:t>
      </w:r>
      <w:r w:rsidRPr="007D545D">
        <w:rPr>
          <w:rFonts w:ascii="Arial" w:hAnsi="Arial" w:cs="Arial"/>
        </w:rPr>
        <w:t xml:space="preserve"> accompanied by </w:t>
      </w:r>
      <w:r w:rsidR="00B43627">
        <w:rPr>
          <w:rFonts w:ascii="Arial" w:hAnsi="Arial" w:cs="Arial"/>
        </w:rPr>
        <w:t xml:space="preserve">information about </w:t>
      </w:r>
      <w:r w:rsidRPr="007D545D">
        <w:rPr>
          <w:rFonts w:ascii="Arial" w:hAnsi="Arial" w:cs="Arial"/>
        </w:rPr>
        <w:t>‘review procedures and rights’.</w:t>
      </w:r>
      <w:r>
        <w:rPr>
          <w:rFonts w:ascii="Arial" w:hAnsi="Arial" w:cs="Arial"/>
        </w:rPr>
        <w:t xml:space="preserve"> </w:t>
      </w:r>
    </w:p>
    <w:p w14:paraId="13D1270A" w14:textId="173189FF" w:rsidR="00D005FC" w:rsidRDefault="00D005FC" w:rsidP="004A55A1">
      <w:pPr>
        <w:rPr>
          <w:rFonts w:ascii="Arial" w:hAnsi="Arial" w:cs="Arial"/>
        </w:rPr>
      </w:pPr>
      <w:r>
        <w:rPr>
          <w:rFonts w:ascii="Arial" w:hAnsi="Arial" w:cs="Arial"/>
        </w:rPr>
        <w:t xml:space="preserve">As noted at </w:t>
      </w:r>
      <w:hyperlink w:anchor="_KPI_3_-" w:history="1">
        <w:r w:rsidR="009A2C52" w:rsidRPr="009A2C52">
          <w:rPr>
            <w:rStyle w:val="Hyperlink"/>
            <w:rFonts w:ascii="Arial" w:hAnsi="Arial" w:cs="Arial"/>
          </w:rPr>
          <w:t>KPI 3</w:t>
        </w:r>
      </w:hyperlink>
      <w:r>
        <w:rPr>
          <w:rFonts w:ascii="Arial" w:hAnsi="Arial" w:cs="Arial"/>
        </w:rPr>
        <w:t xml:space="preserve"> the GBRMPA website provides a first point of information </w:t>
      </w:r>
      <w:r w:rsidR="00BA205B">
        <w:rPr>
          <w:rFonts w:ascii="Arial" w:hAnsi="Arial" w:cs="Arial"/>
        </w:rPr>
        <w:t>including</w:t>
      </w:r>
      <w:r>
        <w:rPr>
          <w:rFonts w:ascii="Arial" w:hAnsi="Arial" w:cs="Arial"/>
        </w:rPr>
        <w:t>:</w:t>
      </w:r>
    </w:p>
    <w:p w14:paraId="4314CD41" w14:textId="438D7BEC" w:rsidR="00BA205B" w:rsidRPr="00BA205B" w:rsidRDefault="00B82FE0" w:rsidP="00BA205B">
      <w:pPr>
        <w:pStyle w:val="ListParagraph"/>
        <w:numPr>
          <w:ilvl w:val="0"/>
          <w:numId w:val="27"/>
        </w:numPr>
        <w:rPr>
          <w:rFonts w:ascii="Arial" w:hAnsi="Arial" w:cs="Arial"/>
        </w:rPr>
      </w:pPr>
      <w:hyperlink r:id="rId76" w:history="1">
        <w:r w:rsidR="00BA205B" w:rsidRPr="00BA205B">
          <w:rPr>
            <w:rStyle w:val="Hyperlink"/>
            <w:rFonts w:ascii="Arial" w:hAnsi="Arial" w:cs="Arial"/>
          </w:rPr>
          <w:t>Visiting the Reef</w:t>
        </w:r>
      </w:hyperlink>
    </w:p>
    <w:p w14:paraId="3C75DAFC" w14:textId="5BEDB85F" w:rsidR="00BA205B" w:rsidRPr="00BA205B" w:rsidRDefault="00B82FE0" w:rsidP="00BA205B">
      <w:pPr>
        <w:pStyle w:val="ListParagraph"/>
        <w:numPr>
          <w:ilvl w:val="0"/>
          <w:numId w:val="27"/>
        </w:numPr>
        <w:rPr>
          <w:rFonts w:ascii="Arial" w:hAnsi="Arial" w:cs="Arial"/>
        </w:rPr>
      </w:pPr>
      <w:hyperlink r:id="rId77" w:history="1">
        <w:r w:rsidR="00BA205B" w:rsidRPr="00BA205B">
          <w:rPr>
            <w:rStyle w:val="Hyperlink"/>
            <w:rFonts w:ascii="Arial" w:hAnsi="Arial" w:cs="Arial"/>
          </w:rPr>
          <w:t>Zoning</w:t>
        </w:r>
      </w:hyperlink>
    </w:p>
    <w:p w14:paraId="4AFFCB48" w14:textId="19B04D56" w:rsidR="00BA205B" w:rsidRPr="008053CD" w:rsidRDefault="00B82FE0" w:rsidP="00BA205B">
      <w:pPr>
        <w:pStyle w:val="ListParagraph"/>
        <w:numPr>
          <w:ilvl w:val="0"/>
          <w:numId w:val="27"/>
        </w:numPr>
        <w:rPr>
          <w:rStyle w:val="Hyperlink"/>
          <w:rFonts w:ascii="Arial" w:hAnsi="Arial" w:cs="Arial"/>
          <w:color w:val="auto"/>
          <w:u w:val="none"/>
        </w:rPr>
      </w:pPr>
      <w:hyperlink r:id="rId78" w:history="1">
        <w:r w:rsidR="00BA205B" w:rsidRPr="00BA205B">
          <w:rPr>
            <w:rStyle w:val="Hyperlink"/>
            <w:rFonts w:ascii="Arial" w:hAnsi="Arial" w:cs="Arial"/>
          </w:rPr>
          <w:t>Permit applications</w:t>
        </w:r>
      </w:hyperlink>
    </w:p>
    <w:p w14:paraId="52B5314A" w14:textId="00724EE2" w:rsidR="00B43627" w:rsidRPr="00BA205B" w:rsidRDefault="00B82FE0" w:rsidP="00BA205B">
      <w:pPr>
        <w:pStyle w:val="ListParagraph"/>
        <w:numPr>
          <w:ilvl w:val="0"/>
          <w:numId w:val="27"/>
        </w:numPr>
        <w:rPr>
          <w:rFonts w:ascii="Arial" w:hAnsi="Arial" w:cs="Arial"/>
        </w:rPr>
      </w:pPr>
      <w:hyperlink r:id="rId79" w:history="1">
        <w:r w:rsidR="00B43627" w:rsidRPr="00124935">
          <w:rPr>
            <w:rStyle w:val="Hyperlink"/>
            <w:rFonts w:ascii="Arial" w:hAnsi="Arial" w:cs="Arial"/>
          </w:rPr>
          <w:t>Plans of Management</w:t>
        </w:r>
      </w:hyperlink>
    </w:p>
    <w:p w14:paraId="105ED5D5" w14:textId="1B93ABE5" w:rsidR="00BA205B" w:rsidRPr="00BA205B" w:rsidRDefault="00B82FE0" w:rsidP="00BA205B">
      <w:pPr>
        <w:pStyle w:val="ListParagraph"/>
        <w:numPr>
          <w:ilvl w:val="0"/>
          <w:numId w:val="27"/>
        </w:numPr>
        <w:rPr>
          <w:rFonts w:ascii="Arial" w:hAnsi="Arial" w:cs="Arial"/>
        </w:rPr>
      </w:pPr>
      <w:hyperlink r:id="rId80" w:history="1">
        <w:r w:rsidR="00BA205B" w:rsidRPr="00BA205B">
          <w:rPr>
            <w:rStyle w:val="Hyperlink"/>
            <w:rFonts w:ascii="Arial" w:hAnsi="Arial" w:cs="Arial"/>
          </w:rPr>
          <w:t>Risk Management Framework</w:t>
        </w:r>
      </w:hyperlink>
    </w:p>
    <w:p w14:paraId="213E0F84" w14:textId="15149670" w:rsidR="00BA205B" w:rsidRPr="00B43627" w:rsidRDefault="00B82FE0" w:rsidP="00BA205B">
      <w:pPr>
        <w:pStyle w:val="ListParagraph"/>
        <w:numPr>
          <w:ilvl w:val="0"/>
          <w:numId w:val="27"/>
        </w:numPr>
        <w:rPr>
          <w:rStyle w:val="Hyperlink"/>
          <w:rFonts w:ascii="Arial" w:hAnsi="Arial" w:cs="Arial"/>
          <w:color w:val="auto"/>
          <w:u w:val="none"/>
        </w:rPr>
      </w:pPr>
      <w:hyperlink r:id="rId81" w:history="1">
        <w:r w:rsidR="00BA205B" w:rsidRPr="00BA205B">
          <w:rPr>
            <w:rStyle w:val="Hyperlink"/>
            <w:rFonts w:ascii="Arial" w:hAnsi="Arial" w:cs="Arial"/>
          </w:rPr>
          <w:t>Environmental Impact Management policy</w:t>
        </w:r>
      </w:hyperlink>
    </w:p>
    <w:p w14:paraId="7D07FAED" w14:textId="50C874C5" w:rsidR="00B43627" w:rsidRPr="00BA205B" w:rsidRDefault="00B82FE0" w:rsidP="00BA205B">
      <w:pPr>
        <w:pStyle w:val="ListParagraph"/>
        <w:numPr>
          <w:ilvl w:val="0"/>
          <w:numId w:val="27"/>
        </w:numPr>
        <w:rPr>
          <w:rFonts w:ascii="Arial" w:hAnsi="Arial" w:cs="Arial"/>
        </w:rPr>
      </w:pPr>
      <w:hyperlink r:id="rId82" w:history="1">
        <w:r w:rsidR="00B43627" w:rsidRPr="00B43627">
          <w:rPr>
            <w:rStyle w:val="Hyperlink"/>
            <w:rFonts w:ascii="Arial" w:hAnsi="Arial" w:cs="Arial"/>
          </w:rPr>
          <w:t>Environmental Management Charge</w:t>
        </w:r>
      </w:hyperlink>
      <w:r w:rsidR="00B43627">
        <w:rPr>
          <w:rFonts w:ascii="Arial" w:hAnsi="Arial" w:cs="Arial"/>
        </w:rPr>
        <w:t xml:space="preserve"> requirements</w:t>
      </w:r>
    </w:p>
    <w:p w14:paraId="3534F4F5" w14:textId="2B26DAF7" w:rsidR="00BA205B" w:rsidRPr="007D545D" w:rsidRDefault="00BA205B" w:rsidP="00BA205B">
      <w:pPr>
        <w:rPr>
          <w:rFonts w:ascii="Arial" w:hAnsi="Arial" w:cs="Arial"/>
        </w:rPr>
      </w:pPr>
      <w:r>
        <w:rPr>
          <w:rFonts w:ascii="Arial" w:hAnsi="Arial" w:cs="Arial"/>
        </w:rPr>
        <w:t xml:space="preserve">As noted in </w:t>
      </w:r>
      <w:hyperlink w:anchor="_KPI_3_-" w:history="1">
        <w:r w:rsidR="009A2C52" w:rsidRPr="009A2C52">
          <w:rPr>
            <w:rStyle w:val="Hyperlink"/>
            <w:rFonts w:ascii="Arial" w:hAnsi="Arial" w:cs="Arial"/>
          </w:rPr>
          <w:t>KPI 3</w:t>
        </w:r>
      </w:hyperlink>
      <w:r>
        <w:rPr>
          <w:rFonts w:ascii="Arial" w:hAnsi="Arial" w:cs="Arial"/>
        </w:rPr>
        <w:t xml:space="preserve">, </w:t>
      </w:r>
      <w:r w:rsidR="00B43627">
        <w:rPr>
          <w:rFonts w:ascii="Arial" w:hAnsi="Arial" w:cs="Arial"/>
        </w:rPr>
        <w:t xml:space="preserve">hard copy </w:t>
      </w:r>
      <w:r w:rsidRPr="007D545D">
        <w:rPr>
          <w:rFonts w:ascii="Arial" w:hAnsi="Arial" w:cs="Arial"/>
        </w:rPr>
        <w:t>zoning maps and an introductory guide explaining zoning and responsible reef practices are available free of charge from bait and tackle shops, Community Access Points, the Queensland Parks and Wildlife Service</w:t>
      </w:r>
      <w:r w:rsidR="00FC2276">
        <w:rPr>
          <w:rFonts w:ascii="Arial" w:hAnsi="Arial" w:cs="Arial"/>
        </w:rPr>
        <w:t xml:space="preserve"> (QPWS)</w:t>
      </w:r>
      <w:r w:rsidR="00B43627">
        <w:rPr>
          <w:rFonts w:ascii="Arial" w:hAnsi="Arial" w:cs="Arial"/>
        </w:rPr>
        <w:t>,</w:t>
      </w:r>
      <w:r w:rsidRPr="007D545D">
        <w:rPr>
          <w:rFonts w:ascii="Arial" w:hAnsi="Arial" w:cs="Arial"/>
        </w:rPr>
        <w:t xml:space="preserve"> by contacting </w:t>
      </w:r>
      <w:r>
        <w:rPr>
          <w:rFonts w:ascii="Arial" w:hAnsi="Arial" w:cs="Arial"/>
        </w:rPr>
        <w:t>GBRMPA</w:t>
      </w:r>
      <w:r w:rsidRPr="007D545D">
        <w:rPr>
          <w:rFonts w:ascii="Arial" w:hAnsi="Arial" w:cs="Arial"/>
        </w:rPr>
        <w:t xml:space="preserve"> on 1800</w:t>
      </w:r>
      <w:r>
        <w:rPr>
          <w:rFonts w:ascii="Arial" w:hAnsi="Arial" w:cs="Arial"/>
        </w:rPr>
        <w:t> </w:t>
      </w:r>
      <w:r w:rsidRPr="007D545D">
        <w:rPr>
          <w:rFonts w:ascii="Arial" w:hAnsi="Arial" w:cs="Arial"/>
        </w:rPr>
        <w:t>990</w:t>
      </w:r>
      <w:r>
        <w:rPr>
          <w:rFonts w:ascii="Arial" w:hAnsi="Arial" w:cs="Arial"/>
        </w:rPr>
        <w:t> </w:t>
      </w:r>
      <w:r w:rsidRPr="007D545D">
        <w:rPr>
          <w:rFonts w:ascii="Arial" w:hAnsi="Arial" w:cs="Arial"/>
        </w:rPr>
        <w:t>177</w:t>
      </w:r>
      <w:r w:rsidR="00B43627">
        <w:rPr>
          <w:rFonts w:ascii="Arial" w:hAnsi="Arial" w:cs="Arial"/>
        </w:rPr>
        <w:t xml:space="preserve"> and in GBRMPA’s offices in Cairns, Townsville, Mackay, Rockhampton and Canberra</w:t>
      </w:r>
      <w:r w:rsidRPr="007D545D">
        <w:rPr>
          <w:rFonts w:ascii="Arial" w:hAnsi="Arial" w:cs="Arial"/>
        </w:rPr>
        <w:t>.</w:t>
      </w:r>
      <w:r>
        <w:rPr>
          <w:rFonts w:ascii="Arial" w:hAnsi="Arial" w:cs="Arial"/>
        </w:rPr>
        <w:t xml:space="preserve"> </w:t>
      </w:r>
    </w:p>
    <w:p w14:paraId="2D28F50B" w14:textId="234B10B0" w:rsidR="005825E1" w:rsidRPr="008463FC" w:rsidRDefault="005825E1" w:rsidP="005825E1">
      <w:pPr>
        <w:pStyle w:val="Heading2"/>
        <w:numPr>
          <w:ilvl w:val="1"/>
          <w:numId w:val="10"/>
        </w:numPr>
        <w:pBdr>
          <w:top w:val="single" w:sz="4" w:space="1" w:color="4F81BD" w:themeColor="accent1"/>
          <w:left w:val="single" w:sz="4" w:space="4" w:color="4F81BD" w:themeColor="accent1"/>
        </w:pBdr>
        <w:spacing w:before="240" w:after="120"/>
        <w:ind w:left="567" w:hanging="573"/>
        <w:rPr>
          <w:rFonts w:ascii="Arial" w:hAnsi="Arial" w:cs="Arial"/>
          <w:b w:val="0"/>
          <w:color w:val="1F497D" w:themeColor="text2"/>
          <w:sz w:val="22"/>
        </w:rPr>
      </w:pPr>
      <w:bookmarkStart w:id="24" w:name="_Toc474753111"/>
      <w:r w:rsidRPr="008463FC">
        <w:rPr>
          <w:rFonts w:ascii="Arial" w:hAnsi="Arial" w:cs="Arial"/>
          <w:b w:val="0"/>
          <w:color w:val="1F497D" w:themeColor="text2"/>
          <w:sz w:val="22"/>
        </w:rPr>
        <w:t xml:space="preserve">KPI 6 </w:t>
      </w:r>
      <w:r w:rsidR="006726B1">
        <w:rPr>
          <w:rFonts w:ascii="Arial" w:hAnsi="Arial" w:cs="Arial"/>
          <w:b w:val="0"/>
          <w:color w:val="1F497D" w:themeColor="text2"/>
          <w:sz w:val="22"/>
        </w:rPr>
        <w:t>—</w:t>
      </w:r>
      <w:r w:rsidRPr="008463FC">
        <w:rPr>
          <w:rFonts w:ascii="Arial" w:hAnsi="Arial" w:cs="Arial"/>
          <w:b w:val="0"/>
          <w:color w:val="1F497D" w:themeColor="text2"/>
          <w:sz w:val="22"/>
        </w:rPr>
        <w:t xml:space="preserve"> </w:t>
      </w:r>
      <w:r w:rsidR="00A32FF6">
        <w:rPr>
          <w:rFonts w:ascii="Arial" w:hAnsi="Arial" w:cs="Arial"/>
          <w:b w:val="0"/>
          <w:color w:val="1F497D" w:themeColor="text2"/>
          <w:sz w:val="22"/>
        </w:rPr>
        <w:t xml:space="preserve">GBRMPA </w:t>
      </w:r>
      <w:r w:rsidRPr="008463FC">
        <w:rPr>
          <w:rFonts w:ascii="Arial" w:hAnsi="Arial" w:cs="Arial"/>
          <w:b w:val="0"/>
          <w:color w:val="1F497D" w:themeColor="text2"/>
          <w:sz w:val="22"/>
        </w:rPr>
        <w:t>actively contribute</w:t>
      </w:r>
      <w:r w:rsidR="00A32FF6">
        <w:rPr>
          <w:rFonts w:ascii="Arial" w:hAnsi="Arial" w:cs="Arial"/>
          <w:b w:val="0"/>
          <w:color w:val="1F497D" w:themeColor="text2"/>
          <w:sz w:val="22"/>
        </w:rPr>
        <w:t>s</w:t>
      </w:r>
      <w:r w:rsidRPr="008463FC">
        <w:rPr>
          <w:rFonts w:ascii="Arial" w:hAnsi="Arial" w:cs="Arial"/>
          <w:b w:val="0"/>
          <w:color w:val="1F497D" w:themeColor="text2"/>
          <w:sz w:val="22"/>
        </w:rPr>
        <w:t xml:space="preserve"> to the continuous improvement of regulatory frameworks</w:t>
      </w:r>
      <w:bookmarkEnd w:id="24"/>
    </w:p>
    <w:p w14:paraId="573C0820" w14:textId="77777777" w:rsidR="00705FA9" w:rsidRPr="00705FA9" w:rsidRDefault="00705FA9" w:rsidP="00705FA9">
      <w:pPr>
        <w:keepNext/>
        <w:spacing w:before="240" w:after="0"/>
        <w:rPr>
          <w:rFonts w:ascii="Arial" w:hAnsi="Arial" w:cs="Arial"/>
          <w:u w:val="single"/>
        </w:rPr>
      </w:pPr>
      <w:r w:rsidRPr="00705FA9">
        <w:rPr>
          <w:rFonts w:ascii="Arial" w:hAnsi="Arial" w:cs="Arial"/>
          <w:u w:val="single"/>
        </w:rPr>
        <w:t>Approved metrics</w:t>
      </w:r>
    </w:p>
    <w:p w14:paraId="351093C2" w14:textId="77777777" w:rsidR="00705FA9" w:rsidRPr="00705FA9" w:rsidRDefault="00705FA9" w:rsidP="00705FA9">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705FA9">
        <w:rPr>
          <w:rFonts w:ascii="Arial" w:eastAsia="Times New Roman" w:hAnsi="Arial" w:cs="Arial"/>
          <w:i/>
          <w:color w:val="333333"/>
          <w:lang w:val="en" w:eastAsia="en-AU"/>
        </w:rPr>
        <w:t>Documented procedures are in place to allow active and regular engagement with stakeholders.</w:t>
      </w:r>
    </w:p>
    <w:p w14:paraId="5801550A" w14:textId="77777777" w:rsidR="00705FA9" w:rsidRPr="00705FA9" w:rsidRDefault="00705FA9" w:rsidP="00705FA9">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705FA9">
        <w:rPr>
          <w:rFonts w:ascii="Arial" w:eastAsia="Times New Roman" w:hAnsi="Arial" w:cs="Arial"/>
          <w:i/>
          <w:color w:val="333333"/>
          <w:lang w:val="en" w:eastAsia="en-AU"/>
        </w:rPr>
        <w:t>Stakeholder events held regularly to facilitate participation in the development and/or amendment of regulatory frameworks.</w:t>
      </w:r>
    </w:p>
    <w:p w14:paraId="46283920" w14:textId="77777777" w:rsidR="00705FA9" w:rsidRPr="00705FA9" w:rsidRDefault="00705FA9" w:rsidP="00705FA9">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i/>
          <w:color w:val="333333"/>
          <w:lang w:val="en" w:eastAsia="en-AU"/>
        </w:rPr>
      </w:pPr>
      <w:r w:rsidRPr="00705FA9">
        <w:rPr>
          <w:rFonts w:ascii="Arial" w:eastAsia="Times New Roman" w:hAnsi="Arial" w:cs="Arial"/>
          <w:i/>
          <w:color w:val="333333"/>
          <w:lang w:val="en" w:eastAsia="en-AU"/>
        </w:rPr>
        <w:t>Documented procedures are in place to facilitate the flow of information between the regulator and policy departments.</w:t>
      </w:r>
    </w:p>
    <w:p w14:paraId="395C9FD7" w14:textId="77777777" w:rsidR="007D545D" w:rsidRPr="007D545D" w:rsidRDefault="007D545D" w:rsidP="007D545D">
      <w:pPr>
        <w:keepNext/>
        <w:spacing w:after="0"/>
        <w:rPr>
          <w:rFonts w:ascii="Arial" w:hAnsi="Arial" w:cs="Arial"/>
          <w:u w:val="single"/>
        </w:rPr>
      </w:pPr>
      <w:r w:rsidRPr="007D545D">
        <w:rPr>
          <w:rFonts w:ascii="Arial" w:hAnsi="Arial" w:cs="Arial"/>
          <w:u w:val="single"/>
        </w:rPr>
        <w:t>Rating:</w:t>
      </w:r>
    </w:p>
    <w:tbl>
      <w:tblPr>
        <w:tblStyle w:val="TableGrid"/>
        <w:tblW w:w="0" w:type="auto"/>
        <w:jc w:val="center"/>
        <w:tblInd w:w="-1127" w:type="dxa"/>
        <w:tblLook w:val="04A0" w:firstRow="1" w:lastRow="0" w:firstColumn="1" w:lastColumn="0" w:noHBand="0" w:noVBand="1"/>
      </w:tblPr>
      <w:tblGrid>
        <w:gridCol w:w="4779"/>
        <w:gridCol w:w="4779"/>
      </w:tblGrid>
      <w:tr w:rsidR="00880D00" w:rsidRPr="002C19BB" w14:paraId="4C4CC145" w14:textId="77777777" w:rsidTr="00124935">
        <w:trPr>
          <w:cantSplit/>
          <w:jc w:val="center"/>
        </w:trPr>
        <w:tc>
          <w:tcPr>
            <w:tcW w:w="4779" w:type="dxa"/>
            <w:shd w:val="clear" w:color="auto" w:fill="FFC000"/>
          </w:tcPr>
          <w:p w14:paraId="4E1F72EF" w14:textId="77777777" w:rsidR="00880D00" w:rsidRDefault="00880D00" w:rsidP="00FF6BF8">
            <w:pPr>
              <w:spacing w:before="120" w:after="120"/>
              <w:jc w:val="center"/>
              <w:rPr>
                <w:rFonts w:ascii="Arial" w:hAnsi="Arial" w:cs="Arial"/>
              </w:rPr>
            </w:pPr>
            <w:r w:rsidRPr="002C19BB">
              <w:rPr>
                <w:rFonts w:ascii="Arial" w:hAnsi="Arial" w:cs="Arial"/>
                <w:b/>
              </w:rPr>
              <w:t>Partially effective</w:t>
            </w:r>
            <w:r>
              <w:rPr>
                <w:rFonts w:ascii="Arial" w:hAnsi="Arial" w:cs="Arial"/>
                <w:b/>
              </w:rPr>
              <w:br/>
            </w:r>
            <w:r w:rsidRPr="0067306A">
              <w:rPr>
                <w:rFonts w:ascii="Arial" w:hAnsi="Arial" w:cs="Arial"/>
              </w:rPr>
              <w:t>(21-50% of optimum)</w:t>
            </w:r>
          </w:p>
          <w:p w14:paraId="1CABF602" w14:textId="52D6D583" w:rsidR="00880D00" w:rsidRPr="00880D00" w:rsidRDefault="00880D00" w:rsidP="00124935">
            <w:pPr>
              <w:pStyle w:val="ListParagraph"/>
              <w:numPr>
                <w:ilvl w:val="0"/>
                <w:numId w:val="29"/>
              </w:numPr>
              <w:spacing w:before="120" w:after="120"/>
              <w:ind w:left="341" w:hanging="284"/>
              <w:rPr>
                <w:rFonts w:ascii="Arial" w:hAnsi="Arial" w:cs="Arial"/>
                <w:i/>
              </w:rPr>
            </w:pPr>
            <w:r w:rsidRPr="00880D00">
              <w:rPr>
                <w:rFonts w:ascii="Arial" w:hAnsi="Arial" w:cs="Arial"/>
                <w:i/>
                <w:sz w:val="20"/>
              </w:rPr>
              <w:t>Documented procedures are in place to allow active and regular engagement with stakeholders.</w:t>
            </w:r>
          </w:p>
        </w:tc>
        <w:tc>
          <w:tcPr>
            <w:tcW w:w="4779" w:type="dxa"/>
            <w:shd w:val="clear" w:color="auto" w:fill="92D050"/>
            <w:vAlign w:val="center"/>
          </w:tcPr>
          <w:p w14:paraId="3D13D9C0" w14:textId="3A0A954F" w:rsidR="00880D00" w:rsidRPr="00124935" w:rsidRDefault="00880D00" w:rsidP="00FF6BF8">
            <w:pPr>
              <w:spacing w:before="120" w:after="120"/>
              <w:jc w:val="center"/>
              <w:rPr>
                <w:rFonts w:ascii="Arial" w:hAnsi="Arial" w:cs="Arial"/>
                <w:b/>
              </w:rPr>
            </w:pPr>
            <w:r w:rsidRPr="002C19BB">
              <w:rPr>
                <w:rFonts w:ascii="Arial" w:hAnsi="Arial" w:cs="Arial"/>
                <w:b/>
              </w:rPr>
              <w:t>Mostly effective</w:t>
            </w:r>
            <w:r>
              <w:rPr>
                <w:rFonts w:ascii="Arial" w:hAnsi="Arial" w:cs="Arial"/>
                <w:b/>
              </w:rPr>
              <w:br/>
            </w:r>
            <w:r w:rsidRPr="00124935">
              <w:rPr>
                <w:rFonts w:ascii="Arial" w:hAnsi="Arial" w:cs="Arial"/>
                <w:b/>
              </w:rPr>
              <w:t>(51-80% of optimum)</w:t>
            </w:r>
          </w:p>
          <w:p w14:paraId="184A8363" w14:textId="1D408A22" w:rsidR="00880D00" w:rsidRPr="00124935" w:rsidRDefault="00880D00" w:rsidP="00124935">
            <w:pPr>
              <w:pStyle w:val="ListParagraph"/>
              <w:numPr>
                <w:ilvl w:val="0"/>
                <w:numId w:val="29"/>
              </w:numPr>
              <w:spacing w:before="120" w:after="120"/>
              <w:ind w:left="341" w:hanging="284"/>
              <w:rPr>
                <w:rFonts w:ascii="Arial" w:hAnsi="Arial" w:cs="Arial"/>
                <w:i/>
                <w:sz w:val="20"/>
              </w:rPr>
            </w:pPr>
            <w:r w:rsidRPr="00124935">
              <w:rPr>
                <w:rFonts w:ascii="Arial" w:hAnsi="Arial" w:cs="Arial"/>
                <w:i/>
                <w:sz w:val="20"/>
              </w:rPr>
              <w:t>Stakeholder events held regularly to facilitate participation in the development and/or amendment of regulatory frameworks.</w:t>
            </w:r>
          </w:p>
          <w:p w14:paraId="0A03BBEA" w14:textId="3A1913B3" w:rsidR="00880D00" w:rsidRPr="00124935" w:rsidRDefault="00880D00" w:rsidP="00124935">
            <w:pPr>
              <w:pStyle w:val="ListParagraph"/>
              <w:numPr>
                <w:ilvl w:val="0"/>
                <w:numId w:val="29"/>
              </w:numPr>
              <w:spacing w:before="120" w:after="120"/>
              <w:ind w:left="341" w:hanging="284"/>
              <w:rPr>
                <w:rFonts w:ascii="Arial" w:hAnsi="Arial" w:cs="Arial"/>
                <w:b/>
              </w:rPr>
            </w:pPr>
            <w:r w:rsidRPr="00124935">
              <w:rPr>
                <w:rFonts w:ascii="Arial" w:hAnsi="Arial" w:cs="Arial"/>
                <w:i/>
                <w:sz w:val="20"/>
              </w:rPr>
              <w:t>Documented procedures are in place to facilitate the flow of information between the regulator and policy departments.</w:t>
            </w:r>
          </w:p>
        </w:tc>
      </w:tr>
    </w:tbl>
    <w:p w14:paraId="379F55EC" w14:textId="77777777" w:rsidR="005E7C87" w:rsidRPr="007D545D" w:rsidRDefault="005E7C87" w:rsidP="005E7C87">
      <w:pPr>
        <w:spacing w:after="0"/>
        <w:rPr>
          <w:rFonts w:ascii="Arial" w:hAnsi="Arial" w:cs="Arial"/>
        </w:rPr>
      </w:pPr>
    </w:p>
    <w:p w14:paraId="16BDCDF5" w14:textId="7DE5F13F" w:rsidR="00124935" w:rsidRPr="00124935" w:rsidRDefault="00124935" w:rsidP="00DE69AA">
      <w:pPr>
        <w:rPr>
          <w:rFonts w:ascii="Arial" w:hAnsi="Arial" w:cs="Arial"/>
          <w:i/>
        </w:rPr>
      </w:pPr>
      <w:r>
        <w:rPr>
          <w:rFonts w:ascii="Arial" w:hAnsi="Arial" w:cs="Arial"/>
          <w:i/>
        </w:rPr>
        <w:lastRenderedPageBreak/>
        <w:t>Stakeholder</w:t>
      </w:r>
      <w:r w:rsidRPr="00124935">
        <w:rPr>
          <w:rFonts w:ascii="Arial" w:hAnsi="Arial" w:cs="Arial"/>
          <w:i/>
        </w:rPr>
        <w:t xml:space="preserve"> engagement</w:t>
      </w:r>
    </w:p>
    <w:p w14:paraId="00100784" w14:textId="0A930008" w:rsidR="00DE69AA" w:rsidRPr="00FC2343" w:rsidRDefault="00DE69AA" w:rsidP="00DE69AA">
      <w:pPr>
        <w:rPr>
          <w:rFonts w:ascii="Arial" w:hAnsi="Arial" w:cs="Arial"/>
        </w:rPr>
      </w:pPr>
      <w:r>
        <w:rPr>
          <w:rFonts w:ascii="Arial" w:hAnsi="Arial" w:cs="Arial"/>
        </w:rPr>
        <w:t xml:space="preserve">GBRMPA’s local and regional engagement is described under </w:t>
      </w:r>
      <w:hyperlink w:anchor="_KPI_2_–" w:history="1">
        <w:r w:rsidRPr="00BF6426">
          <w:rPr>
            <w:rStyle w:val="Hyperlink"/>
            <w:rFonts w:ascii="Arial" w:hAnsi="Arial" w:cs="Arial"/>
          </w:rPr>
          <w:t>KPI 2</w:t>
        </w:r>
      </w:hyperlink>
      <w:r>
        <w:rPr>
          <w:rFonts w:ascii="Arial" w:hAnsi="Arial" w:cs="Arial"/>
        </w:rPr>
        <w:t>.</w:t>
      </w:r>
    </w:p>
    <w:p w14:paraId="381BB9ED" w14:textId="09FAAEB6" w:rsidR="007060CF" w:rsidRDefault="00DE69AA" w:rsidP="005825E1">
      <w:pPr>
        <w:rPr>
          <w:rFonts w:ascii="Arial" w:hAnsi="Arial" w:cs="Arial"/>
        </w:rPr>
      </w:pPr>
      <w:r>
        <w:rPr>
          <w:rFonts w:ascii="Arial" w:hAnsi="Arial" w:cs="Arial"/>
        </w:rPr>
        <w:t>The Terms of Reference for the Local Reef Advisory Committees</w:t>
      </w:r>
      <w:r w:rsidR="007060CF">
        <w:rPr>
          <w:rFonts w:ascii="Arial" w:hAnsi="Arial" w:cs="Arial"/>
        </w:rPr>
        <w:t xml:space="preserve"> (LMACs)</w:t>
      </w:r>
      <w:r>
        <w:rPr>
          <w:rFonts w:ascii="Arial" w:hAnsi="Arial" w:cs="Arial"/>
        </w:rPr>
        <w:t xml:space="preserve"> were </w:t>
      </w:r>
      <w:r w:rsidRPr="00895785">
        <w:rPr>
          <w:rFonts w:ascii="Arial" w:hAnsi="Arial" w:cs="Arial"/>
        </w:rPr>
        <w:t xml:space="preserve">updated in </w:t>
      </w:r>
      <w:r w:rsidR="00895785" w:rsidRPr="00895785">
        <w:rPr>
          <w:rFonts w:ascii="Arial" w:hAnsi="Arial" w:cs="Arial"/>
        </w:rPr>
        <w:t>November 2015</w:t>
      </w:r>
      <w:r w:rsidRPr="00895785">
        <w:rPr>
          <w:rFonts w:ascii="Arial" w:hAnsi="Arial" w:cs="Arial"/>
        </w:rPr>
        <w:t xml:space="preserve"> and will cover the current membership term. </w:t>
      </w:r>
      <w:r w:rsidR="00B00B45" w:rsidRPr="00895785">
        <w:rPr>
          <w:rFonts w:ascii="Arial" w:hAnsi="Arial" w:cs="Arial"/>
        </w:rPr>
        <w:t xml:space="preserve">To ensure that the </w:t>
      </w:r>
      <w:r w:rsidR="007060CF" w:rsidRPr="00895785">
        <w:rPr>
          <w:rFonts w:ascii="Arial" w:hAnsi="Arial" w:cs="Arial"/>
        </w:rPr>
        <w:t>LMA</w:t>
      </w:r>
      <w:r w:rsidR="007060CF">
        <w:rPr>
          <w:rFonts w:ascii="Arial" w:hAnsi="Arial" w:cs="Arial"/>
        </w:rPr>
        <w:t>Cs</w:t>
      </w:r>
      <w:r w:rsidR="00B00B45">
        <w:rPr>
          <w:rFonts w:ascii="Arial" w:hAnsi="Arial" w:cs="Arial"/>
        </w:rPr>
        <w:t xml:space="preserve"> Terms of Reference </w:t>
      </w:r>
      <w:r w:rsidR="00B00B45" w:rsidRPr="00B00B45">
        <w:rPr>
          <w:rFonts w:ascii="Arial" w:hAnsi="Arial" w:cs="Arial"/>
        </w:rPr>
        <w:t xml:space="preserve">remain consistent with the objectives of GBRMPA, </w:t>
      </w:r>
      <w:r w:rsidR="00B00B45">
        <w:rPr>
          <w:rFonts w:ascii="Arial" w:hAnsi="Arial" w:cs="Arial"/>
        </w:rPr>
        <w:t>they</w:t>
      </w:r>
      <w:r w:rsidR="00B00B45" w:rsidRPr="00B00B45">
        <w:rPr>
          <w:rFonts w:ascii="Arial" w:hAnsi="Arial" w:cs="Arial"/>
        </w:rPr>
        <w:t xml:space="preserve"> will be reviewed by GBRMPA prior to advertising the next LMAC term (July 2018-June 2021), or on an "as needed" basis.</w:t>
      </w:r>
    </w:p>
    <w:p w14:paraId="62A73159" w14:textId="12E19213" w:rsidR="00D97299" w:rsidRDefault="00D97299" w:rsidP="005825E1">
      <w:pPr>
        <w:rPr>
          <w:rFonts w:ascii="Arial" w:hAnsi="Arial" w:cs="Arial"/>
        </w:rPr>
      </w:pPr>
      <w:r>
        <w:rPr>
          <w:rFonts w:ascii="Arial" w:hAnsi="Arial" w:cs="Arial"/>
        </w:rPr>
        <w:t xml:space="preserve">The Tourism Reef Advisory Committee and the Indigenous Reef Advisory committee operate under the </w:t>
      </w:r>
      <w:hyperlink r:id="rId83" w:history="1">
        <w:r w:rsidRPr="00D97299">
          <w:rPr>
            <w:rStyle w:val="Hyperlink"/>
            <w:rFonts w:ascii="Arial" w:hAnsi="Arial" w:cs="Arial"/>
          </w:rPr>
          <w:t>GBRMPA Reef Advisory Committees Charter of Operation</w:t>
        </w:r>
      </w:hyperlink>
      <w:r>
        <w:rPr>
          <w:rFonts w:ascii="Arial" w:hAnsi="Arial" w:cs="Arial"/>
        </w:rPr>
        <w:t xml:space="preserve"> endorsed by the </w:t>
      </w:r>
      <w:r w:rsidR="006F1EC2">
        <w:rPr>
          <w:rFonts w:ascii="Arial" w:hAnsi="Arial" w:cs="Arial"/>
        </w:rPr>
        <w:t>GBRMPA</w:t>
      </w:r>
      <w:r>
        <w:rPr>
          <w:rFonts w:ascii="Arial" w:hAnsi="Arial" w:cs="Arial"/>
        </w:rPr>
        <w:t xml:space="preserve"> Board on 29 November 2010. The Charter </w:t>
      </w:r>
      <w:r w:rsidRPr="00D97299">
        <w:rPr>
          <w:rFonts w:ascii="Arial" w:hAnsi="Arial" w:cs="Arial"/>
        </w:rPr>
        <w:t xml:space="preserve">sets out the procedures by which the committees function, including </w:t>
      </w:r>
      <w:r w:rsidR="00186003">
        <w:rPr>
          <w:rFonts w:ascii="Arial" w:hAnsi="Arial" w:cs="Arial"/>
        </w:rPr>
        <w:t xml:space="preserve">terms of reference, </w:t>
      </w:r>
      <w:r w:rsidRPr="00D97299">
        <w:rPr>
          <w:rFonts w:ascii="Arial" w:hAnsi="Arial" w:cs="Arial"/>
        </w:rPr>
        <w:t>reporting requirements, members’ responsibilities, attendance, the relationship between the Reef Advisory Committees</w:t>
      </w:r>
      <w:r>
        <w:rPr>
          <w:rFonts w:ascii="Arial" w:hAnsi="Arial" w:cs="Arial"/>
        </w:rPr>
        <w:t xml:space="preserve"> and other committees, and </w:t>
      </w:r>
      <w:r w:rsidRPr="00D97299">
        <w:rPr>
          <w:rFonts w:ascii="Arial" w:hAnsi="Arial" w:cs="Arial"/>
        </w:rPr>
        <w:t>the support provided by</w:t>
      </w:r>
      <w:r>
        <w:rPr>
          <w:rFonts w:ascii="Arial" w:hAnsi="Arial" w:cs="Arial"/>
        </w:rPr>
        <w:t xml:space="preserve"> GBRMPA.</w:t>
      </w:r>
    </w:p>
    <w:p w14:paraId="3DF21A32" w14:textId="04E07315" w:rsidR="00201B23" w:rsidRDefault="00D97299" w:rsidP="005825E1">
      <w:pPr>
        <w:rPr>
          <w:rFonts w:ascii="Arial" w:hAnsi="Arial" w:cs="Arial"/>
        </w:rPr>
      </w:pPr>
      <w:r>
        <w:rPr>
          <w:rFonts w:ascii="Arial" w:hAnsi="Arial" w:cs="Arial"/>
        </w:rPr>
        <w:t xml:space="preserve">While the terms of reference for both the Tourism and Indigenous Reef Advisory Committees contained in the Charter is generally consistent with their roles, there is a need for the Charter to be updated to reflect current governance. </w:t>
      </w:r>
    </w:p>
    <w:p w14:paraId="53AB8FCA" w14:textId="7964EAAE" w:rsidR="00124935" w:rsidRPr="00124935" w:rsidRDefault="00124935" w:rsidP="00124935">
      <w:pPr>
        <w:rPr>
          <w:rFonts w:ascii="Arial" w:hAnsi="Arial" w:cs="Arial"/>
          <w:i/>
        </w:rPr>
      </w:pPr>
      <w:r>
        <w:rPr>
          <w:rFonts w:ascii="Arial" w:hAnsi="Arial" w:cs="Arial"/>
          <w:i/>
        </w:rPr>
        <w:t>Permission system engagement</w:t>
      </w:r>
    </w:p>
    <w:p w14:paraId="7D783B59" w14:textId="2A02A2C3" w:rsidR="00BE6870" w:rsidRPr="007D545D" w:rsidRDefault="00BE6870" w:rsidP="00BE6870">
      <w:pPr>
        <w:rPr>
          <w:rFonts w:ascii="Arial" w:hAnsi="Arial" w:cs="Arial"/>
        </w:rPr>
      </w:pPr>
      <w:r>
        <w:rPr>
          <w:rFonts w:ascii="Arial" w:hAnsi="Arial" w:cs="Arial"/>
        </w:rPr>
        <w:t>Permission system p</w:t>
      </w:r>
      <w:r w:rsidRPr="007D545D">
        <w:rPr>
          <w:rFonts w:ascii="Arial" w:hAnsi="Arial" w:cs="Arial"/>
        </w:rPr>
        <w:t>re-application and assessment meetings with regulated entities occur on a regular basis as needed.</w:t>
      </w:r>
      <w:r>
        <w:rPr>
          <w:rFonts w:ascii="Arial" w:hAnsi="Arial" w:cs="Arial"/>
        </w:rPr>
        <w:t xml:space="preserve"> </w:t>
      </w:r>
      <w:r w:rsidRPr="007D545D">
        <w:rPr>
          <w:rFonts w:ascii="Arial" w:hAnsi="Arial" w:cs="Arial"/>
        </w:rPr>
        <w:t>Technical</w:t>
      </w:r>
      <w:r>
        <w:rPr>
          <w:rFonts w:ascii="Arial" w:hAnsi="Arial" w:cs="Arial"/>
        </w:rPr>
        <w:t>,</w:t>
      </w:r>
      <w:r w:rsidRPr="007D545D">
        <w:rPr>
          <w:rFonts w:ascii="Arial" w:hAnsi="Arial" w:cs="Arial"/>
        </w:rPr>
        <w:t xml:space="preserve"> advisory and community consultation meetings</w:t>
      </w:r>
      <w:r>
        <w:rPr>
          <w:rFonts w:ascii="Arial" w:hAnsi="Arial" w:cs="Arial"/>
        </w:rPr>
        <w:t xml:space="preserve">, e.g. with individual </w:t>
      </w:r>
      <w:r w:rsidR="00B43627">
        <w:rPr>
          <w:rFonts w:ascii="Arial" w:hAnsi="Arial" w:cs="Arial"/>
        </w:rPr>
        <w:t>developers</w:t>
      </w:r>
      <w:r>
        <w:rPr>
          <w:rFonts w:ascii="Arial" w:hAnsi="Arial" w:cs="Arial"/>
        </w:rPr>
        <w:t>, are attended.</w:t>
      </w:r>
    </w:p>
    <w:p w14:paraId="1A657435" w14:textId="75811B47" w:rsidR="006417DB" w:rsidRPr="007D545D" w:rsidRDefault="006417DB" w:rsidP="007D545D">
      <w:pPr>
        <w:rPr>
          <w:rFonts w:ascii="Arial" w:hAnsi="Arial" w:cs="Arial"/>
        </w:rPr>
      </w:pPr>
      <w:r w:rsidRPr="007D545D">
        <w:rPr>
          <w:rFonts w:ascii="Arial" w:hAnsi="Arial" w:cs="Arial"/>
        </w:rPr>
        <w:t xml:space="preserve">Targeted meetings and public information sessions </w:t>
      </w:r>
      <w:r w:rsidR="00BE6870" w:rsidRPr="007D545D">
        <w:rPr>
          <w:rFonts w:ascii="Arial" w:hAnsi="Arial" w:cs="Arial"/>
        </w:rPr>
        <w:t>associated with public consultation on improving the permission system</w:t>
      </w:r>
      <w:r w:rsidR="00BE6870">
        <w:rPr>
          <w:rFonts w:ascii="Arial" w:hAnsi="Arial" w:cs="Arial"/>
        </w:rPr>
        <w:t xml:space="preserve"> were </w:t>
      </w:r>
      <w:r w:rsidRPr="007D545D">
        <w:rPr>
          <w:rFonts w:ascii="Arial" w:hAnsi="Arial" w:cs="Arial"/>
        </w:rPr>
        <w:t xml:space="preserve">held in </w:t>
      </w:r>
      <w:r w:rsidR="00BE6870">
        <w:rPr>
          <w:rFonts w:ascii="Arial" w:hAnsi="Arial" w:cs="Arial"/>
        </w:rPr>
        <w:t>October to December</w:t>
      </w:r>
      <w:r w:rsidRPr="007D545D">
        <w:rPr>
          <w:rFonts w:ascii="Arial" w:hAnsi="Arial" w:cs="Arial"/>
        </w:rPr>
        <w:t xml:space="preserve"> 2015.</w:t>
      </w:r>
    </w:p>
    <w:p w14:paraId="004ACA5B" w14:textId="465BF920" w:rsidR="00BE6870" w:rsidRDefault="00B43627" w:rsidP="007D545D">
      <w:pPr>
        <w:rPr>
          <w:rFonts w:ascii="Arial" w:hAnsi="Arial" w:cs="Arial"/>
        </w:rPr>
      </w:pPr>
      <w:r>
        <w:rPr>
          <w:rFonts w:ascii="Arial" w:hAnsi="Arial" w:cs="Arial"/>
        </w:rPr>
        <w:t xml:space="preserve">Monthly </w:t>
      </w:r>
      <w:r w:rsidR="00BE6870">
        <w:rPr>
          <w:rFonts w:ascii="Arial" w:hAnsi="Arial" w:cs="Arial"/>
        </w:rPr>
        <w:t xml:space="preserve">meetings are held </w:t>
      </w:r>
      <w:r w:rsidR="00BE6870" w:rsidRPr="007D545D">
        <w:rPr>
          <w:rFonts w:ascii="Arial" w:hAnsi="Arial" w:cs="Arial"/>
        </w:rPr>
        <w:t xml:space="preserve">between </w:t>
      </w:r>
      <w:r w:rsidR="00BE6870">
        <w:rPr>
          <w:rFonts w:ascii="Arial" w:hAnsi="Arial" w:cs="Arial"/>
        </w:rPr>
        <w:t xml:space="preserve">the </w:t>
      </w:r>
      <w:r w:rsidR="00BE6870" w:rsidRPr="007D545D">
        <w:rPr>
          <w:rFonts w:ascii="Arial" w:hAnsi="Arial" w:cs="Arial"/>
        </w:rPr>
        <w:t xml:space="preserve">Department of the Environment </w:t>
      </w:r>
      <w:r w:rsidR="00BE6870">
        <w:rPr>
          <w:rFonts w:ascii="Arial" w:hAnsi="Arial" w:cs="Arial"/>
        </w:rPr>
        <w:t xml:space="preserve">and Energy </w:t>
      </w:r>
      <w:r w:rsidR="00BE6870" w:rsidRPr="007D545D">
        <w:rPr>
          <w:rFonts w:ascii="Arial" w:hAnsi="Arial" w:cs="Arial"/>
        </w:rPr>
        <w:t>(</w:t>
      </w:r>
      <w:r w:rsidR="00BE6870">
        <w:rPr>
          <w:rFonts w:ascii="Arial" w:hAnsi="Arial" w:cs="Arial"/>
        </w:rPr>
        <w:t>EPBC Act assessments area</w:t>
      </w:r>
      <w:r w:rsidR="00BE6870" w:rsidRPr="007D545D">
        <w:rPr>
          <w:rFonts w:ascii="Arial" w:hAnsi="Arial" w:cs="Arial"/>
        </w:rPr>
        <w:t>) and GBRMPA (Environmental Assessment and Protection</w:t>
      </w:r>
      <w:r w:rsidR="00BE6870">
        <w:rPr>
          <w:rFonts w:ascii="Arial" w:hAnsi="Arial" w:cs="Arial"/>
        </w:rPr>
        <w:t xml:space="preserve"> section</w:t>
      </w:r>
      <w:r w:rsidR="00BE6870" w:rsidRPr="007D545D">
        <w:rPr>
          <w:rFonts w:ascii="Arial" w:hAnsi="Arial" w:cs="Arial"/>
        </w:rPr>
        <w:t>)</w:t>
      </w:r>
      <w:r w:rsidR="00BE6870">
        <w:rPr>
          <w:rFonts w:ascii="Arial" w:hAnsi="Arial" w:cs="Arial"/>
        </w:rPr>
        <w:t>.</w:t>
      </w:r>
    </w:p>
    <w:p w14:paraId="650E5030" w14:textId="4CAB4EA4" w:rsidR="00B43627" w:rsidRDefault="00B43627" w:rsidP="007D545D">
      <w:pPr>
        <w:rPr>
          <w:rFonts w:ascii="Arial" w:hAnsi="Arial" w:cs="Arial"/>
        </w:rPr>
      </w:pPr>
      <w:r>
        <w:rPr>
          <w:rFonts w:ascii="Arial" w:hAnsi="Arial" w:cs="Arial"/>
        </w:rPr>
        <w:t>GBRMPA’s Audit Committee receives updates at each meeting on the implementation of recommendations from the ANAO performance audit of the permission system.</w:t>
      </w:r>
    </w:p>
    <w:p w14:paraId="674F748A" w14:textId="1D36D880" w:rsidR="00B43627" w:rsidRDefault="00B43627" w:rsidP="007D545D">
      <w:pPr>
        <w:rPr>
          <w:rFonts w:ascii="Arial" w:hAnsi="Arial" w:cs="Arial"/>
        </w:rPr>
      </w:pPr>
      <w:r>
        <w:rPr>
          <w:rFonts w:ascii="Arial" w:hAnsi="Arial" w:cs="Arial"/>
        </w:rPr>
        <w:t xml:space="preserve">The Marine Park Authority </w:t>
      </w:r>
      <w:r w:rsidR="00880D00">
        <w:rPr>
          <w:rFonts w:ascii="Arial" w:hAnsi="Arial" w:cs="Arial"/>
        </w:rPr>
        <w:t xml:space="preserve">Board </w:t>
      </w:r>
      <w:r>
        <w:rPr>
          <w:rFonts w:ascii="Arial" w:hAnsi="Arial" w:cs="Arial"/>
        </w:rPr>
        <w:t>receives a quarterly update on permission system trends, major projects and emerging issues.</w:t>
      </w:r>
    </w:p>
    <w:p w14:paraId="4345B15D" w14:textId="67A3DACC" w:rsidR="00BE6870" w:rsidRDefault="00DE69AA" w:rsidP="007D545D">
      <w:pPr>
        <w:rPr>
          <w:rFonts w:ascii="Arial" w:hAnsi="Arial" w:cs="Arial"/>
        </w:rPr>
      </w:pPr>
      <w:r>
        <w:rPr>
          <w:rFonts w:ascii="Arial" w:hAnsi="Arial" w:cs="Arial"/>
        </w:rPr>
        <w:t>GBRMPA</w:t>
      </w:r>
      <w:r w:rsidR="00442E49">
        <w:rPr>
          <w:rFonts w:ascii="Arial" w:hAnsi="Arial" w:cs="Arial"/>
        </w:rPr>
        <w:t>’</w:t>
      </w:r>
      <w:r>
        <w:rPr>
          <w:rFonts w:ascii="Arial" w:hAnsi="Arial" w:cs="Arial"/>
        </w:rPr>
        <w:t>s p</w:t>
      </w:r>
      <w:r w:rsidR="006417DB" w:rsidRPr="007D545D">
        <w:rPr>
          <w:rFonts w:ascii="Arial" w:hAnsi="Arial" w:cs="Arial"/>
        </w:rPr>
        <w:t xml:space="preserve">olicy, assessment and compliance areas engage with each other to </w:t>
      </w:r>
      <w:r w:rsidRPr="007D545D">
        <w:rPr>
          <w:rFonts w:ascii="Arial" w:hAnsi="Arial" w:cs="Arial"/>
        </w:rPr>
        <w:t>facilitate</w:t>
      </w:r>
      <w:r w:rsidR="006417DB" w:rsidRPr="007D545D">
        <w:rPr>
          <w:rFonts w:ascii="Arial" w:hAnsi="Arial" w:cs="Arial"/>
        </w:rPr>
        <w:t xml:space="preserve"> the flow of information</w:t>
      </w:r>
      <w:r>
        <w:rPr>
          <w:rFonts w:ascii="Arial" w:hAnsi="Arial" w:cs="Arial"/>
        </w:rPr>
        <w:t xml:space="preserve">. </w:t>
      </w:r>
      <w:r w:rsidR="00B43627">
        <w:rPr>
          <w:rFonts w:ascii="Arial" w:hAnsi="Arial" w:cs="Arial"/>
        </w:rPr>
        <w:t>For example, referrals of permit application are sen</w:t>
      </w:r>
      <w:r w:rsidR="00880D00">
        <w:rPr>
          <w:rFonts w:ascii="Arial" w:hAnsi="Arial" w:cs="Arial"/>
        </w:rPr>
        <w:t>t</w:t>
      </w:r>
      <w:r w:rsidR="00B43627">
        <w:rPr>
          <w:rFonts w:ascii="Arial" w:hAnsi="Arial" w:cs="Arial"/>
        </w:rPr>
        <w:t xml:space="preserve"> to technical experts within GBRMPA</w:t>
      </w:r>
      <w:r w:rsidR="00C54ADB">
        <w:rPr>
          <w:rFonts w:ascii="Arial" w:hAnsi="Arial" w:cs="Arial"/>
        </w:rPr>
        <w:t>,</w:t>
      </w:r>
      <w:r w:rsidR="00B43627">
        <w:rPr>
          <w:rFonts w:ascii="Arial" w:hAnsi="Arial" w:cs="Arial"/>
        </w:rPr>
        <w:t xml:space="preserve"> and also to QPWS for advice including policy interpretation and impact mitigation. </w:t>
      </w:r>
    </w:p>
    <w:p w14:paraId="56658696" w14:textId="3B60C358" w:rsidR="00DE69AA" w:rsidRPr="007D545D" w:rsidRDefault="00BE6870" w:rsidP="007D545D">
      <w:pPr>
        <w:rPr>
          <w:rFonts w:ascii="Arial" w:hAnsi="Arial" w:cs="Arial"/>
        </w:rPr>
      </w:pPr>
      <w:r>
        <w:rPr>
          <w:rFonts w:ascii="Arial" w:hAnsi="Arial" w:cs="Arial"/>
        </w:rPr>
        <w:t xml:space="preserve">GBRMPA seeks to consult internally and with key stakeholders on regulatory improvements, including through the establishment of working groups. </w:t>
      </w:r>
      <w:r w:rsidR="00DE69AA">
        <w:rPr>
          <w:rFonts w:ascii="Arial" w:hAnsi="Arial" w:cs="Arial"/>
        </w:rPr>
        <w:t>Short timeframes, competing priorities and availability of key GBRMPA staff means this does not always occur</w:t>
      </w:r>
      <w:r>
        <w:rPr>
          <w:rFonts w:ascii="Arial" w:hAnsi="Arial" w:cs="Arial"/>
        </w:rPr>
        <w:t xml:space="preserve"> consistently</w:t>
      </w:r>
      <w:r w:rsidR="00DE69AA">
        <w:rPr>
          <w:rFonts w:ascii="Arial" w:hAnsi="Arial" w:cs="Arial"/>
        </w:rPr>
        <w:t>.</w:t>
      </w:r>
    </w:p>
    <w:p w14:paraId="6FF08AC3" w14:textId="466F686E" w:rsidR="00124935" w:rsidRPr="00124935" w:rsidRDefault="00124935" w:rsidP="00124935">
      <w:pPr>
        <w:rPr>
          <w:rFonts w:ascii="Arial" w:hAnsi="Arial" w:cs="Arial"/>
          <w:i/>
        </w:rPr>
      </w:pPr>
      <w:r>
        <w:rPr>
          <w:rFonts w:ascii="Arial" w:hAnsi="Arial" w:cs="Arial"/>
          <w:i/>
        </w:rPr>
        <w:t xml:space="preserve">Review of </w:t>
      </w:r>
      <w:r w:rsidR="008D6DE4">
        <w:rPr>
          <w:rFonts w:ascii="Arial" w:hAnsi="Arial" w:cs="Arial"/>
          <w:i/>
        </w:rPr>
        <w:t>policy tools</w:t>
      </w:r>
    </w:p>
    <w:p w14:paraId="2E7481E9" w14:textId="692C95D5" w:rsidR="00BA205B" w:rsidRDefault="00BA205B" w:rsidP="00BA205B">
      <w:pPr>
        <w:rPr>
          <w:rFonts w:ascii="Arial" w:hAnsi="Arial" w:cs="Arial"/>
        </w:rPr>
      </w:pPr>
      <w:r>
        <w:rPr>
          <w:rFonts w:ascii="Arial" w:hAnsi="Arial" w:cs="Arial"/>
        </w:rPr>
        <w:t>GBRMPA has</w:t>
      </w:r>
      <w:r w:rsidR="005C36AB">
        <w:rPr>
          <w:rFonts w:ascii="Arial" w:hAnsi="Arial" w:cs="Arial"/>
        </w:rPr>
        <w:t xml:space="preserve"> also</w:t>
      </w:r>
      <w:r>
        <w:rPr>
          <w:rFonts w:ascii="Arial" w:hAnsi="Arial" w:cs="Arial"/>
        </w:rPr>
        <w:t xml:space="preserve"> identified a need to review and rationalise all external policy documents and commenced this work in 2015-16. It is expected that the review will contribute to a more </w:t>
      </w:r>
      <w:r>
        <w:rPr>
          <w:rFonts w:ascii="Arial" w:hAnsi="Arial" w:cs="Arial"/>
        </w:rPr>
        <w:lastRenderedPageBreak/>
        <w:t>targeted</w:t>
      </w:r>
      <w:r w:rsidR="00DE69AA">
        <w:rPr>
          <w:rFonts w:ascii="Arial" w:hAnsi="Arial" w:cs="Arial"/>
        </w:rPr>
        <w:t xml:space="preserve"> and prioritised</w:t>
      </w:r>
      <w:r>
        <w:rPr>
          <w:rFonts w:ascii="Arial" w:hAnsi="Arial" w:cs="Arial"/>
        </w:rPr>
        <w:t xml:space="preserve"> approach to the development, review and revocation of policy documents – which will be of benefit to regulated entities, other stakeholders and GBRMPA staff. Due to limited resources and competing priorities, the review has been deferred </w:t>
      </w:r>
      <w:r w:rsidR="005C36AB">
        <w:rPr>
          <w:rFonts w:ascii="Arial" w:hAnsi="Arial" w:cs="Arial"/>
        </w:rPr>
        <w:t xml:space="preserve">a number of times and will not recommence before </w:t>
      </w:r>
      <w:r>
        <w:rPr>
          <w:rFonts w:ascii="Arial" w:hAnsi="Arial" w:cs="Arial"/>
        </w:rPr>
        <w:t>2017</w:t>
      </w:r>
      <w:r w:rsidR="005C36AB">
        <w:rPr>
          <w:rFonts w:ascii="Arial" w:hAnsi="Arial" w:cs="Arial"/>
        </w:rPr>
        <w:t>-18</w:t>
      </w:r>
      <w:r>
        <w:rPr>
          <w:rFonts w:ascii="Arial" w:hAnsi="Arial" w:cs="Arial"/>
        </w:rPr>
        <w:t xml:space="preserve">. </w:t>
      </w:r>
    </w:p>
    <w:p w14:paraId="37F230C0" w14:textId="6B14193F" w:rsidR="00880D00" w:rsidRDefault="00880D00" w:rsidP="00BA205B">
      <w:pPr>
        <w:rPr>
          <w:rFonts w:ascii="Arial" w:hAnsi="Arial" w:cs="Arial"/>
        </w:rPr>
      </w:pPr>
      <w:r>
        <w:rPr>
          <w:rFonts w:ascii="Arial" w:hAnsi="Arial" w:cs="Arial"/>
        </w:rPr>
        <w:t>GBRMPA will also be undertaking a significant amount of policy work that will be reflected in the 2016-17 report.</w:t>
      </w:r>
    </w:p>
    <w:p w14:paraId="3165875C" w14:textId="54CDDF28" w:rsidR="00CA4E79" w:rsidRDefault="00CA4E79">
      <w:pPr>
        <w:rPr>
          <w:rFonts w:ascii="Arial" w:hAnsi="Arial" w:cs="Arial"/>
        </w:rPr>
      </w:pPr>
      <w:r>
        <w:rPr>
          <w:rFonts w:ascii="Arial" w:hAnsi="Arial" w:cs="Arial"/>
        </w:rPr>
        <w:br w:type="page"/>
      </w:r>
    </w:p>
    <w:p w14:paraId="1610E976" w14:textId="008AF9D2" w:rsidR="00CA4E79" w:rsidRPr="002D5D1F" w:rsidRDefault="00CA4E79" w:rsidP="00CA4E79">
      <w:pPr>
        <w:pStyle w:val="Heading2"/>
        <w:shd w:val="clear" w:color="auto" w:fill="4F81BD" w:themeFill="accent1"/>
        <w:spacing w:before="240" w:after="120"/>
        <w:jc w:val="right"/>
        <w:rPr>
          <w:rFonts w:ascii="Arial" w:hAnsi="Arial" w:cs="Arial"/>
          <w:b w:val="0"/>
          <w:color w:val="FFFFFF" w:themeColor="background1"/>
        </w:rPr>
      </w:pPr>
      <w:bookmarkStart w:id="25" w:name="_Attachment_A_–"/>
      <w:bookmarkStart w:id="26" w:name="_Toc474753112"/>
      <w:bookmarkEnd w:id="25"/>
      <w:r>
        <w:rPr>
          <w:rFonts w:ascii="Arial" w:hAnsi="Arial" w:cs="Arial"/>
          <w:b w:val="0"/>
          <w:color w:val="FFFFFF" w:themeColor="background1"/>
        </w:rPr>
        <w:lastRenderedPageBreak/>
        <w:t>Attachment A – Rating scale</w:t>
      </w:r>
      <w:bookmarkEnd w:id="26"/>
    </w:p>
    <w:p w14:paraId="21D9046C" w14:textId="41D2C4AE" w:rsidR="00CA4E79" w:rsidRDefault="00BE41F8" w:rsidP="00CA4E79">
      <w:pPr>
        <w:rPr>
          <w:rFonts w:ascii="Arial" w:hAnsi="Arial" w:cs="Arial"/>
        </w:rPr>
      </w:pPr>
      <w:r>
        <w:rPr>
          <w:rFonts w:ascii="Arial" w:hAnsi="Arial" w:cs="Arial"/>
        </w:rPr>
        <w:t>Details of the KPIs, agreed metrics and the a</w:t>
      </w:r>
      <w:r w:rsidR="00CA4E79">
        <w:rPr>
          <w:rFonts w:ascii="Arial" w:hAnsi="Arial" w:cs="Arial"/>
        </w:rPr>
        <w:t>ssessment criteria used to determine the rating for each of the KPIs</w:t>
      </w:r>
      <w:r>
        <w:rPr>
          <w:rFonts w:ascii="Arial" w:hAnsi="Arial" w:cs="Arial"/>
        </w:rPr>
        <w:t xml:space="preserve"> are outlined below</w:t>
      </w:r>
      <w:r w:rsidR="00B431D2">
        <w:rPr>
          <w:rFonts w:ascii="Arial" w:hAnsi="Arial" w:cs="Arial"/>
        </w:rPr>
        <w:t>:</w:t>
      </w:r>
    </w:p>
    <w:p w14:paraId="03513D5E" w14:textId="7A4C2839" w:rsidR="00CA4E79" w:rsidRPr="002314F7" w:rsidRDefault="00CA4E79" w:rsidP="002314F7">
      <w:pPr>
        <w:keepNext/>
        <w:pBdr>
          <w:top w:val="single" w:sz="8" w:space="1" w:color="1F497D" w:themeColor="text2"/>
          <w:left w:val="single" w:sz="8" w:space="4" w:color="1F497D" w:themeColor="text2"/>
        </w:pBdr>
        <w:ind w:left="992" w:hanging="992"/>
        <w:rPr>
          <w:rFonts w:ascii="Arial" w:hAnsi="Arial" w:cs="Arial"/>
          <w:b/>
          <w:color w:val="1F497D" w:themeColor="text2"/>
        </w:rPr>
      </w:pPr>
      <w:r w:rsidRPr="002314F7">
        <w:rPr>
          <w:rFonts w:ascii="Arial" w:hAnsi="Arial" w:cs="Arial"/>
          <w:b/>
          <w:color w:val="1F497D" w:themeColor="text2"/>
        </w:rPr>
        <w:t xml:space="preserve">KPI 1 - </w:t>
      </w:r>
      <w:r w:rsidR="002C19BB" w:rsidRPr="002314F7">
        <w:rPr>
          <w:rFonts w:ascii="Arial" w:hAnsi="Arial" w:cs="Arial"/>
          <w:b/>
          <w:color w:val="1F497D" w:themeColor="text2"/>
        </w:rPr>
        <w:tab/>
      </w:r>
      <w:r w:rsidRPr="002314F7">
        <w:rPr>
          <w:rFonts w:ascii="Arial" w:hAnsi="Arial" w:cs="Arial"/>
          <w:b/>
          <w:color w:val="1F497D" w:themeColor="text2"/>
        </w:rPr>
        <w:t>GBRMPA does not unnecessarily impede the efficient operation of regulated entities</w:t>
      </w:r>
    </w:p>
    <w:p w14:paraId="556569BF" w14:textId="33F378CC" w:rsidR="002C19BB" w:rsidRPr="00BE41F8" w:rsidRDefault="003D145B" w:rsidP="002314F7">
      <w:pPr>
        <w:spacing w:before="120" w:after="60"/>
        <w:rPr>
          <w:rFonts w:ascii="Arial" w:hAnsi="Arial" w:cs="Arial"/>
          <w:i/>
        </w:rPr>
      </w:pPr>
      <w:r>
        <w:rPr>
          <w:rFonts w:ascii="Arial" w:hAnsi="Arial" w:cs="Arial"/>
          <w:i/>
        </w:rPr>
        <w:t>Approved m</w:t>
      </w:r>
      <w:r w:rsidR="00BE41F8" w:rsidRPr="00BE41F8">
        <w:rPr>
          <w:rFonts w:ascii="Arial" w:hAnsi="Arial" w:cs="Arial"/>
          <w:i/>
        </w:rPr>
        <w:t>etrics</w:t>
      </w:r>
    </w:p>
    <w:p w14:paraId="325C44AE" w14:textId="77777777" w:rsidR="00BE41F8" w:rsidRP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Demonstrated engagement with relevant international organisations to learn from peer experiences and share better practices.</w:t>
      </w:r>
    </w:p>
    <w:p w14:paraId="18C3A28D" w14:textId="77777777" w:rsid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Environment scanning is undertaken regularly.</w:t>
      </w:r>
    </w:p>
    <w:p w14:paraId="082AEDE4" w14:textId="77777777" w:rsidR="002314F7" w:rsidRPr="00BE41F8" w:rsidRDefault="002314F7" w:rsidP="002314F7">
      <w:pPr>
        <w:shd w:val="clear" w:color="auto" w:fill="FFFFFF"/>
        <w:spacing w:after="240" w:line="240" w:lineRule="auto"/>
        <w:contextualSpacing/>
        <w:rPr>
          <w:rFonts w:ascii="Arial" w:eastAsia="Times New Roman" w:hAnsi="Arial" w:cs="Arial"/>
          <w:color w:val="333333"/>
          <w:lang w:val="en" w:eastAsia="en-AU"/>
        </w:rPr>
      </w:pPr>
    </w:p>
    <w:tbl>
      <w:tblPr>
        <w:tblStyle w:val="TableGrid"/>
        <w:tblW w:w="0" w:type="auto"/>
        <w:tblLook w:val="04A0" w:firstRow="1" w:lastRow="0" w:firstColumn="1" w:lastColumn="0" w:noHBand="0" w:noVBand="1"/>
      </w:tblPr>
      <w:tblGrid>
        <w:gridCol w:w="2518"/>
        <w:gridCol w:w="6724"/>
      </w:tblGrid>
      <w:tr w:rsidR="00CA4E79" w14:paraId="4D1EB2DD" w14:textId="77777777" w:rsidTr="00CA6231">
        <w:trPr>
          <w:cantSplit/>
        </w:trPr>
        <w:tc>
          <w:tcPr>
            <w:tcW w:w="2518" w:type="dxa"/>
            <w:shd w:val="clear" w:color="auto" w:fill="00B050"/>
            <w:vAlign w:val="center"/>
          </w:tcPr>
          <w:p w14:paraId="316DDFD0" w14:textId="66C707C7" w:rsidR="00CA4E79" w:rsidRPr="002C19BB" w:rsidRDefault="00CA4E79" w:rsidP="002C19BB">
            <w:pPr>
              <w:spacing w:before="120" w:after="120"/>
              <w:rPr>
                <w:rFonts w:ascii="Arial" w:hAnsi="Arial" w:cs="Arial"/>
                <w:b/>
              </w:rPr>
            </w:pPr>
            <w:r w:rsidRPr="002C19BB">
              <w:rPr>
                <w:rFonts w:ascii="Arial" w:hAnsi="Arial" w:cs="Arial"/>
                <w:b/>
              </w:rPr>
              <w:t>Effective</w:t>
            </w:r>
            <w:r w:rsidR="008801C6">
              <w:rPr>
                <w:rFonts w:ascii="Arial" w:hAnsi="Arial" w:cs="Arial"/>
                <w:b/>
              </w:rPr>
              <w:br/>
              <w:t>(81-100% of optimum)</w:t>
            </w:r>
          </w:p>
        </w:tc>
        <w:tc>
          <w:tcPr>
            <w:tcW w:w="6724" w:type="dxa"/>
            <w:vAlign w:val="center"/>
          </w:tcPr>
          <w:p w14:paraId="7C9ED30B" w14:textId="356CD9D3" w:rsidR="003D145B" w:rsidRPr="003D145B" w:rsidRDefault="003D145B" w:rsidP="003D145B">
            <w:pPr>
              <w:pStyle w:val="ListParagraph"/>
              <w:numPr>
                <w:ilvl w:val="0"/>
                <w:numId w:val="13"/>
              </w:numPr>
              <w:tabs>
                <w:tab w:val="clear" w:pos="720"/>
                <w:tab w:val="num" w:pos="459"/>
              </w:tabs>
              <w:ind w:left="459" w:hanging="426"/>
              <w:rPr>
                <w:rFonts w:ascii="Arial" w:hAnsi="Arial" w:cs="Arial"/>
              </w:rPr>
            </w:pPr>
            <w:r w:rsidRPr="003D145B">
              <w:rPr>
                <w:rFonts w:ascii="Arial" w:hAnsi="Arial" w:cs="Arial"/>
              </w:rPr>
              <w:t>Networking, collaboration and exchange (including internationally) are core organisational principles and a key part of organisational culture and regulatory capability, and are subject to continual review and improvement.</w:t>
            </w:r>
          </w:p>
          <w:p w14:paraId="5F2FF033" w14:textId="06AE80B6" w:rsidR="00CA4E79" w:rsidRPr="003D145B" w:rsidRDefault="003D145B" w:rsidP="00D32CD8">
            <w:pPr>
              <w:pStyle w:val="ListParagraph"/>
              <w:numPr>
                <w:ilvl w:val="0"/>
                <w:numId w:val="13"/>
              </w:numPr>
              <w:tabs>
                <w:tab w:val="clear" w:pos="720"/>
                <w:tab w:val="num" w:pos="459"/>
              </w:tabs>
              <w:ind w:left="459" w:hanging="426"/>
              <w:rPr>
                <w:rFonts w:ascii="Arial" w:hAnsi="Arial" w:cs="Arial"/>
              </w:rPr>
            </w:pPr>
            <w:r w:rsidRPr="003D145B">
              <w:rPr>
                <w:rFonts w:ascii="Arial" w:hAnsi="Arial" w:cs="Arial"/>
              </w:rPr>
              <w:t xml:space="preserve">Environment </w:t>
            </w:r>
            <w:r w:rsidR="00D32CD8">
              <w:rPr>
                <w:rFonts w:ascii="Arial" w:hAnsi="Arial" w:cs="Arial"/>
              </w:rPr>
              <w:t>s</w:t>
            </w:r>
            <w:r w:rsidRPr="003D145B">
              <w:rPr>
                <w:rFonts w:ascii="Arial" w:hAnsi="Arial" w:cs="Arial"/>
              </w:rPr>
              <w:t xml:space="preserve">canning and surveys of regulated entities are planned and regularly undertaken. Results are incorporated into business practices.  </w:t>
            </w:r>
          </w:p>
        </w:tc>
      </w:tr>
      <w:tr w:rsidR="00CA4E79" w14:paraId="355CDF9A" w14:textId="77777777" w:rsidTr="00CA6231">
        <w:trPr>
          <w:cantSplit/>
        </w:trPr>
        <w:tc>
          <w:tcPr>
            <w:tcW w:w="2518" w:type="dxa"/>
            <w:shd w:val="clear" w:color="auto" w:fill="92D050"/>
            <w:vAlign w:val="center"/>
          </w:tcPr>
          <w:p w14:paraId="2DC09610" w14:textId="4643B142" w:rsidR="00CA4E79" w:rsidRPr="002C19BB" w:rsidRDefault="00CA4E79" w:rsidP="008801C6">
            <w:pPr>
              <w:spacing w:before="120" w:after="120"/>
              <w:rPr>
                <w:rFonts w:ascii="Arial" w:hAnsi="Arial" w:cs="Arial"/>
                <w:b/>
              </w:rPr>
            </w:pPr>
            <w:r w:rsidRPr="002C19BB">
              <w:rPr>
                <w:rFonts w:ascii="Arial" w:hAnsi="Arial" w:cs="Arial"/>
                <w:b/>
              </w:rPr>
              <w:t>Mostly effective</w:t>
            </w:r>
            <w:r w:rsidR="008801C6">
              <w:rPr>
                <w:rFonts w:ascii="Arial" w:hAnsi="Arial" w:cs="Arial"/>
                <w:b/>
              </w:rPr>
              <w:br/>
              <w:t>(51-80% of optimum)</w:t>
            </w:r>
          </w:p>
        </w:tc>
        <w:tc>
          <w:tcPr>
            <w:tcW w:w="6724" w:type="dxa"/>
            <w:vAlign w:val="center"/>
          </w:tcPr>
          <w:p w14:paraId="5049AC1E" w14:textId="365727F1" w:rsidR="00CA4E79" w:rsidRPr="003D145B" w:rsidRDefault="003D145B" w:rsidP="00841626">
            <w:pPr>
              <w:pStyle w:val="ListParagraph"/>
              <w:numPr>
                <w:ilvl w:val="0"/>
                <w:numId w:val="13"/>
              </w:numPr>
              <w:tabs>
                <w:tab w:val="clear" w:pos="720"/>
                <w:tab w:val="num" w:pos="459"/>
              </w:tabs>
              <w:ind w:left="459" w:hanging="426"/>
              <w:rPr>
                <w:rFonts w:ascii="Arial" w:hAnsi="Arial" w:cs="Arial"/>
              </w:rPr>
            </w:pPr>
            <w:r w:rsidRPr="003D145B">
              <w:rPr>
                <w:rFonts w:ascii="Arial" w:hAnsi="Arial" w:cs="Arial"/>
              </w:rPr>
              <w:t xml:space="preserve">Environment scanning and international collaboration </w:t>
            </w:r>
            <w:r w:rsidR="00841626">
              <w:rPr>
                <w:rFonts w:ascii="Arial" w:hAnsi="Arial" w:cs="Arial"/>
              </w:rPr>
              <w:t xml:space="preserve">is regularly undertaken, but does not include regular surveys of regulated </w:t>
            </w:r>
            <w:r w:rsidR="00597E3D">
              <w:rPr>
                <w:rFonts w:ascii="Arial" w:hAnsi="Arial" w:cs="Arial"/>
              </w:rPr>
              <w:t>entities</w:t>
            </w:r>
            <w:r w:rsidRPr="003D145B">
              <w:rPr>
                <w:rFonts w:ascii="Arial" w:hAnsi="Arial" w:cs="Arial"/>
              </w:rPr>
              <w:t>.</w:t>
            </w:r>
          </w:p>
        </w:tc>
      </w:tr>
      <w:tr w:rsidR="00CA4E79" w14:paraId="793178B1" w14:textId="77777777" w:rsidTr="00CA6231">
        <w:trPr>
          <w:cantSplit/>
        </w:trPr>
        <w:tc>
          <w:tcPr>
            <w:tcW w:w="2518" w:type="dxa"/>
            <w:shd w:val="clear" w:color="auto" w:fill="FFC000"/>
            <w:vAlign w:val="center"/>
          </w:tcPr>
          <w:p w14:paraId="46FAF594" w14:textId="3C9A33DC" w:rsidR="00CA4E79" w:rsidRPr="002C19BB" w:rsidRDefault="00CA4E79" w:rsidP="008801C6">
            <w:pPr>
              <w:spacing w:before="120" w:after="120"/>
              <w:rPr>
                <w:rFonts w:ascii="Arial" w:hAnsi="Arial" w:cs="Arial"/>
                <w:b/>
              </w:rPr>
            </w:pPr>
            <w:r w:rsidRPr="002C19BB">
              <w:rPr>
                <w:rFonts w:ascii="Arial" w:hAnsi="Arial" w:cs="Arial"/>
                <w:b/>
              </w:rPr>
              <w:t>Partially effective</w:t>
            </w:r>
            <w:r w:rsidR="008801C6">
              <w:rPr>
                <w:rFonts w:ascii="Arial" w:hAnsi="Arial" w:cs="Arial"/>
                <w:b/>
              </w:rPr>
              <w:br/>
              <w:t>(21-50% of optimum)</w:t>
            </w:r>
          </w:p>
        </w:tc>
        <w:tc>
          <w:tcPr>
            <w:tcW w:w="6724" w:type="dxa"/>
            <w:vAlign w:val="center"/>
          </w:tcPr>
          <w:p w14:paraId="24AC186B" w14:textId="384A7344" w:rsidR="00CA4E79" w:rsidRPr="003D145B" w:rsidRDefault="003D145B" w:rsidP="003D145B">
            <w:pPr>
              <w:pStyle w:val="ListParagraph"/>
              <w:numPr>
                <w:ilvl w:val="0"/>
                <w:numId w:val="13"/>
              </w:numPr>
              <w:tabs>
                <w:tab w:val="clear" w:pos="720"/>
                <w:tab w:val="num" w:pos="459"/>
              </w:tabs>
              <w:ind w:left="459" w:hanging="426"/>
              <w:rPr>
                <w:rFonts w:ascii="Arial" w:hAnsi="Arial" w:cs="Arial"/>
              </w:rPr>
            </w:pPr>
            <w:r w:rsidRPr="003D145B">
              <w:rPr>
                <w:rFonts w:ascii="Arial" w:hAnsi="Arial" w:cs="Arial"/>
              </w:rPr>
              <w:t>International engagement has occurred in one or more GBRMPA sections with regulatory responsibility and environment scanning is planned.</w:t>
            </w:r>
          </w:p>
        </w:tc>
      </w:tr>
      <w:tr w:rsidR="00CA4E79" w14:paraId="27AF352D" w14:textId="77777777" w:rsidTr="00CA6231">
        <w:trPr>
          <w:cantSplit/>
        </w:trPr>
        <w:tc>
          <w:tcPr>
            <w:tcW w:w="2518" w:type="dxa"/>
            <w:shd w:val="clear" w:color="auto" w:fill="FF0000"/>
            <w:vAlign w:val="center"/>
          </w:tcPr>
          <w:p w14:paraId="79F00480" w14:textId="664422B4" w:rsidR="00CA4E79" w:rsidRPr="002C19BB" w:rsidRDefault="00CA4E79" w:rsidP="008801C6">
            <w:pPr>
              <w:spacing w:before="120" w:after="120"/>
              <w:rPr>
                <w:rFonts w:ascii="Arial" w:hAnsi="Arial" w:cs="Arial"/>
                <w:b/>
              </w:rPr>
            </w:pPr>
            <w:r w:rsidRPr="002C19BB">
              <w:rPr>
                <w:rFonts w:ascii="Arial" w:hAnsi="Arial" w:cs="Arial"/>
                <w:b/>
              </w:rPr>
              <w:t>Ineffective</w:t>
            </w:r>
            <w:r w:rsidR="008801C6">
              <w:rPr>
                <w:rFonts w:ascii="Arial" w:hAnsi="Arial" w:cs="Arial"/>
                <w:b/>
              </w:rPr>
              <w:br/>
              <w:t>(1-20% of optimum)</w:t>
            </w:r>
          </w:p>
        </w:tc>
        <w:tc>
          <w:tcPr>
            <w:tcW w:w="6724" w:type="dxa"/>
            <w:vAlign w:val="center"/>
          </w:tcPr>
          <w:p w14:paraId="07E9996A" w14:textId="28973009" w:rsidR="00CA4E79" w:rsidRPr="003D145B" w:rsidRDefault="003D145B" w:rsidP="003D145B">
            <w:pPr>
              <w:pStyle w:val="ListParagraph"/>
              <w:numPr>
                <w:ilvl w:val="0"/>
                <w:numId w:val="13"/>
              </w:numPr>
              <w:tabs>
                <w:tab w:val="clear" w:pos="720"/>
                <w:tab w:val="num" w:pos="459"/>
              </w:tabs>
              <w:ind w:left="459" w:hanging="426"/>
              <w:rPr>
                <w:rFonts w:ascii="Arial" w:hAnsi="Arial" w:cs="Arial"/>
              </w:rPr>
            </w:pPr>
            <w:r w:rsidRPr="003D145B">
              <w:rPr>
                <w:rFonts w:ascii="Arial" w:hAnsi="Arial" w:cs="Arial"/>
              </w:rPr>
              <w:t>Environment scanning and international collaboration are not undertaken.</w:t>
            </w:r>
          </w:p>
        </w:tc>
      </w:tr>
    </w:tbl>
    <w:p w14:paraId="538AFFFA" w14:textId="77777777" w:rsidR="00CA4E79" w:rsidRDefault="00CA4E79" w:rsidP="00CA4E79">
      <w:pPr>
        <w:rPr>
          <w:rFonts w:ascii="Arial" w:hAnsi="Arial" w:cs="Arial"/>
        </w:rPr>
      </w:pPr>
    </w:p>
    <w:p w14:paraId="13C3C1EB" w14:textId="77777777" w:rsidR="00AC0354" w:rsidRDefault="00AC0354">
      <w:pPr>
        <w:rPr>
          <w:rFonts w:ascii="Arial" w:hAnsi="Arial" w:cs="Arial"/>
          <w:b/>
          <w:color w:val="1F497D" w:themeColor="text2"/>
        </w:rPr>
      </w:pPr>
      <w:r>
        <w:rPr>
          <w:rFonts w:ascii="Arial" w:hAnsi="Arial" w:cs="Arial"/>
          <w:b/>
          <w:color w:val="1F497D" w:themeColor="text2"/>
        </w:rPr>
        <w:br w:type="page"/>
      </w:r>
    </w:p>
    <w:p w14:paraId="5EABFD43" w14:textId="42CB7E94" w:rsidR="00CA4E79" w:rsidRPr="002314F7" w:rsidRDefault="00CA4E79" w:rsidP="002314F7">
      <w:pPr>
        <w:keepNext/>
        <w:pBdr>
          <w:top w:val="single" w:sz="8" w:space="1" w:color="1F497D" w:themeColor="text2"/>
          <w:left w:val="single" w:sz="8" w:space="4" w:color="1F497D" w:themeColor="text2"/>
        </w:pBdr>
        <w:ind w:left="992" w:hanging="992"/>
        <w:rPr>
          <w:rFonts w:ascii="Arial" w:hAnsi="Arial" w:cs="Arial"/>
          <w:b/>
          <w:color w:val="1F497D" w:themeColor="text2"/>
        </w:rPr>
      </w:pPr>
      <w:r w:rsidRPr="002314F7">
        <w:rPr>
          <w:rFonts w:ascii="Arial" w:hAnsi="Arial" w:cs="Arial"/>
          <w:b/>
          <w:color w:val="1F497D" w:themeColor="text2"/>
        </w:rPr>
        <w:lastRenderedPageBreak/>
        <w:t xml:space="preserve">KPI 2 – </w:t>
      </w:r>
      <w:r w:rsidR="002C19BB" w:rsidRPr="002314F7">
        <w:rPr>
          <w:rFonts w:ascii="Arial" w:hAnsi="Arial" w:cs="Arial"/>
          <w:b/>
          <w:color w:val="1F497D" w:themeColor="text2"/>
        </w:rPr>
        <w:tab/>
      </w:r>
      <w:r w:rsidRPr="002314F7">
        <w:rPr>
          <w:rFonts w:ascii="Arial" w:hAnsi="Arial" w:cs="Arial"/>
          <w:b/>
          <w:color w:val="1F497D" w:themeColor="text2"/>
        </w:rPr>
        <w:t>GBRMPA’s communication with regulated entities is clear, targeted and effective</w:t>
      </w:r>
    </w:p>
    <w:p w14:paraId="1217726D" w14:textId="77777777" w:rsidR="009332DD" w:rsidRPr="009332DD" w:rsidRDefault="009332DD" w:rsidP="002314F7">
      <w:pPr>
        <w:spacing w:before="120" w:after="60"/>
        <w:rPr>
          <w:rFonts w:ascii="Arial" w:hAnsi="Arial" w:cs="Arial"/>
          <w:i/>
        </w:rPr>
      </w:pPr>
      <w:r w:rsidRPr="009332DD">
        <w:rPr>
          <w:rFonts w:ascii="Arial" w:hAnsi="Arial" w:cs="Arial"/>
          <w:i/>
        </w:rPr>
        <w:t>Approved metrics</w:t>
      </w:r>
    </w:p>
    <w:p w14:paraId="146F5EF5" w14:textId="77777777" w:rsidR="00BE41F8" w:rsidRP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Demonstrated appropriate consultation with stakeholders prior to significant regulatory or policy changes.</w:t>
      </w:r>
    </w:p>
    <w:p w14:paraId="0F9AA17E" w14:textId="77777777" w:rsid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Decisions are accompanied by a statement of reasons and advice about relevant review or appeal mechanisms, where appropriate.</w:t>
      </w:r>
    </w:p>
    <w:p w14:paraId="774B432B" w14:textId="77777777" w:rsidR="002314F7" w:rsidRPr="00BE41F8" w:rsidRDefault="002314F7" w:rsidP="002314F7">
      <w:pPr>
        <w:shd w:val="clear" w:color="auto" w:fill="FFFFFF"/>
        <w:spacing w:after="120" w:line="240" w:lineRule="auto"/>
        <w:rPr>
          <w:rFonts w:ascii="Arial" w:eastAsia="Times New Roman" w:hAnsi="Arial" w:cs="Arial"/>
          <w:color w:val="333333"/>
          <w:lang w:val="en" w:eastAsia="en-AU"/>
        </w:rPr>
      </w:pPr>
    </w:p>
    <w:tbl>
      <w:tblPr>
        <w:tblStyle w:val="TableGrid"/>
        <w:tblW w:w="9242" w:type="dxa"/>
        <w:tblLook w:val="04A0" w:firstRow="1" w:lastRow="0" w:firstColumn="1" w:lastColumn="0" w:noHBand="0" w:noVBand="1"/>
      </w:tblPr>
      <w:tblGrid>
        <w:gridCol w:w="2518"/>
        <w:gridCol w:w="6724"/>
      </w:tblGrid>
      <w:tr w:rsidR="009332DD" w14:paraId="4750E4D3" w14:textId="77777777" w:rsidTr="00CA6231">
        <w:trPr>
          <w:cantSplit/>
        </w:trPr>
        <w:tc>
          <w:tcPr>
            <w:tcW w:w="2518" w:type="dxa"/>
            <w:shd w:val="clear" w:color="auto" w:fill="00B050"/>
            <w:vAlign w:val="center"/>
          </w:tcPr>
          <w:p w14:paraId="0AE28256" w14:textId="51347971" w:rsidR="009332DD" w:rsidRPr="002C19BB" w:rsidRDefault="009332DD" w:rsidP="00CA6231">
            <w:pPr>
              <w:spacing w:before="120" w:after="120"/>
              <w:rPr>
                <w:rFonts w:ascii="Arial" w:hAnsi="Arial" w:cs="Arial"/>
                <w:b/>
              </w:rPr>
            </w:pPr>
            <w:r w:rsidRPr="002C19BB">
              <w:rPr>
                <w:rFonts w:ascii="Arial" w:hAnsi="Arial" w:cs="Arial"/>
                <w:b/>
              </w:rPr>
              <w:t>Effective</w:t>
            </w:r>
            <w:r>
              <w:rPr>
                <w:rFonts w:ascii="Arial" w:hAnsi="Arial" w:cs="Arial"/>
                <w:b/>
              </w:rPr>
              <w:br/>
              <w:t>(81-100% of optimum)</w:t>
            </w:r>
          </w:p>
        </w:tc>
        <w:tc>
          <w:tcPr>
            <w:tcW w:w="6724" w:type="dxa"/>
            <w:vAlign w:val="center"/>
          </w:tcPr>
          <w:p w14:paraId="0236E4E8" w14:textId="35AEB79F" w:rsidR="009332DD" w:rsidRDefault="009332DD" w:rsidP="003D145B">
            <w:pPr>
              <w:pStyle w:val="ListParagraph"/>
              <w:numPr>
                <w:ilvl w:val="0"/>
                <w:numId w:val="13"/>
              </w:numPr>
              <w:tabs>
                <w:tab w:val="clear" w:pos="720"/>
                <w:tab w:val="num" w:pos="459"/>
              </w:tabs>
              <w:ind w:left="459" w:hanging="426"/>
              <w:rPr>
                <w:rFonts w:ascii="Arial" w:hAnsi="Arial" w:cs="Arial"/>
              </w:rPr>
            </w:pPr>
            <w:r>
              <w:rPr>
                <w:rFonts w:ascii="Arial" w:hAnsi="Arial" w:cs="Arial"/>
              </w:rPr>
              <w:t>Consultation with stakeholders is a required part of regulatory of policy change and this is adhered to in all circumstances.</w:t>
            </w:r>
          </w:p>
          <w:p w14:paraId="0DC485E2" w14:textId="6B95D4DF" w:rsidR="009332DD" w:rsidRDefault="009332DD" w:rsidP="003D145B">
            <w:pPr>
              <w:pStyle w:val="ListParagraph"/>
              <w:numPr>
                <w:ilvl w:val="0"/>
                <w:numId w:val="13"/>
              </w:numPr>
              <w:tabs>
                <w:tab w:val="clear" w:pos="720"/>
                <w:tab w:val="num" w:pos="459"/>
              </w:tabs>
              <w:ind w:left="459" w:hanging="426"/>
              <w:rPr>
                <w:rFonts w:ascii="Arial" w:hAnsi="Arial" w:cs="Arial"/>
              </w:rPr>
            </w:pPr>
            <w:r>
              <w:rPr>
                <w:rFonts w:ascii="Arial" w:hAnsi="Arial" w:cs="Arial"/>
              </w:rPr>
              <w:t xml:space="preserve">Information about regulatory decisions is routinely published. </w:t>
            </w:r>
          </w:p>
        </w:tc>
      </w:tr>
      <w:tr w:rsidR="009332DD" w14:paraId="7EB2AE92" w14:textId="77777777" w:rsidTr="00CA6231">
        <w:trPr>
          <w:cantSplit/>
        </w:trPr>
        <w:tc>
          <w:tcPr>
            <w:tcW w:w="2518" w:type="dxa"/>
            <w:shd w:val="clear" w:color="auto" w:fill="92D050"/>
            <w:vAlign w:val="center"/>
          </w:tcPr>
          <w:p w14:paraId="337599CB" w14:textId="6523C049" w:rsidR="009332DD" w:rsidRPr="002C19BB" w:rsidRDefault="009332DD" w:rsidP="00CA6231">
            <w:pPr>
              <w:spacing w:before="120" w:after="120"/>
              <w:rPr>
                <w:rFonts w:ascii="Arial" w:hAnsi="Arial" w:cs="Arial"/>
                <w:b/>
              </w:rPr>
            </w:pPr>
            <w:r w:rsidRPr="002C19BB">
              <w:rPr>
                <w:rFonts w:ascii="Arial" w:hAnsi="Arial" w:cs="Arial"/>
                <w:b/>
              </w:rPr>
              <w:t>Mostly effective</w:t>
            </w:r>
            <w:r>
              <w:rPr>
                <w:rFonts w:ascii="Arial" w:hAnsi="Arial" w:cs="Arial"/>
                <w:b/>
              </w:rPr>
              <w:br/>
              <w:t>(51-80% of optimum)</w:t>
            </w:r>
          </w:p>
        </w:tc>
        <w:tc>
          <w:tcPr>
            <w:tcW w:w="6724" w:type="dxa"/>
            <w:vAlign w:val="center"/>
          </w:tcPr>
          <w:p w14:paraId="12D354A6" w14:textId="4DDE557E" w:rsidR="009332DD" w:rsidRDefault="009332DD" w:rsidP="00192241">
            <w:pPr>
              <w:pStyle w:val="ListParagraph"/>
              <w:numPr>
                <w:ilvl w:val="0"/>
                <w:numId w:val="13"/>
              </w:numPr>
              <w:tabs>
                <w:tab w:val="clear" w:pos="720"/>
                <w:tab w:val="num" w:pos="459"/>
              </w:tabs>
              <w:ind w:left="459" w:hanging="426"/>
              <w:rPr>
                <w:rFonts w:ascii="Arial" w:hAnsi="Arial" w:cs="Arial"/>
              </w:rPr>
            </w:pPr>
            <w:r>
              <w:rPr>
                <w:rFonts w:ascii="Arial" w:hAnsi="Arial" w:cs="Arial"/>
              </w:rPr>
              <w:t>Consultation with stakeholders is a required part of regulatory of policy change and this is adhered to in the majority of circumstances.</w:t>
            </w:r>
          </w:p>
          <w:p w14:paraId="684A1FCB" w14:textId="3F4840ED" w:rsidR="009332DD" w:rsidRDefault="009332DD" w:rsidP="00192241">
            <w:pPr>
              <w:pStyle w:val="ListParagraph"/>
              <w:numPr>
                <w:ilvl w:val="0"/>
                <w:numId w:val="13"/>
              </w:numPr>
              <w:tabs>
                <w:tab w:val="clear" w:pos="720"/>
                <w:tab w:val="num" w:pos="459"/>
              </w:tabs>
              <w:ind w:left="459" w:hanging="426"/>
              <w:rPr>
                <w:rFonts w:ascii="Arial" w:hAnsi="Arial" w:cs="Arial"/>
              </w:rPr>
            </w:pPr>
            <w:r>
              <w:rPr>
                <w:rFonts w:ascii="Arial" w:hAnsi="Arial" w:cs="Arial"/>
              </w:rPr>
              <w:t>Information about regulatory decisions is made available if requested, or if there is significant stakeholder interest.</w:t>
            </w:r>
          </w:p>
        </w:tc>
      </w:tr>
      <w:tr w:rsidR="009332DD" w14:paraId="6E26CD33" w14:textId="77777777" w:rsidTr="00CA6231">
        <w:trPr>
          <w:cantSplit/>
        </w:trPr>
        <w:tc>
          <w:tcPr>
            <w:tcW w:w="2518" w:type="dxa"/>
            <w:shd w:val="clear" w:color="auto" w:fill="FFC000"/>
            <w:vAlign w:val="center"/>
          </w:tcPr>
          <w:p w14:paraId="31624B47" w14:textId="2794A15D" w:rsidR="009332DD" w:rsidRPr="002C19BB" w:rsidRDefault="009332DD" w:rsidP="00CA6231">
            <w:pPr>
              <w:spacing w:before="120" w:after="120"/>
              <w:rPr>
                <w:rFonts w:ascii="Arial" w:hAnsi="Arial" w:cs="Arial"/>
                <w:b/>
              </w:rPr>
            </w:pPr>
            <w:r w:rsidRPr="002C19BB">
              <w:rPr>
                <w:rFonts w:ascii="Arial" w:hAnsi="Arial" w:cs="Arial"/>
                <w:b/>
              </w:rPr>
              <w:t>Partially effective</w:t>
            </w:r>
            <w:r>
              <w:rPr>
                <w:rFonts w:ascii="Arial" w:hAnsi="Arial" w:cs="Arial"/>
                <w:b/>
              </w:rPr>
              <w:br/>
              <w:t>(21-50% of optimum)</w:t>
            </w:r>
          </w:p>
        </w:tc>
        <w:tc>
          <w:tcPr>
            <w:tcW w:w="6724" w:type="dxa"/>
            <w:vAlign w:val="center"/>
          </w:tcPr>
          <w:p w14:paraId="5A75C9D1" w14:textId="25EAE8B1" w:rsidR="009332DD" w:rsidRDefault="009332DD" w:rsidP="00C46391">
            <w:pPr>
              <w:pStyle w:val="ListParagraph"/>
              <w:numPr>
                <w:ilvl w:val="0"/>
                <w:numId w:val="13"/>
              </w:numPr>
              <w:tabs>
                <w:tab w:val="clear" w:pos="720"/>
                <w:tab w:val="num" w:pos="459"/>
              </w:tabs>
              <w:ind w:left="459" w:hanging="426"/>
              <w:rPr>
                <w:rFonts w:ascii="Arial" w:hAnsi="Arial" w:cs="Arial"/>
              </w:rPr>
            </w:pPr>
            <w:r>
              <w:rPr>
                <w:rFonts w:ascii="Arial" w:hAnsi="Arial" w:cs="Arial"/>
              </w:rPr>
              <w:t>Consultation with stakeholders is a required part of regulatory of policy change and this is adhered to in some circumstances.</w:t>
            </w:r>
          </w:p>
          <w:p w14:paraId="5A363F4A" w14:textId="06726158" w:rsidR="009332DD" w:rsidRDefault="009332DD" w:rsidP="003D145B">
            <w:pPr>
              <w:pStyle w:val="ListParagraph"/>
              <w:numPr>
                <w:ilvl w:val="0"/>
                <w:numId w:val="13"/>
              </w:numPr>
              <w:tabs>
                <w:tab w:val="clear" w:pos="720"/>
                <w:tab w:val="num" w:pos="459"/>
              </w:tabs>
              <w:ind w:left="459" w:hanging="426"/>
              <w:rPr>
                <w:rFonts w:ascii="Arial" w:hAnsi="Arial" w:cs="Arial"/>
              </w:rPr>
            </w:pPr>
            <w:r>
              <w:rPr>
                <w:rFonts w:ascii="Arial" w:hAnsi="Arial" w:cs="Arial"/>
              </w:rPr>
              <w:t>Some information about regulatory decisions is made available</w:t>
            </w:r>
          </w:p>
        </w:tc>
      </w:tr>
      <w:tr w:rsidR="009332DD" w14:paraId="60E68471" w14:textId="77777777" w:rsidTr="00CA6231">
        <w:trPr>
          <w:cantSplit/>
        </w:trPr>
        <w:tc>
          <w:tcPr>
            <w:tcW w:w="2518" w:type="dxa"/>
            <w:shd w:val="clear" w:color="auto" w:fill="FF0000"/>
            <w:vAlign w:val="center"/>
          </w:tcPr>
          <w:p w14:paraId="114232A3" w14:textId="0BFF3565" w:rsidR="009332DD" w:rsidRPr="002C19BB" w:rsidRDefault="009332DD" w:rsidP="00CA6231">
            <w:pPr>
              <w:spacing w:before="120" w:after="120"/>
              <w:rPr>
                <w:rFonts w:ascii="Arial" w:hAnsi="Arial" w:cs="Arial"/>
                <w:b/>
              </w:rPr>
            </w:pPr>
            <w:r w:rsidRPr="002C19BB">
              <w:rPr>
                <w:rFonts w:ascii="Arial" w:hAnsi="Arial" w:cs="Arial"/>
                <w:b/>
              </w:rPr>
              <w:t>Ineffective</w:t>
            </w:r>
            <w:r>
              <w:rPr>
                <w:rFonts w:ascii="Arial" w:hAnsi="Arial" w:cs="Arial"/>
                <w:b/>
              </w:rPr>
              <w:br/>
              <w:t>(1-20% of optimum)</w:t>
            </w:r>
          </w:p>
        </w:tc>
        <w:tc>
          <w:tcPr>
            <w:tcW w:w="6724" w:type="dxa"/>
            <w:vAlign w:val="center"/>
          </w:tcPr>
          <w:p w14:paraId="16B961B8" w14:textId="23E0BB10" w:rsidR="009332DD" w:rsidRDefault="009332DD" w:rsidP="003D145B">
            <w:pPr>
              <w:pStyle w:val="ListParagraph"/>
              <w:numPr>
                <w:ilvl w:val="0"/>
                <w:numId w:val="13"/>
              </w:numPr>
              <w:tabs>
                <w:tab w:val="clear" w:pos="720"/>
                <w:tab w:val="num" w:pos="459"/>
              </w:tabs>
              <w:ind w:left="459" w:hanging="426"/>
              <w:rPr>
                <w:rFonts w:ascii="Arial" w:hAnsi="Arial" w:cs="Arial"/>
              </w:rPr>
            </w:pPr>
            <w:r>
              <w:rPr>
                <w:rFonts w:ascii="Arial" w:hAnsi="Arial" w:cs="Arial"/>
              </w:rPr>
              <w:t>Consultation with stakeholders does not occur and information about regulatory decisions is not made available.</w:t>
            </w:r>
          </w:p>
        </w:tc>
      </w:tr>
    </w:tbl>
    <w:p w14:paraId="2E96ABF0" w14:textId="77777777" w:rsidR="002C19BB" w:rsidRDefault="002C19BB" w:rsidP="00CA4E79">
      <w:pPr>
        <w:rPr>
          <w:rFonts w:ascii="Arial" w:hAnsi="Arial" w:cs="Arial"/>
        </w:rPr>
      </w:pPr>
    </w:p>
    <w:p w14:paraId="7B1102DB" w14:textId="77777777" w:rsidR="00AC0354" w:rsidRDefault="00AC0354">
      <w:pPr>
        <w:rPr>
          <w:rFonts w:ascii="Arial" w:hAnsi="Arial" w:cs="Arial"/>
          <w:b/>
          <w:color w:val="1F497D" w:themeColor="text2"/>
        </w:rPr>
      </w:pPr>
      <w:r>
        <w:rPr>
          <w:rFonts w:ascii="Arial" w:hAnsi="Arial" w:cs="Arial"/>
          <w:b/>
          <w:color w:val="1F497D" w:themeColor="text2"/>
        </w:rPr>
        <w:br w:type="page"/>
      </w:r>
    </w:p>
    <w:p w14:paraId="071FE370" w14:textId="5513FE56" w:rsidR="00CA4E79" w:rsidRPr="002314F7" w:rsidRDefault="00CA4E79" w:rsidP="002314F7">
      <w:pPr>
        <w:keepNext/>
        <w:pBdr>
          <w:top w:val="single" w:sz="8" w:space="1" w:color="1F497D" w:themeColor="text2"/>
          <w:left w:val="single" w:sz="8" w:space="4" w:color="1F497D" w:themeColor="text2"/>
        </w:pBdr>
        <w:ind w:left="992" w:hanging="992"/>
        <w:rPr>
          <w:rFonts w:ascii="Arial" w:hAnsi="Arial" w:cs="Arial"/>
          <w:b/>
          <w:color w:val="1F497D" w:themeColor="text2"/>
        </w:rPr>
      </w:pPr>
      <w:r w:rsidRPr="002314F7">
        <w:rPr>
          <w:rFonts w:ascii="Arial" w:hAnsi="Arial" w:cs="Arial"/>
          <w:b/>
          <w:color w:val="1F497D" w:themeColor="text2"/>
        </w:rPr>
        <w:lastRenderedPageBreak/>
        <w:t xml:space="preserve">KPI 3 - </w:t>
      </w:r>
      <w:r w:rsidR="002C19BB" w:rsidRPr="002314F7">
        <w:rPr>
          <w:rFonts w:ascii="Arial" w:hAnsi="Arial" w:cs="Arial"/>
          <w:b/>
          <w:color w:val="1F497D" w:themeColor="text2"/>
        </w:rPr>
        <w:tab/>
      </w:r>
      <w:r w:rsidRPr="002314F7">
        <w:rPr>
          <w:rFonts w:ascii="Arial" w:hAnsi="Arial" w:cs="Arial"/>
          <w:b/>
          <w:color w:val="1F497D" w:themeColor="text2"/>
        </w:rPr>
        <w:t>Actions undertaken by GBRMPA are proportionate to the regulatory risk being managed</w:t>
      </w:r>
    </w:p>
    <w:p w14:paraId="64ADADB2" w14:textId="77777777" w:rsidR="009332DD" w:rsidRPr="009332DD" w:rsidRDefault="009332DD" w:rsidP="002314F7">
      <w:pPr>
        <w:spacing w:before="120" w:after="60"/>
        <w:rPr>
          <w:rFonts w:ascii="Arial" w:hAnsi="Arial" w:cs="Arial"/>
          <w:i/>
        </w:rPr>
      </w:pPr>
      <w:r w:rsidRPr="009332DD">
        <w:rPr>
          <w:rFonts w:ascii="Arial" w:hAnsi="Arial" w:cs="Arial"/>
          <w:i/>
        </w:rPr>
        <w:t>Approved metrics</w:t>
      </w:r>
    </w:p>
    <w:p w14:paraId="137BDB40" w14:textId="77777777" w:rsidR="00BE41F8" w:rsidRP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Demonstrated engagement with regulated entities to inform them of the regulators’ expectations.</w:t>
      </w:r>
    </w:p>
    <w:p w14:paraId="1196DDED" w14:textId="77777777" w:rsidR="00BE41F8" w:rsidRP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Risk management policies and procedures are available to regulator staff and the public.</w:t>
      </w:r>
    </w:p>
    <w:p w14:paraId="63CC7EFF" w14:textId="77777777" w:rsid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Documented enforcement strategy which allows for the compliance records of regulated entities to be considered in determining regulatory actions.</w:t>
      </w:r>
    </w:p>
    <w:p w14:paraId="44F2D2B5" w14:textId="77777777" w:rsidR="002314F7" w:rsidRPr="00BE41F8" w:rsidRDefault="002314F7" w:rsidP="002314F7">
      <w:pPr>
        <w:shd w:val="clear" w:color="auto" w:fill="FFFFFF"/>
        <w:spacing w:after="120" w:line="240" w:lineRule="auto"/>
        <w:rPr>
          <w:rFonts w:ascii="Arial" w:eastAsia="Times New Roman" w:hAnsi="Arial" w:cs="Arial"/>
          <w:color w:val="333333"/>
          <w:lang w:val="en" w:eastAsia="en-AU"/>
        </w:rPr>
      </w:pPr>
    </w:p>
    <w:tbl>
      <w:tblPr>
        <w:tblStyle w:val="TableGrid"/>
        <w:tblW w:w="9242" w:type="dxa"/>
        <w:tblLook w:val="04A0" w:firstRow="1" w:lastRow="0" w:firstColumn="1" w:lastColumn="0" w:noHBand="0" w:noVBand="1"/>
      </w:tblPr>
      <w:tblGrid>
        <w:gridCol w:w="2235"/>
        <w:gridCol w:w="7007"/>
      </w:tblGrid>
      <w:tr w:rsidR="009332DD" w14:paraId="2208212E" w14:textId="77777777" w:rsidTr="00CA6231">
        <w:trPr>
          <w:cantSplit/>
        </w:trPr>
        <w:tc>
          <w:tcPr>
            <w:tcW w:w="2235" w:type="dxa"/>
            <w:shd w:val="clear" w:color="auto" w:fill="00B050"/>
            <w:vAlign w:val="center"/>
          </w:tcPr>
          <w:p w14:paraId="4EFD037C" w14:textId="72E876AB" w:rsidR="009332DD" w:rsidRPr="002C19BB" w:rsidRDefault="009332DD" w:rsidP="00CA6231">
            <w:pPr>
              <w:spacing w:before="120" w:after="120"/>
              <w:rPr>
                <w:rFonts w:ascii="Arial" w:hAnsi="Arial" w:cs="Arial"/>
                <w:b/>
              </w:rPr>
            </w:pPr>
            <w:r w:rsidRPr="002C19BB">
              <w:rPr>
                <w:rFonts w:ascii="Arial" w:hAnsi="Arial" w:cs="Arial"/>
                <w:b/>
              </w:rPr>
              <w:t>Effective</w:t>
            </w:r>
            <w:r>
              <w:rPr>
                <w:rFonts w:ascii="Arial" w:hAnsi="Arial" w:cs="Arial"/>
                <w:b/>
              </w:rPr>
              <w:br/>
              <w:t>(81-100% of optimum)</w:t>
            </w:r>
          </w:p>
        </w:tc>
        <w:tc>
          <w:tcPr>
            <w:tcW w:w="7007" w:type="dxa"/>
            <w:vAlign w:val="center"/>
          </w:tcPr>
          <w:p w14:paraId="33D62228" w14:textId="79DA1289" w:rsidR="009332DD" w:rsidRPr="009332DD" w:rsidRDefault="009332DD" w:rsidP="009332DD">
            <w:pPr>
              <w:pStyle w:val="ListParagraph"/>
              <w:numPr>
                <w:ilvl w:val="0"/>
                <w:numId w:val="13"/>
              </w:numPr>
              <w:tabs>
                <w:tab w:val="clear" w:pos="720"/>
                <w:tab w:val="num" w:pos="459"/>
              </w:tabs>
              <w:ind w:left="459" w:hanging="426"/>
              <w:rPr>
                <w:rFonts w:ascii="Arial" w:hAnsi="Arial" w:cs="Arial"/>
              </w:rPr>
            </w:pPr>
            <w:r w:rsidRPr="009332DD">
              <w:rPr>
                <w:rFonts w:ascii="Arial" w:hAnsi="Arial" w:cs="Arial"/>
              </w:rPr>
              <w:t>The</w:t>
            </w:r>
            <w:r w:rsidR="00F12365">
              <w:rPr>
                <w:rFonts w:ascii="Arial" w:hAnsi="Arial" w:cs="Arial"/>
              </w:rPr>
              <w:t>re is regular engagement</w:t>
            </w:r>
            <w:r w:rsidR="00F12365" w:rsidRPr="009332DD">
              <w:rPr>
                <w:rFonts w:ascii="Arial" w:hAnsi="Arial" w:cs="Arial"/>
              </w:rPr>
              <w:t xml:space="preserve"> </w:t>
            </w:r>
            <w:r w:rsidR="00F12365">
              <w:rPr>
                <w:rFonts w:ascii="Arial" w:hAnsi="Arial" w:cs="Arial"/>
              </w:rPr>
              <w:t xml:space="preserve">with the </w:t>
            </w:r>
            <w:r w:rsidRPr="009332DD">
              <w:rPr>
                <w:rFonts w:ascii="Arial" w:hAnsi="Arial" w:cs="Arial"/>
              </w:rPr>
              <w:t xml:space="preserve">regulated and wider community </w:t>
            </w:r>
            <w:r w:rsidR="00F12365">
              <w:rPr>
                <w:rFonts w:ascii="Arial" w:hAnsi="Arial" w:cs="Arial"/>
              </w:rPr>
              <w:t>so they have</w:t>
            </w:r>
            <w:r w:rsidRPr="009332DD">
              <w:rPr>
                <w:rFonts w:ascii="Arial" w:hAnsi="Arial" w:cs="Arial"/>
              </w:rPr>
              <w:t xml:space="preserve"> a clear understanding of GBRMPAs approach to regulation, compliance and enforcement.</w:t>
            </w:r>
          </w:p>
          <w:p w14:paraId="7A3DEF78" w14:textId="03CD8B0D" w:rsidR="009332DD" w:rsidRDefault="009332DD" w:rsidP="009332DD">
            <w:pPr>
              <w:pStyle w:val="ListParagraph"/>
              <w:numPr>
                <w:ilvl w:val="0"/>
                <w:numId w:val="13"/>
              </w:numPr>
              <w:tabs>
                <w:tab w:val="clear" w:pos="720"/>
                <w:tab w:val="num" w:pos="459"/>
              </w:tabs>
              <w:ind w:left="459" w:hanging="426"/>
              <w:rPr>
                <w:rFonts w:ascii="Arial" w:hAnsi="Arial" w:cs="Arial"/>
              </w:rPr>
            </w:pPr>
            <w:r w:rsidRPr="009332DD">
              <w:rPr>
                <w:rFonts w:ascii="Arial" w:hAnsi="Arial" w:cs="Arial"/>
              </w:rPr>
              <w:t xml:space="preserve">All regulatory staff </w:t>
            </w:r>
            <w:proofErr w:type="gramStart"/>
            <w:r w:rsidRPr="009332DD">
              <w:rPr>
                <w:rFonts w:ascii="Arial" w:hAnsi="Arial" w:cs="Arial"/>
              </w:rPr>
              <w:t>are</w:t>
            </w:r>
            <w:proofErr w:type="gramEnd"/>
            <w:r w:rsidRPr="009332DD">
              <w:rPr>
                <w:rFonts w:ascii="Arial" w:hAnsi="Arial" w:cs="Arial"/>
              </w:rPr>
              <w:t xml:space="preserve"> trained to undertake a risk based approach to regulation</w:t>
            </w:r>
            <w:r w:rsidR="00F12365">
              <w:rPr>
                <w:rFonts w:ascii="Arial" w:hAnsi="Arial" w:cs="Arial"/>
              </w:rPr>
              <w:t xml:space="preserve"> and this is consistently applied</w:t>
            </w:r>
            <w:r w:rsidRPr="009332DD">
              <w:rPr>
                <w:rFonts w:ascii="Arial" w:hAnsi="Arial" w:cs="Arial"/>
              </w:rPr>
              <w:t>.</w:t>
            </w:r>
          </w:p>
          <w:p w14:paraId="17548F3F" w14:textId="2F17632A" w:rsidR="009332DD" w:rsidRDefault="009332DD" w:rsidP="009332DD">
            <w:pPr>
              <w:pStyle w:val="ListParagraph"/>
              <w:numPr>
                <w:ilvl w:val="0"/>
                <w:numId w:val="13"/>
              </w:numPr>
              <w:tabs>
                <w:tab w:val="clear" w:pos="720"/>
                <w:tab w:val="num" w:pos="459"/>
              </w:tabs>
              <w:ind w:left="459" w:hanging="426"/>
              <w:rPr>
                <w:rFonts w:ascii="Arial" w:hAnsi="Arial" w:cs="Arial"/>
              </w:rPr>
            </w:pPr>
            <w:r w:rsidRPr="009332DD">
              <w:rPr>
                <w:rFonts w:ascii="Arial" w:hAnsi="Arial" w:cs="Arial"/>
              </w:rPr>
              <w:t>GBRMPA’s regulatory approach is supported by a published compliance and enforcement policy that outline</w:t>
            </w:r>
            <w:r w:rsidR="00F12365">
              <w:rPr>
                <w:rFonts w:ascii="Arial" w:hAnsi="Arial" w:cs="Arial"/>
              </w:rPr>
              <w:t>s a graduated response to these</w:t>
            </w:r>
            <w:r w:rsidRPr="009332DD">
              <w:rPr>
                <w:rFonts w:ascii="Arial" w:hAnsi="Arial" w:cs="Arial"/>
              </w:rPr>
              <w:t xml:space="preserve"> activities and is regularly showcased and recognised as best practice in the sector</w:t>
            </w:r>
          </w:p>
        </w:tc>
      </w:tr>
      <w:tr w:rsidR="009332DD" w14:paraId="204A62FB" w14:textId="77777777" w:rsidTr="00CA6231">
        <w:trPr>
          <w:cantSplit/>
        </w:trPr>
        <w:tc>
          <w:tcPr>
            <w:tcW w:w="2235" w:type="dxa"/>
            <w:shd w:val="clear" w:color="auto" w:fill="92D050"/>
            <w:vAlign w:val="center"/>
          </w:tcPr>
          <w:p w14:paraId="0E409F45" w14:textId="5B1D642C" w:rsidR="009332DD" w:rsidRPr="002C19BB" w:rsidRDefault="009332DD" w:rsidP="00CA6231">
            <w:pPr>
              <w:spacing w:before="120" w:after="120"/>
              <w:rPr>
                <w:rFonts w:ascii="Arial" w:hAnsi="Arial" w:cs="Arial"/>
                <w:b/>
              </w:rPr>
            </w:pPr>
            <w:r w:rsidRPr="002C19BB">
              <w:rPr>
                <w:rFonts w:ascii="Arial" w:hAnsi="Arial" w:cs="Arial"/>
                <w:b/>
              </w:rPr>
              <w:t>Mostly effective</w:t>
            </w:r>
            <w:r>
              <w:rPr>
                <w:rFonts w:ascii="Arial" w:hAnsi="Arial" w:cs="Arial"/>
                <w:b/>
              </w:rPr>
              <w:br/>
              <w:t>(51-80% of optimum)</w:t>
            </w:r>
          </w:p>
        </w:tc>
        <w:tc>
          <w:tcPr>
            <w:tcW w:w="7007" w:type="dxa"/>
            <w:vAlign w:val="center"/>
          </w:tcPr>
          <w:p w14:paraId="55FC9031" w14:textId="7E1C186F" w:rsidR="00886405" w:rsidRDefault="00886405" w:rsidP="00886405">
            <w:pPr>
              <w:pStyle w:val="ListParagraph"/>
              <w:numPr>
                <w:ilvl w:val="0"/>
                <w:numId w:val="13"/>
              </w:numPr>
              <w:tabs>
                <w:tab w:val="clear" w:pos="720"/>
                <w:tab w:val="num" w:pos="459"/>
              </w:tabs>
              <w:ind w:left="459" w:hanging="426"/>
              <w:rPr>
                <w:rFonts w:ascii="Arial" w:hAnsi="Arial" w:cs="Arial"/>
              </w:rPr>
            </w:pPr>
            <w:r>
              <w:rPr>
                <w:rFonts w:ascii="Arial" w:hAnsi="Arial" w:cs="Arial"/>
              </w:rPr>
              <w:t>Engagement with the regulated and wider community occurs at least than once a year.</w:t>
            </w:r>
          </w:p>
          <w:p w14:paraId="16E25669" w14:textId="77777777" w:rsidR="009332DD" w:rsidRDefault="00886405" w:rsidP="00886405">
            <w:pPr>
              <w:pStyle w:val="ListParagraph"/>
              <w:numPr>
                <w:ilvl w:val="0"/>
                <w:numId w:val="13"/>
              </w:numPr>
              <w:tabs>
                <w:tab w:val="clear" w:pos="720"/>
                <w:tab w:val="num" w:pos="459"/>
              </w:tabs>
              <w:ind w:left="459" w:hanging="426"/>
              <w:rPr>
                <w:rFonts w:ascii="Arial" w:hAnsi="Arial" w:cs="Arial"/>
              </w:rPr>
            </w:pPr>
            <w:r w:rsidRPr="009332DD">
              <w:rPr>
                <w:rFonts w:ascii="Arial" w:hAnsi="Arial" w:cs="Arial"/>
              </w:rPr>
              <w:t xml:space="preserve">All regulatory staff </w:t>
            </w:r>
            <w:proofErr w:type="gramStart"/>
            <w:r w:rsidR="009332DD" w:rsidRPr="00886405">
              <w:rPr>
                <w:rFonts w:ascii="Arial" w:hAnsi="Arial" w:cs="Arial"/>
              </w:rPr>
              <w:t>understand</w:t>
            </w:r>
            <w:proofErr w:type="gramEnd"/>
            <w:r w:rsidR="009332DD" w:rsidRPr="00886405">
              <w:rPr>
                <w:rFonts w:ascii="Arial" w:hAnsi="Arial" w:cs="Arial"/>
              </w:rPr>
              <w:t xml:space="preserve"> the approach to risk based regulation and apply it in their day to day work.</w:t>
            </w:r>
          </w:p>
          <w:p w14:paraId="34D9BD92" w14:textId="20750E1D" w:rsidR="00886405" w:rsidRDefault="00DA7B7F" w:rsidP="006E3786">
            <w:pPr>
              <w:pStyle w:val="ListParagraph"/>
              <w:numPr>
                <w:ilvl w:val="0"/>
                <w:numId w:val="13"/>
              </w:numPr>
              <w:tabs>
                <w:tab w:val="clear" w:pos="720"/>
                <w:tab w:val="num" w:pos="459"/>
              </w:tabs>
              <w:ind w:left="459" w:hanging="426"/>
              <w:rPr>
                <w:rFonts w:ascii="Arial" w:hAnsi="Arial" w:cs="Arial"/>
              </w:rPr>
            </w:pPr>
            <w:r>
              <w:rPr>
                <w:rFonts w:ascii="Arial" w:hAnsi="Arial" w:cs="Arial"/>
              </w:rPr>
              <w:t>Risk management policy</w:t>
            </w:r>
            <w:r w:rsidR="006E3786">
              <w:rPr>
                <w:rFonts w:ascii="Arial" w:hAnsi="Arial" w:cs="Arial"/>
              </w:rPr>
              <w:t>,</w:t>
            </w:r>
            <w:r>
              <w:rPr>
                <w:rFonts w:ascii="Arial" w:hAnsi="Arial" w:cs="Arial"/>
              </w:rPr>
              <w:t xml:space="preserve"> and compliance and enforcement strategy are in place to assist in </w:t>
            </w:r>
            <w:r w:rsidR="006E3786">
              <w:rPr>
                <w:rFonts w:ascii="Arial" w:hAnsi="Arial" w:cs="Arial"/>
              </w:rPr>
              <w:t>ensuring</w:t>
            </w:r>
            <w:r>
              <w:rPr>
                <w:rFonts w:ascii="Arial" w:hAnsi="Arial" w:cs="Arial"/>
              </w:rPr>
              <w:t xml:space="preserve"> GBRMPAs actions are proportionate to the risk being managed.</w:t>
            </w:r>
          </w:p>
        </w:tc>
      </w:tr>
      <w:tr w:rsidR="009332DD" w14:paraId="4C883490" w14:textId="77777777" w:rsidTr="00CA6231">
        <w:trPr>
          <w:cantSplit/>
        </w:trPr>
        <w:tc>
          <w:tcPr>
            <w:tcW w:w="2235" w:type="dxa"/>
            <w:shd w:val="clear" w:color="auto" w:fill="FFC000"/>
            <w:vAlign w:val="center"/>
          </w:tcPr>
          <w:p w14:paraId="1FD9387F" w14:textId="1198D51D" w:rsidR="009332DD" w:rsidRPr="002C19BB" w:rsidRDefault="009332DD" w:rsidP="00CA6231">
            <w:pPr>
              <w:spacing w:before="120" w:after="120"/>
              <w:rPr>
                <w:rFonts w:ascii="Arial" w:hAnsi="Arial" w:cs="Arial"/>
                <w:b/>
              </w:rPr>
            </w:pPr>
            <w:r w:rsidRPr="002C19BB">
              <w:rPr>
                <w:rFonts w:ascii="Arial" w:hAnsi="Arial" w:cs="Arial"/>
                <w:b/>
              </w:rPr>
              <w:t>Partially effective</w:t>
            </w:r>
            <w:r>
              <w:rPr>
                <w:rFonts w:ascii="Arial" w:hAnsi="Arial" w:cs="Arial"/>
                <w:b/>
              </w:rPr>
              <w:br/>
              <w:t>(21-50% of optimum)</w:t>
            </w:r>
          </w:p>
        </w:tc>
        <w:tc>
          <w:tcPr>
            <w:tcW w:w="7007" w:type="dxa"/>
            <w:vAlign w:val="center"/>
          </w:tcPr>
          <w:p w14:paraId="5317A1AF" w14:textId="25C799B1" w:rsidR="00886405" w:rsidRDefault="00886405" w:rsidP="00886405">
            <w:pPr>
              <w:pStyle w:val="ListParagraph"/>
              <w:numPr>
                <w:ilvl w:val="0"/>
                <w:numId w:val="13"/>
              </w:numPr>
              <w:tabs>
                <w:tab w:val="clear" w:pos="720"/>
                <w:tab w:val="num" w:pos="459"/>
              </w:tabs>
              <w:ind w:left="459" w:hanging="426"/>
              <w:rPr>
                <w:rFonts w:ascii="Arial" w:hAnsi="Arial" w:cs="Arial"/>
              </w:rPr>
            </w:pPr>
            <w:r>
              <w:rPr>
                <w:rFonts w:ascii="Arial" w:hAnsi="Arial" w:cs="Arial"/>
              </w:rPr>
              <w:t>Engagement with the regulated and wider community occurs less than once a year.</w:t>
            </w:r>
          </w:p>
          <w:p w14:paraId="369631D7" w14:textId="53CD4FBF" w:rsidR="00886405" w:rsidRDefault="00886405" w:rsidP="00886405">
            <w:pPr>
              <w:pStyle w:val="ListParagraph"/>
              <w:numPr>
                <w:ilvl w:val="0"/>
                <w:numId w:val="13"/>
              </w:numPr>
              <w:tabs>
                <w:tab w:val="clear" w:pos="720"/>
                <w:tab w:val="num" w:pos="459"/>
              </w:tabs>
              <w:ind w:left="459" w:hanging="426"/>
              <w:rPr>
                <w:rFonts w:ascii="Arial" w:hAnsi="Arial" w:cs="Arial"/>
              </w:rPr>
            </w:pPr>
            <w:r>
              <w:rPr>
                <w:rFonts w:ascii="Arial" w:hAnsi="Arial" w:cs="Arial"/>
              </w:rPr>
              <w:t>Less than half of GBRMPA’s</w:t>
            </w:r>
            <w:r w:rsidRPr="009332DD">
              <w:rPr>
                <w:rFonts w:ascii="Arial" w:hAnsi="Arial" w:cs="Arial"/>
              </w:rPr>
              <w:t xml:space="preserve"> regulatory staff </w:t>
            </w:r>
            <w:proofErr w:type="gramStart"/>
            <w:r w:rsidRPr="00886405">
              <w:rPr>
                <w:rFonts w:ascii="Arial" w:hAnsi="Arial" w:cs="Arial"/>
              </w:rPr>
              <w:t>understand</w:t>
            </w:r>
            <w:proofErr w:type="gramEnd"/>
            <w:r w:rsidRPr="00886405">
              <w:rPr>
                <w:rFonts w:ascii="Arial" w:hAnsi="Arial" w:cs="Arial"/>
              </w:rPr>
              <w:t xml:space="preserve"> the approach to risk based regulation and apply it in their day to day work</w:t>
            </w:r>
            <w:r w:rsidRPr="009332DD">
              <w:rPr>
                <w:rFonts w:ascii="Arial" w:hAnsi="Arial" w:cs="Arial"/>
              </w:rPr>
              <w:t>.</w:t>
            </w:r>
          </w:p>
          <w:p w14:paraId="5A8C1ED8" w14:textId="0AC47DE4" w:rsidR="009332DD" w:rsidRDefault="00886405" w:rsidP="00886405">
            <w:pPr>
              <w:pStyle w:val="ListParagraph"/>
              <w:numPr>
                <w:ilvl w:val="0"/>
                <w:numId w:val="13"/>
              </w:numPr>
              <w:tabs>
                <w:tab w:val="clear" w:pos="720"/>
                <w:tab w:val="num" w:pos="459"/>
              </w:tabs>
              <w:ind w:left="459" w:hanging="426"/>
              <w:rPr>
                <w:rFonts w:ascii="Arial" w:hAnsi="Arial" w:cs="Arial"/>
              </w:rPr>
            </w:pPr>
            <w:r>
              <w:rPr>
                <w:rFonts w:ascii="Arial" w:hAnsi="Arial" w:cs="Arial"/>
              </w:rPr>
              <w:t xml:space="preserve">Risk management, compliance and enforcement approach are </w:t>
            </w:r>
            <w:r w:rsidR="00DA7B7F">
              <w:rPr>
                <w:rFonts w:ascii="Arial" w:hAnsi="Arial" w:cs="Arial"/>
              </w:rPr>
              <w:t>in development, under review, or</w:t>
            </w:r>
            <w:r>
              <w:rPr>
                <w:rFonts w:ascii="Arial" w:hAnsi="Arial" w:cs="Arial"/>
              </w:rPr>
              <w:t xml:space="preserve"> are not yet implemented consistently by regulatory staff.</w:t>
            </w:r>
          </w:p>
        </w:tc>
      </w:tr>
      <w:tr w:rsidR="009332DD" w14:paraId="2F29975E" w14:textId="77777777" w:rsidTr="00CA6231">
        <w:trPr>
          <w:cantSplit/>
        </w:trPr>
        <w:tc>
          <w:tcPr>
            <w:tcW w:w="2235" w:type="dxa"/>
            <w:shd w:val="clear" w:color="auto" w:fill="FF0000"/>
            <w:vAlign w:val="center"/>
          </w:tcPr>
          <w:p w14:paraId="6A18023C" w14:textId="2F3466F1" w:rsidR="009332DD" w:rsidRPr="002C19BB" w:rsidRDefault="009332DD" w:rsidP="00CA6231">
            <w:pPr>
              <w:spacing w:before="120" w:after="120"/>
              <w:rPr>
                <w:rFonts w:ascii="Arial" w:hAnsi="Arial" w:cs="Arial"/>
                <w:b/>
              </w:rPr>
            </w:pPr>
            <w:r w:rsidRPr="002C19BB">
              <w:rPr>
                <w:rFonts w:ascii="Arial" w:hAnsi="Arial" w:cs="Arial"/>
                <w:b/>
              </w:rPr>
              <w:t>Ineffective</w:t>
            </w:r>
            <w:r>
              <w:rPr>
                <w:rFonts w:ascii="Arial" w:hAnsi="Arial" w:cs="Arial"/>
                <w:b/>
              </w:rPr>
              <w:br/>
              <w:t>(1-20% of optimum)</w:t>
            </w:r>
          </w:p>
        </w:tc>
        <w:tc>
          <w:tcPr>
            <w:tcW w:w="7007" w:type="dxa"/>
            <w:vAlign w:val="center"/>
          </w:tcPr>
          <w:p w14:paraId="144B3F56" w14:textId="77777777" w:rsidR="008E4A92" w:rsidRDefault="008E4A92" w:rsidP="003D145B">
            <w:pPr>
              <w:pStyle w:val="ListParagraph"/>
              <w:numPr>
                <w:ilvl w:val="0"/>
                <w:numId w:val="13"/>
              </w:numPr>
              <w:tabs>
                <w:tab w:val="clear" w:pos="720"/>
                <w:tab w:val="num" w:pos="459"/>
              </w:tabs>
              <w:ind w:left="459" w:hanging="426"/>
              <w:rPr>
                <w:rFonts w:ascii="Arial" w:hAnsi="Arial" w:cs="Arial"/>
              </w:rPr>
            </w:pPr>
            <w:r>
              <w:rPr>
                <w:rFonts w:ascii="Arial" w:hAnsi="Arial" w:cs="Arial"/>
              </w:rPr>
              <w:t>Engagement with the regulated and wider community does not occur.</w:t>
            </w:r>
          </w:p>
          <w:p w14:paraId="02B6856F" w14:textId="6A2DCC2E" w:rsidR="009332DD" w:rsidRPr="008E4A92" w:rsidRDefault="008E4A92" w:rsidP="006E3786">
            <w:pPr>
              <w:pStyle w:val="ListParagraph"/>
              <w:numPr>
                <w:ilvl w:val="0"/>
                <w:numId w:val="13"/>
              </w:numPr>
              <w:tabs>
                <w:tab w:val="clear" w:pos="720"/>
                <w:tab w:val="num" w:pos="459"/>
              </w:tabs>
              <w:ind w:left="459" w:hanging="426"/>
              <w:rPr>
                <w:rFonts w:ascii="Arial" w:hAnsi="Arial" w:cs="Arial"/>
              </w:rPr>
            </w:pPr>
            <w:r>
              <w:rPr>
                <w:rFonts w:ascii="Arial" w:hAnsi="Arial" w:cs="Arial"/>
              </w:rPr>
              <w:t xml:space="preserve">No risk management policy or compliance and enforcement strategy are in place to assist in </w:t>
            </w:r>
            <w:r w:rsidR="006E3786">
              <w:rPr>
                <w:rFonts w:ascii="Arial" w:hAnsi="Arial" w:cs="Arial"/>
              </w:rPr>
              <w:t xml:space="preserve">ensuring </w:t>
            </w:r>
            <w:r>
              <w:rPr>
                <w:rFonts w:ascii="Arial" w:hAnsi="Arial" w:cs="Arial"/>
              </w:rPr>
              <w:t>GBRMPAs actions are proportionate to the risk being managed.</w:t>
            </w:r>
          </w:p>
        </w:tc>
      </w:tr>
    </w:tbl>
    <w:p w14:paraId="6816F7D6" w14:textId="5B6FD49B" w:rsidR="002C19BB" w:rsidRDefault="002C19BB" w:rsidP="00CA4E79">
      <w:pPr>
        <w:rPr>
          <w:rFonts w:ascii="Arial" w:hAnsi="Arial" w:cs="Arial"/>
        </w:rPr>
      </w:pPr>
    </w:p>
    <w:p w14:paraId="3DF1F347" w14:textId="77777777" w:rsidR="003E305E" w:rsidRDefault="003E305E">
      <w:pPr>
        <w:rPr>
          <w:rFonts w:ascii="Arial" w:hAnsi="Arial" w:cs="Arial"/>
          <w:b/>
          <w:color w:val="1F497D" w:themeColor="text2"/>
        </w:rPr>
      </w:pPr>
      <w:r>
        <w:rPr>
          <w:rFonts w:ascii="Arial" w:hAnsi="Arial" w:cs="Arial"/>
          <w:b/>
          <w:color w:val="1F497D" w:themeColor="text2"/>
        </w:rPr>
        <w:br w:type="page"/>
      </w:r>
    </w:p>
    <w:p w14:paraId="6D64FFF9" w14:textId="1C888F66" w:rsidR="00CA4E79" w:rsidRPr="002314F7" w:rsidRDefault="00CA4E79" w:rsidP="002314F7">
      <w:pPr>
        <w:keepNext/>
        <w:pBdr>
          <w:top w:val="single" w:sz="8" w:space="1" w:color="1F497D" w:themeColor="text2"/>
          <w:left w:val="single" w:sz="8" w:space="4" w:color="1F497D" w:themeColor="text2"/>
        </w:pBdr>
        <w:ind w:left="992" w:hanging="992"/>
        <w:rPr>
          <w:rFonts w:ascii="Arial" w:hAnsi="Arial" w:cs="Arial"/>
          <w:b/>
          <w:color w:val="1F497D" w:themeColor="text2"/>
        </w:rPr>
      </w:pPr>
      <w:r w:rsidRPr="002314F7">
        <w:rPr>
          <w:rFonts w:ascii="Arial" w:hAnsi="Arial" w:cs="Arial"/>
          <w:b/>
          <w:color w:val="1F497D" w:themeColor="text2"/>
        </w:rPr>
        <w:lastRenderedPageBreak/>
        <w:t xml:space="preserve">KPI 4 – </w:t>
      </w:r>
      <w:r w:rsidR="002C19BB" w:rsidRPr="002314F7">
        <w:rPr>
          <w:rFonts w:ascii="Arial" w:hAnsi="Arial" w:cs="Arial"/>
          <w:b/>
          <w:color w:val="1F497D" w:themeColor="text2"/>
        </w:rPr>
        <w:tab/>
      </w:r>
      <w:r w:rsidRPr="002314F7">
        <w:rPr>
          <w:rFonts w:ascii="Arial" w:hAnsi="Arial" w:cs="Arial"/>
          <w:b/>
          <w:color w:val="1F497D" w:themeColor="text2"/>
        </w:rPr>
        <w:t xml:space="preserve">GBRMPA’s compliance and monitoring approaches are streamlined and coordinated </w:t>
      </w:r>
    </w:p>
    <w:p w14:paraId="72196239" w14:textId="77777777" w:rsidR="009332DD" w:rsidRPr="009332DD" w:rsidRDefault="009332DD" w:rsidP="002314F7">
      <w:pPr>
        <w:spacing w:before="120" w:after="60"/>
        <w:rPr>
          <w:rFonts w:ascii="Arial" w:hAnsi="Arial" w:cs="Arial"/>
          <w:i/>
        </w:rPr>
      </w:pPr>
      <w:r w:rsidRPr="009332DD">
        <w:rPr>
          <w:rFonts w:ascii="Arial" w:hAnsi="Arial" w:cs="Arial"/>
          <w:i/>
        </w:rPr>
        <w:t>Approved metrics</w:t>
      </w:r>
    </w:p>
    <w:p w14:paraId="3DA528BF" w14:textId="77777777" w:rsidR="00BE41F8" w:rsidRP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Demonstrated effort to coordinate inspections with similar regulators, where appropriate.</w:t>
      </w:r>
    </w:p>
    <w:p w14:paraId="0418ED13" w14:textId="77777777" w:rsidR="00BE41F8" w:rsidRP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Evidence of collected information being acted upon, stored and re-used.</w:t>
      </w:r>
    </w:p>
    <w:p w14:paraId="4B4BA288" w14:textId="77777777" w:rsidR="00BE41F8" w:rsidRP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Demonstrated effort to share and receive information among regulators, where appropriate.</w:t>
      </w:r>
    </w:p>
    <w:p w14:paraId="2FA710D3" w14:textId="77777777" w:rsid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Monitoring and enforcement strategies that allow for a range of regulatory responses.</w:t>
      </w:r>
    </w:p>
    <w:p w14:paraId="4705518F" w14:textId="77777777" w:rsidR="002314F7" w:rsidRPr="00BE41F8" w:rsidRDefault="002314F7" w:rsidP="002314F7">
      <w:pPr>
        <w:shd w:val="clear" w:color="auto" w:fill="FFFFFF"/>
        <w:spacing w:after="120" w:line="240" w:lineRule="auto"/>
        <w:rPr>
          <w:rFonts w:ascii="Arial" w:eastAsia="Times New Roman" w:hAnsi="Arial" w:cs="Arial"/>
          <w:color w:val="333333"/>
          <w:lang w:val="en" w:eastAsia="en-AU"/>
        </w:rPr>
      </w:pPr>
    </w:p>
    <w:tbl>
      <w:tblPr>
        <w:tblStyle w:val="TableGrid"/>
        <w:tblW w:w="9242" w:type="dxa"/>
        <w:tblLook w:val="04A0" w:firstRow="1" w:lastRow="0" w:firstColumn="1" w:lastColumn="0" w:noHBand="0" w:noVBand="1"/>
      </w:tblPr>
      <w:tblGrid>
        <w:gridCol w:w="2235"/>
        <w:gridCol w:w="7007"/>
      </w:tblGrid>
      <w:tr w:rsidR="009332DD" w14:paraId="4495A57B" w14:textId="77777777" w:rsidTr="00CA6231">
        <w:trPr>
          <w:cantSplit/>
        </w:trPr>
        <w:tc>
          <w:tcPr>
            <w:tcW w:w="2235" w:type="dxa"/>
            <w:shd w:val="clear" w:color="auto" w:fill="00B050"/>
            <w:vAlign w:val="center"/>
          </w:tcPr>
          <w:p w14:paraId="53FD4961" w14:textId="4494D33D" w:rsidR="009332DD" w:rsidRPr="002C19BB" w:rsidRDefault="009332DD" w:rsidP="00CA6231">
            <w:pPr>
              <w:spacing w:before="120" w:after="120"/>
              <w:rPr>
                <w:rFonts w:ascii="Arial" w:hAnsi="Arial" w:cs="Arial"/>
                <w:b/>
              </w:rPr>
            </w:pPr>
            <w:r w:rsidRPr="002C19BB">
              <w:rPr>
                <w:rFonts w:ascii="Arial" w:hAnsi="Arial" w:cs="Arial"/>
                <w:b/>
              </w:rPr>
              <w:t>Effective</w:t>
            </w:r>
            <w:r>
              <w:rPr>
                <w:rFonts w:ascii="Arial" w:hAnsi="Arial" w:cs="Arial"/>
                <w:b/>
              </w:rPr>
              <w:br/>
              <w:t>(81-100% of optimum)</w:t>
            </w:r>
          </w:p>
        </w:tc>
        <w:tc>
          <w:tcPr>
            <w:tcW w:w="7007" w:type="dxa"/>
            <w:vAlign w:val="center"/>
          </w:tcPr>
          <w:p w14:paraId="009AB5F1" w14:textId="217638CE" w:rsidR="00B746FE" w:rsidRPr="006E3786" w:rsidRDefault="00B746FE" w:rsidP="001E5915">
            <w:pPr>
              <w:pStyle w:val="ListParagraph"/>
              <w:numPr>
                <w:ilvl w:val="0"/>
                <w:numId w:val="13"/>
              </w:numPr>
              <w:tabs>
                <w:tab w:val="clear" w:pos="720"/>
                <w:tab w:val="num" w:pos="459"/>
              </w:tabs>
              <w:ind w:left="459" w:hanging="426"/>
              <w:rPr>
                <w:rFonts w:ascii="Arial" w:hAnsi="Arial" w:cs="Arial"/>
              </w:rPr>
            </w:pPr>
            <w:r>
              <w:rPr>
                <w:rFonts w:ascii="Arial" w:hAnsi="Arial" w:cs="Arial"/>
              </w:rPr>
              <w:t>Partnerships</w:t>
            </w:r>
            <w:r w:rsidRPr="006E3786">
              <w:rPr>
                <w:rFonts w:ascii="Arial" w:hAnsi="Arial" w:cs="Arial"/>
              </w:rPr>
              <w:t xml:space="preserve"> are proactively built and maintained and are used to coordinate </w:t>
            </w:r>
            <w:r w:rsidR="007D1A0A">
              <w:rPr>
                <w:rFonts w:ascii="Arial" w:hAnsi="Arial" w:cs="Arial"/>
              </w:rPr>
              <w:t xml:space="preserve">regular </w:t>
            </w:r>
            <w:r>
              <w:rPr>
                <w:rFonts w:ascii="Arial" w:hAnsi="Arial" w:cs="Arial"/>
              </w:rPr>
              <w:t>inspections with similar regulators</w:t>
            </w:r>
            <w:r w:rsidRPr="006E3786">
              <w:rPr>
                <w:rFonts w:ascii="Arial" w:hAnsi="Arial" w:cs="Arial"/>
              </w:rPr>
              <w:t xml:space="preserve">.  </w:t>
            </w:r>
          </w:p>
          <w:p w14:paraId="53B986B0" w14:textId="77777777" w:rsidR="00B746FE" w:rsidRDefault="006E3786" w:rsidP="001E5915">
            <w:pPr>
              <w:pStyle w:val="ListParagraph"/>
              <w:numPr>
                <w:ilvl w:val="0"/>
                <w:numId w:val="13"/>
              </w:numPr>
              <w:tabs>
                <w:tab w:val="clear" w:pos="720"/>
                <w:tab w:val="num" w:pos="459"/>
              </w:tabs>
              <w:ind w:left="459" w:hanging="426"/>
              <w:rPr>
                <w:rFonts w:ascii="Arial" w:hAnsi="Arial" w:cs="Arial"/>
              </w:rPr>
            </w:pPr>
            <w:r w:rsidRPr="006E3786">
              <w:rPr>
                <w:rFonts w:ascii="Arial" w:hAnsi="Arial" w:cs="Arial"/>
              </w:rPr>
              <w:t xml:space="preserve">Clear processes and systems facilitate </w:t>
            </w:r>
            <w:r w:rsidR="00B746FE">
              <w:rPr>
                <w:rFonts w:ascii="Arial" w:hAnsi="Arial" w:cs="Arial"/>
              </w:rPr>
              <w:t>collection, storage and reuse of information.</w:t>
            </w:r>
          </w:p>
          <w:p w14:paraId="2AFB8CFE" w14:textId="50ACA9C1" w:rsidR="006E3786" w:rsidRPr="006E3786" w:rsidRDefault="00B746FE" w:rsidP="001E5915">
            <w:pPr>
              <w:pStyle w:val="ListParagraph"/>
              <w:numPr>
                <w:ilvl w:val="0"/>
                <w:numId w:val="13"/>
              </w:numPr>
              <w:tabs>
                <w:tab w:val="clear" w:pos="720"/>
                <w:tab w:val="num" w:pos="459"/>
              </w:tabs>
              <w:ind w:left="459" w:hanging="426"/>
              <w:rPr>
                <w:rFonts w:ascii="Arial" w:hAnsi="Arial" w:cs="Arial"/>
              </w:rPr>
            </w:pPr>
            <w:r>
              <w:rPr>
                <w:rFonts w:ascii="Arial" w:hAnsi="Arial" w:cs="Arial"/>
              </w:rPr>
              <w:t xml:space="preserve">Information exchange protocols are in place to enable </w:t>
            </w:r>
            <w:r w:rsidR="007D1A0A">
              <w:rPr>
                <w:rFonts w:ascii="Arial" w:hAnsi="Arial" w:cs="Arial"/>
              </w:rPr>
              <w:t xml:space="preserve">proactive </w:t>
            </w:r>
            <w:r>
              <w:rPr>
                <w:rFonts w:ascii="Arial" w:hAnsi="Arial" w:cs="Arial"/>
              </w:rPr>
              <w:t>exchange of information among regulatory partners</w:t>
            </w:r>
            <w:r w:rsidR="006E3786" w:rsidRPr="006E3786">
              <w:rPr>
                <w:rFonts w:ascii="Arial" w:hAnsi="Arial" w:cs="Arial"/>
              </w:rPr>
              <w:t xml:space="preserve">.  </w:t>
            </w:r>
          </w:p>
          <w:p w14:paraId="3F4E9422" w14:textId="225B6EEB" w:rsidR="009332DD" w:rsidRDefault="006E3786" w:rsidP="007D1A0A">
            <w:pPr>
              <w:pStyle w:val="ListParagraph"/>
              <w:numPr>
                <w:ilvl w:val="0"/>
                <w:numId w:val="13"/>
              </w:numPr>
              <w:tabs>
                <w:tab w:val="clear" w:pos="720"/>
                <w:tab w:val="num" w:pos="459"/>
              </w:tabs>
              <w:ind w:left="459" w:hanging="426"/>
              <w:rPr>
                <w:rFonts w:ascii="Arial" w:hAnsi="Arial" w:cs="Arial"/>
              </w:rPr>
            </w:pPr>
            <w:r w:rsidRPr="006E3786">
              <w:rPr>
                <w:rFonts w:ascii="Arial" w:hAnsi="Arial" w:cs="Arial"/>
              </w:rPr>
              <w:t>Monitoring</w:t>
            </w:r>
            <w:r w:rsidR="001E5915">
              <w:rPr>
                <w:rFonts w:ascii="Arial" w:hAnsi="Arial" w:cs="Arial"/>
              </w:rPr>
              <w:t>,</w:t>
            </w:r>
            <w:r w:rsidRPr="006E3786">
              <w:rPr>
                <w:rFonts w:ascii="Arial" w:hAnsi="Arial" w:cs="Arial"/>
              </w:rPr>
              <w:t xml:space="preserve"> compliance and enforcement regimes follow published guidelines and policies</w:t>
            </w:r>
            <w:r w:rsidR="007D1A0A">
              <w:rPr>
                <w:rFonts w:ascii="Arial" w:hAnsi="Arial" w:cs="Arial"/>
              </w:rPr>
              <w:t>,</w:t>
            </w:r>
            <w:r w:rsidRPr="006E3786">
              <w:rPr>
                <w:rFonts w:ascii="Arial" w:hAnsi="Arial" w:cs="Arial"/>
              </w:rPr>
              <w:t xml:space="preserve"> </w:t>
            </w:r>
            <w:r w:rsidR="00B746FE">
              <w:rPr>
                <w:rFonts w:ascii="Arial" w:hAnsi="Arial" w:cs="Arial"/>
              </w:rPr>
              <w:t>enable a range of responses</w:t>
            </w:r>
            <w:r w:rsidR="007D1A0A">
              <w:rPr>
                <w:rFonts w:ascii="Arial" w:hAnsi="Arial" w:cs="Arial"/>
              </w:rPr>
              <w:t xml:space="preserve"> and are applied consistently.</w:t>
            </w:r>
            <w:r w:rsidRPr="006E3786">
              <w:rPr>
                <w:rFonts w:ascii="Arial" w:hAnsi="Arial" w:cs="Arial"/>
              </w:rPr>
              <w:t xml:space="preserve">  </w:t>
            </w:r>
          </w:p>
        </w:tc>
      </w:tr>
      <w:tr w:rsidR="009332DD" w14:paraId="3A593557" w14:textId="77777777" w:rsidTr="00CA6231">
        <w:trPr>
          <w:cantSplit/>
        </w:trPr>
        <w:tc>
          <w:tcPr>
            <w:tcW w:w="2235" w:type="dxa"/>
            <w:shd w:val="clear" w:color="auto" w:fill="92D050"/>
            <w:vAlign w:val="center"/>
          </w:tcPr>
          <w:p w14:paraId="45E8E8EF" w14:textId="1C78A5AD" w:rsidR="009332DD" w:rsidRPr="002C19BB" w:rsidRDefault="009332DD" w:rsidP="00CA6231">
            <w:pPr>
              <w:spacing w:before="120" w:after="120"/>
              <w:rPr>
                <w:rFonts w:ascii="Arial" w:hAnsi="Arial" w:cs="Arial"/>
                <w:b/>
              </w:rPr>
            </w:pPr>
            <w:r w:rsidRPr="002C19BB">
              <w:rPr>
                <w:rFonts w:ascii="Arial" w:hAnsi="Arial" w:cs="Arial"/>
                <w:b/>
              </w:rPr>
              <w:t>Mostly effective</w:t>
            </w:r>
            <w:r>
              <w:rPr>
                <w:rFonts w:ascii="Arial" w:hAnsi="Arial" w:cs="Arial"/>
                <w:b/>
              </w:rPr>
              <w:br/>
              <w:t>(51-80% of optimum)</w:t>
            </w:r>
          </w:p>
        </w:tc>
        <w:tc>
          <w:tcPr>
            <w:tcW w:w="7007" w:type="dxa"/>
            <w:vAlign w:val="center"/>
          </w:tcPr>
          <w:p w14:paraId="135A9D3E" w14:textId="4F6DEC42" w:rsidR="001E5915" w:rsidRPr="006E3786" w:rsidRDefault="007D1A0A" w:rsidP="001E5915">
            <w:pPr>
              <w:pStyle w:val="ListParagraph"/>
              <w:numPr>
                <w:ilvl w:val="0"/>
                <w:numId w:val="13"/>
              </w:numPr>
              <w:tabs>
                <w:tab w:val="clear" w:pos="720"/>
                <w:tab w:val="num" w:pos="459"/>
              </w:tabs>
              <w:ind w:left="459" w:hanging="426"/>
              <w:rPr>
                <w:rFonts w:ascii="Arial" w:hAnsi="Arial" w:cs="Arial"/>
              </w:rPr>
            </w:pPr>
            <w:r>
              <w:rPr>
                <w:rFonts w:ascii="Arial" w:hAnsi="Arial" w:cs="Arial"/>
              </w:rPr>
              <w:t>P</w:t>
            </w:r>
            <w:r w:rsidR="001E5915">
              <w:rPr>
                <w:rFonts w:ascii="Arial" w:hAnsi="Arial" w:cs="Arial"/>
              </w:rPr>
              <w:t>artnerships</w:t>
            </w:r>
            <w:r w:rsidR="001E5915" w:rsidRPr="006E3786">
              <w:rPr>
                <w:rFonts w:ascii="Arial" w:hAnsi="Arial" w:cs="Arial"/>
              </w:rPr>
              <w:t xml:space="preserve"> are used to coordinate </w:t>
            </w:r>
            <w:r w:rsidR="001E5915">
              <w:rPr>
                <w:rFonts w:ascii="Arial" w:hAnsi="Arial" w:cs="Arial"/>
              </w:rPr>
              <w:t>inspections with similar regulators</w:t>
            </w:r>
            <w:r w:rsidR="001E5915" w:rsidRPr="006E3786">
              <w:rPr>
                <w:rFonts w:ascii="Arial" w:hAnsi="Arial" w:cs="Arial"/>
              </w:rPr>
              <w:t xml:space="preserve">.  </w:t>
            </w:r>
          </w:p>
          <w:p w14:paraId="164F02BB" w14:textId="72CA84F8" w:rsidR="001E5915" w:rsidRDefault="001E5915" w:rsidP="001E5915">
            <w:pPr>
              <w:pStyle w:val="ListParagraph"/>
              <w:numPr>
                <w:ilvl w:val="0"/>
                <w:numId w:val="13"/>
              </w:numPr>
              <w:tabs>
                <w:tab w:val="clear" w:pos="720"/>
                <w:tab w:val="num" w:pos="459"/>
              </w:tabs>
              <w:ind w:left="459" w:hanging="426"/>
              <w:rPr>
                <w:rFonts w:ascii="Arial" w:hAnsi="Arial" w:cs="Arial"/>
              </w:rPr>
            </w:pPr>
            <w:r w:rsidRPr="006E3786">
              <w:rPr>
                <w:rFonts w:ascii="Arial" w:hAnsi="Arial" w:cs="Arial"/>
              </w:rPr>
              <w:t xml:space="preserve">Clear processes and systems facilitate </w:t>
            </w:r>
            <w:r>
              <w:rPr>
                <w:rFonts w:ascii="Arial" w:hAnsi="Arial" w:cs="Arial"/>
              </w:rPr>
              <w:t>collection, storage and reuse of</w:t>
            </w:r>
            <w:r w:rsidR="004866CB">
              <w:rPr>
                <w:rFonts w:ascii="Arial" w:hAnsi="Arial" w:cs="Arial"/>
              </w:rPr>
              <w:t xml:space="preserve"> most</w:t>
            </w:r>
            <w:r>
              <w:rPr>
                <w:rFonts w:ascii="Arial" w:hAnsi="Arial" w:cs="Arial"/>
              </w:rPr>
              <w:t xml:space="preserve"> information.</w:t>
            </w:r>
          </w:p>
          <w:p w14:paraId="7028840A" w14:textId="4FABF66C" w:rsidR="001E5915" w:rsidRPr="006E3786" w:rsidRDefault="001E5915" w:rsidP="001E5915">
            <w:pPr>
              <w:pStyle w:val="ListParagraph"/>
              <w:numPr>
                <w:ilvl w:val="0"/>
                <w:numId w:val="13"/>
              </w:numPr>
              <w:tabs>
                <w:tab w:val="clear" w:pos="720"/>
                <w:tab w:val="num" w:pos="459"/>
              </w:tabs>
              <w:ind w:left="459" w:hanging="426"/>
              <w:rPr>
                <w:rFonts w:ascii="Arial" w:hAnsi="Arial" w:cs="Arial"/>
              </w:rPr>
            </w:pPr>
            <w:r>
              <w:rPr>
                <w:rFonts w:ascii="Arial" w:hAnsi="Arial" w:cs="Arial"/>
              </w:rPr>
              <w:t xml:space="preserve">Information exchange protocols are in place to enable exchange of </w:t>
            </w:r>
            <w:r w:rsidR="007D1A0A">
              <w:rPr>
                <w:rFonts w:ascii="Arial" w:hAnsi="Arial" w:cs="Arial"/>
              </w:rPr>
              <w:t xml:space="preserve">most </w:t>
            </w:r>
            <w:r>
              <w:rPr>
                <w:rFonts w:ascii="Arial" w:hAnsi="Arial" w:cs="Arial"/>
              </w:rPr>
              <w:t>information among regulatory partners</w:t>
            </w:r>
            <w:r w:rsidRPr="006E3786">
              <w:rPr>
                <w:rFonts w:ascii="Arial" w:hAnsi="Arial" w:cs="Arial"/>
              </w:rPr>
              <w:t xml:space="preserve">.  </w:t>
            </w:r>
          </w:p>
          <w:p w14:paraId="0B1B88BB" w14:textId="6C748ADB" w:rsidR="009332DD" w:rsidRDefault="007D1A0A" w:rsidP="0029145B">
            <w:pPr>
              <w:pStyle w:val="ListParagraph"/>
              <w:numPr>
                <w:ilvl w:val="0"/>
                <w:numId w:val="13"/>
              </w:numPr>
              <w:tabs>
                <w:tab w:val="clear" w:pos="720"/>
                <w:tab w:val="num" w:pos="459"/>
              </w:tabs>
              <w:ind w:left="459" w:hanging="426"/>
              <w:rPr>
                <w:rFonts w:ascii="Arial" w:hAnsi="Arial" w:cs="Arial"/>
              </w:rPr>
            </w:pPr>
            <w:r w:rsidRPr="006E3786">
              <w:rPr>
                <w:rFonts w:ascii="Arial" w:hAnsi="Arial" w:cs="Arial"/>
              </w:rPr>
              <w:t>Monitoring</w:t>
            </w:r>
            <w:r>
              <w:rPr>
                <w:rFonts w:ascii="Arial" w:hAnsi="Arial" w:cs="Arial"/>
              </w:rPr>
              <w:t>,</w:t>
            </w:r>
            <w:r w:rsidRPr="006E3786">
              <w:rPr>
                <w:rFonts w:ascii="Arial" w:hAnsi="Arial" w:cs="Arial"/>
              </w:rPr>
              <w:t xml:space="preserve"> compliance and enforcement regimes follow published guidelines and policies</w:t>
            </w:r>
            <w:r>
              <w:rPr>
                <w:rFonts w:ascii="Arial" w:hAnsi="Arial" w:cs="Arial"/>
              </w:rPr>
              <w:t>, enable a range of responses</w:t>
            </w:r>
            <w:r w:rsidR="0029145B">
              <w:rPr>
                <w:rFonts w:ascii="Arial" w:hAnsi="Arial" w:cs="Arial"/>
              </w:rPr>
              <w:t xml:space="preserve"> and are applied in most circumstances</w:t>
            </w:r>
            <w:r>
              <w:rPr>
                <w:rFonts w:ascii="Arial" w:hAnsi="Arial" w:cs="Arial"/>
              </w:rPr>
              <w:t>.</w:t>
            </w:r>
            <w:r w:rsidRPr="006E3786">
              <w:rPr>
                <w:rFonts w:ascii="Arial" w:hAnsi="Arial" w:cs="Arial"/>
              </w:rPr>
              <w:t xml:space="preserve">  </w:t>
            </w:r>
          </w:p>
        </w:tc>
      </w:tr>
      <w:tr w:rsidR="009332DD" w14:paraId="7EDB4095" w14:textId="77777777" w:rsidTr="00CA6231">
        <w:trPr>
          <w:cantSplit/>
        </w:trPr>
        <w:tc>
          <w:tcPr>
            <w:tcW w:w="2235" w:type="dxa"/>
            <w:shd w:val="clear" w:color="auto" w:fill="FFC000"/>
            <w:vAlign w:val="center"/>
          </w:tcPr>
          <w:p w14:paraId="3DBE7092" w14:textId="5B78A182" w:rsidR="009332DD" w:rsidRPr="002C19BB" w:rsidRDefault="009332DD" w:rsidP="00CA6231">
            <w:pPr>
              <w:spacing w:before="120" w:after="120"/>
              <w:rPr>
                <w:rFonts w:ascii="Arial" w:hAnsi="Arial" w:cs="Arial"/>
                <w:b/>
              </w:rPr>
            </w:pPr>
            <w:r w:rsidRPr="002C19BB">
              <w:rPr>
                <w:rFonts w:ascii="Arial" w:hAnsi="Arial" w:cs="Arial"/>
                <w:b/>
              </w:rPr>
              <w:t>Partially effective</w:t>
            </w:r>
            <w:r>
              <w:rPr>
                <w:rFonts w:ascii="Arial" w:hAnsi="Arial" w:cs="Arial"/>
                <w:b/>
              </w:rPr>
              <w:br/>
              <w:t>(21-50% of optimum)</w:t>
            </w:r>
          </w:p>
        </w:tc>
        <w:tc>
          <w:tcPr>
            <w:tcW w:w="7007" w:type="dxa"/>
            <w:vAlign w:val="center"/>
          </w:tcPr>
          <w:p w14:paraId="7443587C" w14:textId="7CDA2682" w:rsidR="001E5915" w:rsidRPr="006E3786" w:rsidRDefault="00170E4A" w:rsidP="001E5915">
            <w:pPr>
              <w:pStyle w:val="ListParagraph"/>
              <w:numPr>
                <w:ilvl w:val="0"/>
                <w:numId w:val="13"/>
              </w:numPr>
              <w:tabs>
                <w:tab w:val="clear" w:pos="720"/>
                <w:tab w:val="num" w:pos="459"/>
              </w:tabs>
              <w:ind w:left="459" w:hanging="426"/>
              <w:rPr>
                <w:rFonts w:ascii="Arial" w:hAnsi="Arial" w:cs="Arial"/>
              </w:rPr>
            </w:pPr>
            <w:r>
              <w:rPr>
                <w:rFonts w:ascii="Arial" w:hAnsi="Arial" w:cs="Arial"/>
              </w:rPr>
              <w:t>I</w:t>
            </w:r>
            <w:r w:rsidR="001E5915">
              <w:rPr>
                <w:rFonts w:ascii="Arial" w:hAnsi="Arial" w:cs="Arial"/>
              </w:rPr>
              <w:t>nspections with similar regulators</w:t>
            </w:r>
            <w:r>
              <w:rPr>
                <w:rFonts w:ascii="Arial" w:hAnsi="Arial" w:cs="Arial"/>
              </w:rPr>
              <w:t xml:space="preserve"> occur, but are not initiated by GBRMPA</w:t>
            </w:r>
            <w:r w:rsidR="001E5915" w:rsidRPr="006E3786">
              <w:rPr>
                <w:rFonts w:ascii="Arial" w:hAnsi="Arial" w:cs="Arial"/>
              </w:rPr>
              <w:t xml:space="preserve">.  </w:t>
            </w:r>
          </w:p>
          <w:p w14:paraId="56A67B44" w14:textId="7156A143" w:rsidR="001E5915" w:rsidRDefault="00170E4A" w:rsidP="001E5915">
            <w:pPr>
              <w:pStyle w:val="ListParagraph"/>
              <w:numPr>
                <w:ilvl w:val="0"/>
                <w:numId w:val="13"/>
              </w:numPr>
              <w:tabs>
                <w:tab w:val="clear" w:pos="720"/>
                <w:tab w:val="num" w:pos="459"/>
              </w:tabs>
              <w:ind w:left="459" w:hanging="426"/>
              <w:rPr>
                <w:rFonts w:ascii="Arial" w:hAnsi="Arial" w:cs="Arial"/>
              </w:rPr>
            </w:pPr>
            <w:r>
              <w:rPr>
                <w:rFonts w:ascii="Arial" w:hAnsi="Arial" w:cs="Arial"/>
              </w:rPr>
              <w:t>C</w:t>
            </w:r>
            <w:r w:rsidR="001E5915">
              <w:rPr>
                <w:rFonts w:ascii="Arial" w:hAnsi="Arial" w:cs="Arial"/>
              </w:rPr>
              <w:t>ollection, storage and reuse of information</w:t>
            </w:r>
            <w:r>
              <w:rPr>
                <w:rFonts w:ascii="Arial" w:hAnsi="Arial" w:cs="Arial"/>
              </w:rPr>
              <w:t xml:space="preserve"> </w:t>
            </w:r>
            <w:proofErr w:type="gramStart"/>
            <w:r>
              <w:rPr>
                <w:rFonts w:ascii="Arial" w:hAnsi="Arial" w:cs="Arial"/>
              </w:rPr>
              <w:t>occurs</w:t>
            </w:r>
            <w:proofErr w:type="gramEnd"/>
            <w:r>
              <w:rPr>
                <w:rFonts w:ascii="Arial" w:hAnsi="Arial" w:cs="Arial"/>
              </w:rPr>
              <w:t xml:space="preserve"> on an ad hoc basis without clear processes</w:t>
            </w:r>
            <w:r w:rsidR="001E5915">
              <w:rPr>
                <w:rFonts w:ascii="Arial" w:hAnsi="Arial" w:cs="Arial"/>
              </w:rPr>
              <w:t>.</w:t>
            </w:r>
          </w:p>
          <w:p w14:paraId="4BD3C109" w14:textId="19B05CCB" w:rsidR="001E5915" w:rsidRPr="006E3786" w:rsidRDefault="001E5915" w:rsidP="001E5915">
            <w:pPr>
              <w:pStyle w:val="ListParagraph"/>
              <w:numPr>
                <w:ilvl w:val="0"/>
                <w:numId w:val="13"/>
              </w:numPr>
              <w:tabs>
                <w:tab w:val="clear" w:pos="720"/>
                <w:tab w:val="num" w:pos="459"/>
              </w:tabs>
              <w:ind w:left="459" w:hanging="426"/>
              <w:rPr>
                <w:rFonts w:ascii="Arial" w:hAnsi="Arial" w:cs="Arial"/>
              </w:rPr>
            </w:pPr>
            <w:r>
              <w:rPr>
                <w:rFonts w:ascii="Arial" w:hAnsi="Arial" w:cs="Arial"/>
              </w:rPr>
              <w:t xml:space="preserve">Information exchange protocols are in place to enable </w:t>
            </w:r>
            <w:r w:rsidR="004F5510">
              <w:rPr>
                <w:rFonts w:ascii="Arial" w:hAnsi="Arial" w:cs="Arial"/>
              </w:rPr>
              <w:t xml:space="preserve">limited, reactive </w:t>
            </w:r>
            <w:r>
              <w:rPr>
                <w:rFonts w:ascii="Arial" w:hAnsi="Arial" w:cs="Arial"/>
              </w:rPr>
              <w:t>exchange of information among regulatory partners</w:t>
            </w:r>
            <w:r w:rsidRPr="006E3786">
              <w:rPr>
                <w:rFonts w:ascii="Arial" w:hAnsi="Arial" w:cs="Arial"/>
              </w:rPr>
              <w:t xml:space="preserve">.  </w:t>
            </w:r>
          </w:p>
          <w:p w14:paraId="02FB543C" w14:textId="39F29569" w:rsidR="009332DD" w:rsidRDefault="0029145B" w:rsidP="0029145B">
            <w:pPr>
              <w:pStyle w:val="ListParagraph"/>
              <w:numPr>
                <w:ilvl w:val="0"/>
                <w:numId w:val="13"/>
              </w:numPr>
              <w:tabs>
                <w:tab w:val="clear" w:pos="720"/>
                <w:tab w:val="num" w:pos="459"/>
              </w:tabs>
              <w:ind w:left="459" w:hanging="426"/>
              <w:rPr>
                <w:rFonts w:ascii="Arial" w:hAnsi="Arial" w:cs="Arial"/>
              </w:rPr>
            </w:pPr>
            <w:r>
              <w:rPr>
                <w:rFonts w:ascii="Arial" w:hAnsi="Arial" w:cs="Arial"/>
              </w:rPr>
              <w:t>While m</w:t>
            </w:r>
            <w:r w:rsidRPr="006E3786">
              <w:rPr>
                <w:rFonts w:ascii="Arial" w:hAnsi="Arial" w:cs="Arial"/>
              </w:rPr>
              <w:t>onitoring</w:t>
            </w:r>
            <w:r>
              <w:rPr>
                <w:rFonts w:ascii="Arial" w:hAnsi="Arial" w:cs="Arial"/>
              </w:rPr>
              <w:t>,</w:t>
            </w:r>
            <w:r w:rsidRPr="006E3786">
              <w:rPr>
                <w:rFonts w:ascii="Arial" w:hAnsi="Arial" w:cs="Arial"/>
              </w:rPr>
              <w:t xml:space="preserve"> compliance and enforcement regimes follow published guidelines and policies</w:t>
            </w:r>
            <w:r>
              <w:rPr>
                <w:rFonts w:ascii="Arial" w:hAnsi="Arial" w:cs="Arial"/>
              </w:rPr>
              <w:t xml:space="preserve"> and enable a range of responses – they are only applied less than half of the time.</w:t>
            </w:r>
            <w:r w:rsidRPr="006E3786">
              <w:rPr>
                <w:rFonts w:ascii="Arial" w:hAnsi="Arial" w:cs="Arial"/>
              </w:rPr>
              <w:t xml:space="preserve">  </w:t>
            </w:r>
          </w:p>
        </w:tc>
      </w:tr>
      <w:tr w:rsidR="009332DD" w14:paraId="383BBCE2" w14:textId="77777777" w:rsidTr="00CA6231">
        <w:trPr>
          <w:cantSplit/>
        </w:trPr>
        <w:tc>
          <w:tcPr>
            <w:tcW w:w="2235" w:type="dxa"/>
            <w:shd w:val="clear" w:color="auto" w:fill="FF0000"/>
            <w:vAlign w:val="center"/>
          </w:tcPr>
          <w:p w14:paraId="72A31FA7" w14:textId="3DD8D2E4" w:rsidR="009332DD" w:rsidRPr="002C19BB" w:rsidRDefault="009332DD" w:rsidP="00CA6231">
            <w:pPr>
              <w:spacing w:before="120" w:after="120"/>
              <w:rPr>
                <w:rFonts w:ascii="Arial" w:hAnsi="Arial" w:cs="Arial"/>
                <w:b/>
              </w:rPr>
            </w:pPr>
            <w:r w:rsidRPr="002C19BB">
              <w:rPr>
                <w:rFonts w:ascii="Arial" w:hAnsi="Arial" w:cs="Arial"/>
                <w:b/>
              </w:rPr>
              <w:t>Ineffective</w:t>
            </w:r>
            <w:r>
              <w:rPr>
                <w:rFonts w:ascii="Arial" w:hAnsi="Arial" w:cs="Arial"/>
                <w:b/>
              </w:rPr>
              <w:br/>
              <w:t>(1-20% of optimum)</w:t>
            </w:r>
          </w:p>
        </w:tc>
        <w:tc>
          <w:tcPr>
            <w:tcW w:w="7007" w:type="dxa"/>
            <w:vAlign w:val="center"/>
          </w:tcPr>
          <w:p w14:paraId="31764103" w14:textId="28B84E35" w:rsidR="001E5915" w:rsidRPr="006E3786" w:rsidRDefault="00BA04D4" w:rsidP="001E5915">
            <w:pPr>
              <w:pStyle w:val="ListParagraph"/>
              <w:numPr>
                <w:ilvl w:val="0"/>
                <w:numId w:val="13"/>
              </w:numPr>
              <w:tabs>
                <w:tab w:val="clear" w:pos="720"/>
                <w:tab w:val="num" w:pos="459"/>
              </w:tabs>
              <w:ind w:left="459" w:hanging="426"/>
              <w:rPr>
                <w:rFonts w:ascii="Arial" w:hAnsi="Arial" w:cs="Arial"/>
              </w:rPr>
            </w:pPr>
            <w:r>
              <w:rPr>
                <w:rFonts w:ascii="Arial" w:hAnsi="Arial" w:cs="Arial"/>
              </w:rPr>
              <w:t>GBRMPA operates in isolation to other similar regulators.</w:t>
            </w:r>
          </w:p>
          <w:p w14:paraId="20A8D0D5" w14:textId="2229A3A4" w:rsidR="001E5915" w:rsidRDefault="00BA04D4" w:rsidP="001E5915">
            <w:pPr>
              <w:pStyle w:val="ListParagraph"/>
              <w:numPr>
                <w:ilvl w:val="0"/>
                <w:numId w:val="13"/>
              </w:numPr>
              <w:tabs>
                <w:tab w:val="clear" w:pos="720"/>
                <w:tab w:val="num" w:pos="459"/>
              </w:tabs>
              <w:ind w:left="459" w:hanging="426"/>
              <w:rPr>
                <w:rFonts w:ascii="Arial" w:hAnsi="Arial" w:cs="Arial"/>
              </w:rPr>
            </w:pPr>
            <w:r>
              <w:rPr>
                <w:rFonts w:ascii="Arial" w:hAnsi="Arial" w:cs="Arial"/>
              </w:rPr>
              <w:t>There are no c</w:t>
            </w:r>
            <w:r w:rsidR="001E5915" w:rsidRPr="006E3786">
              <w:rPr>
                <w:rFonts w:ascii="Arial" w:hAnsi="Arial" w:cs="Arial"/>
              </w:rPr>
              <w:t xml:space="preserve">lear processes </w:t>
            </w:r>
            <w:r>
              <w:rPr>
                <w:rFonts w:ascii="Arial" w:hAnsi="Arial" w:cs="Arial"/>
              </w:rPr>
              <w:t>or</w:t>
            </w:r>
            <w:r w:rsidR="001E5915" w:rsidRPr="006E3786">
              <w:rPr>
                <w:rFonts w:ascii="Arial" w:hAnsi="Arial" w:cs="Arial"/>
              </w:rPr>
              <w:t xml:space="preserve"> systems</w:t>
            </w:r>
            <w:r>
              <w:rPr>
                <w:rFonts w:ascii="Arial" w:hAnsi="Arial" w:cs="Arial"/>
              </w:rPr>
              <w:t xml:space="preserve"> in place to</w:t>
            </w:r>
            <w:r w:rsidR="001E5915" w:rsidRPr="006E3786">
              <w:rPr>
                <w:rFonts w:ascii="Arial" w:hAnsi="Arial" w:cs="Arial"/>
              </w:rPr>
              <w:t xml:space="preserve"> facilitate </w:t>
            </w:r>
            <w:r w:rsidR="001E5915">
              <w:rPr>
                <w:rFonts w:ascii="Arial" w:hAnsi="Arial" w:cs="Arial"/>
              </w:rPr>
              <w:t>collection, storage and reuse of information.</w:t>
            </w:r>
          </w:p>
          <w:p w14:paraId="07602C76" w14:textId="1DEAE467" w:rsidR="001E5915" w:rsidRPr="006E3786" w:rsidRDefault="001E5915" w:rsidP="001E5915">
            <w:pPr>
              <w:pStyle w:val="ListParagraph"/>
              <w:numPr>
                <w:ilvl w:val="0"/>
                <w:numId w:val="13"/>
              </w:numPr>
              <w:tabs>
                <w:tab w:val="clear" w:pos="720"/>
                <w:tab w:val="num" w:pos="459"/>
              </w:tabs>
              <w:ind w:left="459" w:hanging="426"/>
              <w:rPr>
                <w:rFonts w:ascii="Arial" w:hAnsi="Arial" w:cs="Arial"/>
              </w:rPr>
            </w:pPr>
            <w:r>
              <w:rPr>
                <w:rFonts w:ascii="Arial" w:hAnsi="Arial" w:cs="Arial"/>
              </w:rPr>
              <w:t xml:space="preserve">Information </w:t>
            </w:r>
            <w:r w:rsidR="00BA04D4">
              <w:rPr>
                <w:rFonts w:ascii="Arial" w:hAnsi="Arial" w:cs="Arial"/>
              </w:rPr>
              <w:t>is not</w:t>
            </w:r>
            <w:r>
              <w:rPr>
                <w:rFonts w:ascii="Arial" w:hAnsi="Arial" w:cs="Arial"/>
              </w:rPr>
              <w:t xml:space="preserve"> exchange</w:t>
            </w:r>
            <w:r w:rsidR="00BA04D4">
              <w:rPr>
                <w:rFonts w:ascii="Arial" w:hAnsi="Arial" w:cs="Arial"/>
              </w:rPr>
              <w:t>d</w:t>
            </w:r>
            <w:r>
              <w:rPr>
                <w:rFonts w:ascii="Arial" w:hAnsi="Arial" w:cs="Arial"/>
              </w:rPr>
              <w:t xml:space="preserve"> </w:t>
            </w:r>
            <w:r w:rsidR="00BA04D4">
              <w:rPr>
                <w:rFonts w:ascii="Arial" w:hAnsi="Arial" w:cs="Arial"/>
              </w:rPr>
              <w:t>with</w:t>
            </w:r>
            <w:r>
              <w:rPr>
                <w:rFonts w:ascii="Arial" w:hAnsi="Arial" w:cs="Arial"/>
              </w:rPr>
              <w:t xml:space="preserve"> regulatory partners</w:t>
            </w:r>
            <w:r w:rsidRPr="006E3786">
              <w:rPr>
                <w:rFonts w:ascii="Arial" w:hAnsi="Arial" w:cs="Arial"/>
              </w:rPr>
              <w:t xml:space="preserve">.  </w:t>
            </w:r>
          </w:p>
          <w:p w14:paraId="6F089B53" w14:textId="20781952" w:rsidR="009332DD" w:rsidRDefault="001E5915" w:rsidP="00BA04D4">
            <w:pPr>
              <w:pStyle w:val="ListParagraph"/>
              <w:numPr>
                <w:ilvl w:val="0"/>
                <w:numId w:val="13"/>
              </w:numPr>
              <w:tabs>
                <w:tab w:val="clear" w:pos="720"/>
                <w:tab w:val="num" w:pos="459"/>
              </w:tabs>
              <w:ind w:left="459" w:hanging="426"/>
              <w:rPr>
                <w:rFonts w:ascii="Arial" w:hAnsi="Arial" w:cs="Arial"/>
              </w:rPr>
            </w:pPr>
            <w:r w:rsidRPr="006E3786">
              <w:rPr>
                <w:rFonts w:ascii="Arial" w:hAnsi="Arial" w:cs="Arial"/>
              </w:rPr>
              <w:t>Monitoring</w:t>
            </w:r>
            <w:r>
              <w:rPr>
                <w:rFonts w:ascii="Arial" w:hAnsi="Arial" w:cs="Arial"/>
              </w:rPr>
              <w:t>,</w:t>
            </w:r>
            <w:r w:rsidRPr="006E3786">
              <w:rPr>
                <w:rFonts w:ascii="Arial" w:hAnsi="Arial" w:cs="Arial"/>
              </w:rPr>
              <w:t xml:space="preserve"> compliance and enforcement regimes </w:t>
            </w:r>
            <w:r w:rsidR="00BA04D4">
              <w:rPr>
                <w:rFonts w:ascii="Arial" w:hAnsi="Arial" w:cs="Arial"/>
              </w:rPr>
              <w:t>do not</w:t>
            </w:r>
            <w:r w:rsidRPr="006E3786">
              <w:rPr>
                <w:rFonts w:ascii="Arial" w:hAnsi="Arial" w:cs="Arial"/>
              </w:rPr>
              <w:t xml:space="preserve"> </w:t>
            </w:r>
            <w:r w:rsidR="00BA04D4">
              <w:rPr>
                <w:rFonts w:ascii="Arial" w:hAnsi="Arial" w:cs="Arial"/>
              </w:rPr>
              <w:t>allow for</w:t>
            </w:r>
            <w:r>
              <w:rPr>
                <w:rFonts w:ascii="Arial" w:hAnsi="Arial" w:cs="Arial"/>
              </w:rPr>
              <w:t xml:space="preserve"> a range of responses</w:t>
            </w:r>
            <w:r w:rsidRPr="006E3786">
              <w:rPr>
                <w:rFonts w:ascii="Arial" w:hAnsi="Arial" w:cs="Arial"/>
              </w:rPr>
              <w:t xml:space="preserve">.  </w:t>
            </w:r>
          </w:p>
        </w:tc>
      </w:tr>
    </w:tbl>
    <w:p w14:paraId="20834C68" w14:textId="77777777" w:rsidR="002C19BB" w:rsidRDefault="002C19BB" w:rsidP="00CA4E79">
      <w:pPr>
        <w:rPr>
          <w:rFonts w:ascii="Arial" w:hAnsi="Arial" w:cs="Arial"/>
        </w:rPr>
      </w:pPr>
    </w:p>
    <w:p w14:paraId="0CD67F82" w14:textId="77777777" w:rsidR="003E305E" w:rsidRDefault="003E305E">
      <w:pPr>
        <w:rPr>
          <w:rFonts w:ascii="Arial" w:hAnsi="Arial" w:cs="Arial"/>
          <w:b/>
          <w:color w:val="1F497D" w:themeColor="text2"/>
        </w:rPr>
      </w:pPr>
      <w:r>
        <w:rPr>
          <w:rFonts w:ascii="Arial" w:hAnsi="Arial" w:cs="Arial"/>
          <w:b/>
          <w:color w:val="1F497D" w:themeColor="text2"/>
        </w:rPr>
        <w:br w:type="page"/>
      </w:r>
    </w:p>
    <w:p w14:paraId="28FC363B" w14:textId="06913CCF" w:rsidR="00CA4E79" w:rsidRPr="002314F7" w:rsidRDefault="00CA4E79" w:rsidP="002314F7">
      <w:pPr>
        <w:keepNext/>
        <w:pBdr>
          <w:top w:val="single" w:sz="8" w:space="1" w:color="1F497D" w:themeColor="text2"/>
          <w:left w:val="single" w:sz="8" w:space="4" w:color="1F497D" w:themeColor="text2"/>
        </w:pBdr>
        <w:ind w:left="992" w:hanging="992"/>
        <w:rPr>
          <w:rFonts w:ascii="Arial" w:hAnsi="Arial" w:cs="Arial"/>
          <w:b/>
          <w:color w:val="1F497D" w:themeColor="text2"/>
        </w:rPr>
      </w:pPr>
      <w:r w:rsidRPr="002314F7">
        <w:rPr>
          <w:rFonts w:ascii="Arial" w:hAnsi="Arial" w:cs="Arial"/>
          <w:b/>
          <w:color w:val="1F497D" w:themeColor="text2"/>
        </w:rPr>
        <w:lastRenderedPageBreak/>
        <w:t xml:space="preserve">KPI 5 – </w:t>
      </w:r>
      <w:r w:rsidR="002C19BB" w:rsidRPr="002314F7">
        <w:rPr>
          <w:rFonts w:ascii="Arial" w:hAnsi="Arial" w:cs="Arial"/>
          <w:b/>
          <w:color w:val="1F497D" w:themeColor="text2"/>
        </w:rPr>
        <w:tab/>
      </w:r>
      <w:r w:rsidRPr="002314F7">
        <w:rPr>
          <w:rFonts w:ascii="Arial" w:hAnsi="Arial" w:cs="Arial"/>
          <w:b/>
          <w:color w:val="1F497D" w:themeColor="text2"/>
        </w:rPr>
        <w:t>GBRMPA is open and transparent in dealings with regulated entities</w:t>
      </w:r>
    </w:p>
    <w:p w14:paraId="5342E93F" w14:textId="77777777" w:rsidR="009332DD" w:rsidRPr="009332DD" w:rsidRDefault="009332DD" w:rsidP="002314F7">
      <w:pPr>
        <w:spacing w:before="120" w:after="60"/>
        <w:rPr>
          <w:rFonts w:ascii="Arial" w:hAnsi="Arial" w:cs="Arial"/>
          <w:i/>
        </w:rPr>
      </w:pPr>
      <w:r w:rsidRPr="009332DD">
        <w:rPr>
          <w:rFonts w:ascii="Arial" w:hAnsi="Arial" w:cs="Arial"/>
          <w:i/>
        </w:rPr>
        <w:t>Approved metrics</w:t>
      </w:r>
    </w:p>
    <w:p w14:paraId="3AEC4BFF" w14:textId="77777777" w:rsidR="00B431D2" w:rsidRPr="00B431D2" w:rsidRDefault="00B431D2"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431D2">
        <w:rPr>
          <w:rFonts w:ascii="Arial" w:eastAsia="Times New Roman" w:hAnsi="Arial" w:cs="Arial"/>
          <w:color w:val="333333"/>
          <w:lang w:val="en" w:eastAsia="en-AU"/>
        </w:rPr>
        <w:t>Enforcement strategy and risk approach are published.</w:t>
      </w:r>
    </w:p>
    <w:p w14:paraId="162C3D7F" w14:textId="77777777" w:rsidR="00B431D2" w:rsidRPr="00B431D2" w:rsidRDefault="00B431D2"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431D2">
        <w:rPr>
          <w:rFonts w:ascii="Arial" w:eastAsia="Times New Roman" w:hAnsi="Arial" w:cs="Arial"/>
          <w:color w:val="333333"/>
          <w:lang w:val="en" w:eastAsia="en-AU"/>
        </w:rPr>
        <w:t>Performance measurement results are published.</w:t>
      </w:r>
    </w:p>
    <w:p w14:paraId="3A3FEC08" w14:textId="77777777" w:rsidR="00B431D2" w:rsidRPr="00B431D2" w:rsidRDefault="00B431D2"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431D2">
        <w:rPr>
          <w:rFonts w:ascii="Arial" w:eastAsia="Times New Roman" w:hAnsi="Arial" w:cs="Arial"/>
          <w:color w:val="333333"/>
          <w:lang w:val="en" w:eastAsia="en-AU"/>
        </w:rPr>
        <w:t>Performance information is made publicly available, where appropriate.</w:t>
      </w:r>
    </w:p>
    <w:p w14:paraId="414EBFE7" w14:textId="77777777" w:rsidR="00B431D2" w:rsidRPr="00B431D2" w:rsidRDefault="00B431D2"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431D2">
        <w:rPr>
          <w:rFonts w:ascii="Arial" w:eastAsia="Times New Roman" w:hAnsi="Arial" w:cs="Arial"/>
          <w:color w:val="333333"/>
          <w:lang w:val="en" w:eastAsia="en-AU"/>
        </w:rPr>
        <w:t>Advice and guidance is widely available to stakeholders, with feedback mechanisms in place to support and inform continuous improvement.</w:t>
      </w:r>
    </w:p>
    <w:p w14:paraId="4BBBB1A0" w14:textId="77777777" w:rsidR="00CA4E79" w:rsidRPr="003E305E" w:rsidRDefault="00CA4E79" w:rsidP="002314F7">
      <w:pPr>
        <w:shd w:val="clear" w:color="auto" w:fill="FFFFFF"/>
        <w:spacing w:after="240" w:line="240" w:lineRule="auto"/>
        <w:contextualSpacing/>
        <w:rPr>
          <w:rFonts w:ascii="Arial" w:eastAsia="Times New Roman" w:hAnsi="Arial" w:cs="Arial"/>
          <w:color w:val="333333"/>
          <w:lang w:val="en" w:eastAsia="en-AU"/>
        </w:rPr>
      </w:pPr>
    </w:p>
    <w:tbl>
      <w:tblPr>
        <w:tblStyle w:val="TableGrid"/>
        <w:tblW w:w="9242" w:type="dxa"/>
        <w:tblLook w:val="04A0" w:firstRow="1" w:lastRow="0" w:firstColumn="1" w:lastColumn="0" w:noHBand="0" w:noVBand="1"/>
      </w:tblPr>
      <w:tblGrid>
        <w:gridCol w:w="2235"/>
        <w:gridCol w:w="7007"/>
      </w:tblGrid>
      <w:tr w:rsidR="009332DD" w14:paraId="5FD6024B" w14:textId="77777777" w:rsidTr="00CA6231">
        <w:trPr>
          <w:cantSplit/>
        </w:trPr>
        <w:tc>
          <w:tcPr>
            <w:tcW w:w="2235" w:type="dxa"/>
            <w:shd w:val="clear" w:color="auto" w:fill="00B050"/>
            <w:vAlign w:val="center"/>
          </w:tcPr>
          <w:p w14:paraId="04B13506" w14:textId="28FA0712" w:rsidR="009332DD" w:rsidRPr="002C19BB" w:rsidRDefault="009332DD" w:rsidP="00CA6231">
            <w:pPr>
              <w:spacing w:before="120" w:after="120"/>
              <w:rPr>
                <w:rFonts w:ascii="Arial" w:hAnsi="Arial" w:cs="Arial"/>
                <w:b/>
              </w:rPr>
            </w:pPr>
            <w:r w:rsidRPr="002C19BB">
              <w:rPr>
                <w:rFonts w:ascii="Arial" w:hAnsi="Arial" w:cs="Arial"/>
                <w:b/>
              </w:rPr>
              <w:t>Effective</w:t>
            </w:r>
            <w:r>
              <w:rPr>
                <w:rFonts w:ascii="Arial" w:hAnsi="Arial" w:cs="Arial"/>
                <w:b/>
              </w:rPr>
              <w:br/>
              <w:t>(81-100% of optimum)</w:t>
            </w:r>
          </w:p>
        </w:tc>
        <w:tc>
          <w:tcPr>
            <w:tcW w:w="7007" w:type="dxa"/>
            <w:vAlign w:val="center"/>
          </w:tcPr>
          <w:p w14:paraId="2DF061F5" w14:textId="77777777" w:rsidR="00F14FFB" w:rsidRPr="00170E4A" w:rsidRDefault="00F14FFB" w:rsidP="00F14FFB">
            <w:pPr>
              <w:pStyle w:val="ListParagraph"/>
              <w:numPr>
                <w:ilvl w:val="0"/>
                <w:numId w:val="13"/>
              </w:numPr>
              <w:tabs>
                <w:tab w:val="clear" w:pos="720"/>
                <w:tab w:val="num" w:pos="459"/>
              </w:tabs>
              <w:ind w:left="459" w:hanging="426"/>
              <w:rPr>
                <w:rFonts w:ascii="Arial" w:hAnsi="Arial" w:cs="Arial"/>
              </w:rPr>
            </w:pPr>
            <w:r w:rsidRPr="00170E4A">
              <w:rPr>
                <w:rFonts w:ascii="Arial" w:hAnsi="Arial" w:cs="Arial"/>
              </w:rPr>
              <w:t xml:space="preserve">The organisation has a published compliance and enforcement and risk policies that are regularly showcased and recognised as best practice. </w:t>
            </w:r>
          </w:p>
          <w:p w14:paraId="1B35B57D" w14:textId="77777777" w:rsidR="005B0F82" w:rsidRPr="00170E4A" w:rsidRDefault="005B0F82" w:rsidP="005B0F82">
            <w:pPr>
              <w:pStyle w:val="ListParagraph"/>
              <w:numPr>
                <w:ilvl w:val="0"/>
                <w:numId w:val="13"/>
              </w:numPr>
              <w:tabs>
                <w:tab w:val="clear" w:pos="720"/>
                <w:tab w:val="num" w:pos="459"/>
              </w:tabs>
              <w:ind w:left="459" w:hanging="426"/>
              <w:rPr>
                <w:rFonts w:ascii="Arial" w:hAnsi="Arial" w:cs="Arial"/>
              </w:rPr>
            </w:pPr>
            <w:r w:rsidRPr="00170E4A">
              <w:rPr>
                <w:rFonts w:ascii="Arial" w:hAnsi="Arial" w:cs="Arial"/>
              </w:rPr>
              <w:t>Regulatory performance is systematically measured, has mechanisms to involve stakeholders and is published annually.</w:t>
            </w:r>
          </w:p>
          <w:p w14:paraId="663F76B6" w14:textId="1D1EE5D6" w:rsidR="005B0F82" w:rsidRPr="00170E4A" w:rsidRDefault="005B0F82" w:rsidP="005B0F82">
            <w:pPr>
              <w:pStyle w:val="ListParagraph"/>
              <w:numPr>
                <w:ilvl w:val="0"/>
                <w:numId w:val="13"/>
              </w:numPr>
              <w:tabs>
                <w:tab w:val="clear" w:pos="720"/>
                <w:tab w:val="num" w:pos="459"/>
              </w:tabs>
              <w:ind w:left="459" w:hanging="426"/>
              <w:rPr>
                <w:rFonts w:ascii="Arial" w:hAnsi="Arial" w:cs="Arial"/>
              </w:rPr>
            </w:pPr>
            <w:r w:rsidRPr="00170E4A">
              <w:rPr>
                <w:rFonts w:ascii="Arial" w:hAnsi="Arial" w:cs="Arial"/>
              </w:rPr>
              <w:t>The regulated and wider community has a clear understanding of regulatory requirements and access to accurate and timely advice and guidance.</w:t>
            </w:r>
          </w:p>
          <w:p w14:paraId="6029C748" w14:textId="7A77C80C" w:rsidR="00D44AA7" w:rsidRDefault="00D44AA7" w:rsidP="00D44AA7">
            <w:pPr>
              <w:pStyle w:val="ListParagraph"/>
              <w:numPr>
                <w:ilvl w:val="0"/>
                <w:numId w:val="13"/>
              </w:numPr>
              <w:tabs>
                <w:tab w:val="num" w:pos="459"/>
              </w:tabs>
              <w:ind w:left="459" w:hanging="426"/>
              <w:rPr>
                <w:rFonts w:ascii="Arial" w:hAnsi="Arial" w:cs="Arial"/>
              </w:rPr>
            </w:pPr>
            <w:r>
              <w:rPr>
                <w:rFonts w:ascii="Arial" w:hAnsi="Arial" w:cs="Arial"/>
              </w:rPr>
              <w:t>All regulatory s</w:t>
            </w:r>
            <w:r w:rsidRPr="00170E4A">
              <w:rPr>
                <w:rFonts w:ascii="Arial" w:hAnsi="Arial" w:cs="Arial"/>
              </w:rPr>
              <w:t xml:space="preserve">taff </w:t>
            </w:r>
            <w:proofErr w:type="gramStart"/>
            <w:r w:rsidRPr="00170E4A">
              <w:rPr>
                <w:rFonts w:ascii="Arial" w:hAnsi="Arial" w:cs="Arial"/>
              </w:rPr>
              <w:t>understand</w:t>
            </w:r>
            <w:proofErr w:type="gramEnd"/>
            <w:r w:rsidRPr="00170E4A">
              <w:rPr>
                <w:rFonts w:ascii="Arial" w:hAnsi="Arial" w:cs="Arial"/>
              </w:rPr>
              <w:t xml:space="preserve"> how to best provide guidance and advice to regulated entities. </w:t>
            </w:r>
          </w:p>
          <w:p w14:paraId="088E8D79" w14:textId="0D9ECB9A" w:rsidR="009332DD" w:rsidRPr="00170E4A" w:rsidRDefault="00391A37" w:rsidP="00391A37">
            <w:pPr>
              <w:pStyle w:val="ListParagraph"/>
              <w:numPr>
                <w:ilvl w:val="0"/>
                <w:numId w:val="13"/>
              </w:numPr>
              <w:tabs>
                <w:tab w:val="clear" w:pos="720"/>
                <w:tab w:val="num" w:pos="459"/>
              </w:tabs>
              <w:ind w:left="459" w:hanging="426"/>
              <w:rPr>
                <w:rFonts w:ascii="Arial" w:hAnsi="Arial" w:cs="Arial"/>
              </w:rPr>
            </w:pPr>
            <w:r>
              <w:rPr>
                <w:rFonts w:ascii="Arial" w:hAnsi="Arial" w:cs="Arial"/>
              </w:rPr>
              <w:t xml:space="preserve">Feedback is </w:t>
            </w:r>
            <w:r w:rsidRPr="00170E4A">
              <w:rPr>
                <w:rFonts w:ascii="Arial" w:hAnsi="Arial" w:cs="Arial"/>
              </w:rPr>
              <w:t xml:space="preserve">proactively </w:t>
            </w:r>
            <w:r>
              <w:rPr>
                <w:rFonts w:ascii="Arial" w:hAnsi="Arial" w:cs="Arial"/>
              </w:rPr>
              <w:t xml:space="preserve">sought on a regular basis and </w:t>
            </w:r>
            <w:r w:rsidR="005B0F82" w:rsidRPr="00170E4A">
              <w:rPr>
                <w:rFonts w:ascii="Arial" w:hAnsi="Arial" w:cs="Arial"/>
              </w:rPr>
              <w:t xml:space="preserve">used to </w:t>
            </w:r>
            <w:r w:rsidR="00F14FFB" w:rsidRPr="00170E4A">
              <w:rPr>
                <w:rFonts w:ascii="Arial" w:hAnsi="Arial" w:cs="Arial"/>
              </w:rPr>
              <w:t>support</w:t>
            </w:r>
            <w:r w:rsidR="005B0F82" w:rsidRPr="00170E4A">
              <w:rPr>
                <w:rFonts w:ascii="Arial" w:hAnsi="Arial" w:cs="Arial"/>
              </w:rPr>
              <w:t xml:space="preserve"> continuous improvement</w:t>
            </w:r>
            <w:r w:rsidR="00F14FFB" w:rsidRPr="00170E4A">
              <w:rPr>
                <w:rFonts w:ascii="Arial" w:hAnsi="Arial" w:cs="Arial"/>
              </w:rPr>
              <w:t xml:space="preserve">. </w:t>
            </w:r>
          </w:p>
        </w:tc>
      </w:tr>
      <w:tr w:rsidR="009332DD" w14:paraId="73D47AEB" w14:textId="77777777" w:rsidTr="00CA6231">
        <w:trPr>
          <w:cantSplit/>
        </w:trPr>
        <w:tc>
          <w:tcPr>
            <w:tcW w:w="2235" w:type="dxa"/>
            <w:shd w:val="clear" w:color="auto" w:fill="92D050"/>
            <w:vAlign w:val="center"/>
          </w:tcPr>
          <w:p w14:paraId="27B0978A" w14:textId="1AEDF4B0" w:rsidR="009332DD" w:rsidRPr="002C19BB" w:rsidRDefault="009332DD" w:rsidP="00CA6231">
            <w:pPr>
              <w:spacing w:before="120" w:after="120"/>
              <w:rPr>
                <w:rFonts w:ascii="Arial" w:hAnsi="Arial" w:cs="Arial"/>
                <w:b/>
              </w:rPr>
            </w:pPr>
            <w:r w:rsidRPr="002C19BB">
              <w:rPr>
                <w:rFonts w:ascii="Arial" w:hAnsi="Arial" w:cs="Arial"/>
                <w:b/>
              </w:rPr>
              <w:t>Mostly effective</w:t>
            </w:r>
            <w:r>
              <w:rPr>
                <w:rFonts w:ascii="Arial" w:hAnsi="Arial" w:cs="Arial"/>
                <w:b/>
              </w:rPr>
              <w:br/>
              <w:t>(51-80% of optimum)</w:t>
            </w:r>
          </w:p>
        </w:tc>
        <w:tc>
          <w:tcPr>
            <w:tcW w:w="7007" w:type="dxa"/>
            <w:vAlign w:val="center"/>
          </w:tcPr>
          <w:p w14:paraId="2D78A026" w14:textId="62075F57" w:rsidR="005B0F82" w:rsidRPr="00170E4A" w:rsidRDefault="005B0F82" w:rsidP="005B0F82">
            <w:pPr>
              <w:pStyle w:val="ListParagraph"/>
              <w:numPr>
                <w:ilvl w:val="0"/>
                <w:numId w:val="13"/>
              </w:numPr>
              <w:tabs>
                <w:tab w:val="clear" w:pos="720"/>
                <w:tab w:val="num" w:pos="459"/>
              </w:tabs>
              <w:ind w:left="459" w:hanging="426"/>
              <w:rPr>
                <w:rFonts w:ascii="Arial" w:hAnsi="Arial" w:cs="Arial"/>
              </w:rPr>
            </w:pPr>
            <w:r w:rsidRPr="00170E4A">
              <w:rPr>
                <w:rFonts w:ascii="Arial" w:hAnsi="Arial" w:cs="Arial"/>
              </w:rPr>
              <w:t xml:space="preserve">The organisation has published compliance and enforcement and risk policies that are subject to continuous improvement. </w:t>
            </w:r>
          </w:p>
          <w:p w14:paraId="07A4A91A" w14:textId="4FE177C1" w:rsidR="005B0F82" w:rsidRPr="00170E4A" w:rsidRDefault="005B0F82" w:rsidP="005B0F82">
            <w:pPr>
              <w:pStyle w:val="ListParagraph"/>
              <w:numPr>
                <w:ilvl w:val="0"/>
                <w:numId w:val="13"/>
              </w:numPr>
              <w:tabs>
                <w:tab w:val="clear" w:pos="720"/>
                <w:tab w:val="num" w:pos="459"/>
              </w:tabs>
              <w:ind w:left="459" w:hanging="426"/>
              <w:rPr>
                <w:rFonts w:ascii="Arial" w:hAnsi="Arial" w:cs="Arial"/>
              </w:rPr>
            </w:pPr>
            <w:r w:rsidRPr="00170E4A">
              <w:rPr>
                <w:rFonts w:ascii="Arial" w:hAnsi="Arial" w:cs="Arial"/>
              </w:rPr>
              <w:t>Regulatory performance is systematically measured and is published annually.</w:t>
            </w:r>
          </w:p>
          <w:p w14:paraId="52F7EF02" w14:textId="64A2F87E" w:rsidR="005B0F82" w:rsidRPr="00170E4A" w:rsidRDefault="005B0F82" w:rsidP="005B0F82">
            <w:pPr>
              <w:pStyle w:val="ListParagraph"/>
              <w:numPr>
                <w:ilvl w:val="0"/>
                <w:numId w:val="13"/>
              </w:numPr>
              <w:tabs>
                <w:tab w:val="clear" w:pos="720"/>
                <w:tab w:val="num" w:pos="459"/>
              </w:tabs>
              <w:ind w:left="459" w:hanging="426"/>
              <w:rPr>
                <w:rFonts w:ascii="Arial" w:hAnsi="Arial" w:cs="Arial"/>
              </w:rPr>
            </w:pPr>
            <w:r w:rsidRPr="00170E4A">
              <w:rPr>
                <w:rFonts w:ascii="Arial" w:hAnsi="Arial" w:cs="Arial"/>
              </w:rPr>
              <w:t>Most of the regulated and wider community have a clear understanding of regulatory requirements and access to accurate and timely advice and guidance.</w:t>
            </w:r>
          </w:p>
          <w:p w14:paraId="44B41C62" w14:textId="71805F8A" w:rsidR="00D44AA7" w:rsidRDefault="00D44AA7" w:rsidP="00D44AA7">
            <w:pPr>
              <w:pStyle w:val="ListParagraph"/>
              <w:numPr>
                <w:ilvl w:val="0"/>
                <w:numId w:val="13"/>
              </w:numPr>
              <w:tabs>
                <w:tab w:val="num" w:pos="459"/>
              </w:tabs>
              <w:ind w:left="459" w:hanging="426"/>
              <w:rPr>
                <w:rFonts w:ascii="Arial" w:hAnsi="Arial" w:cs="Arial"/>
              </w:rPr>
            </w:pPr>
            <w:r>
              <w:rPr>
                <w:rFonts w:ascii="Arial" w:hAnsi="Arial" w:cs="Arial"/>
              </w:rPr>
              <w:t>Most regulatory s</w:t>
            </w:r>
            <w:r w:rsidRPr="00170E4A">
              <w:rPr>
                <w:rFonts w:ascii="Arial" w:hAnsi="Arial" w:cs="Arial"/>
              </w:rPr>
              <w:t xml:space="preserve">taff </w:t>
            </w:r>
            <w:proofErr w:type="gramStart"/>
            <w:r w:rsidRPr="00170E4A">
              <w:rPr>
                <w:rFonts w:ascii="Arial" w:hAnsi="Arial" w:cs="Arial"/>
              </w:rPr>
              <w:t>understand</w:t>
            </w:r>
            <w:proofErr w:type="gramEnd"/>
            <w:r w:rsidRPr="00170E4A">
              <w:rPr>
                <w:rFonts w:ascii="Arial" w:hAnsi="Arial" w:cs="Arial"/>
              </w:rPr>
              <w:t xml:space="preserve"> how to best provide guidance and advice to regulated entities. </w:t>
            </w:r>
          </w:p>
          <w:p w14:paraId="44CFD2BD" w14:textId="1524F0A3" w:rsidR="009332DD" w:rsidRPr="00D44AA7" w:rsidRDefault="00391A37" w:rsidP="00404078">
            <w:pPr>
              <w:pStyle w:val="ListParagraph"/>
              <w:numPr>
                <w:ilvl w:val="0"/>
                <w:numId w:val="13"/>
              </w:numPr>
              <w:tabs>
                <w:tab w:val="clear" w:pos="720"/>
                <w:tab w:val="num" w:pos="459"/>
              </w:tabs>
              <w:ind w:left="459" w:hanging="426"/>
              <w:rPr>
                <w:rFonts w:ascii="Arial" w:hAnsi="Arial" w:cs="Arial"/>
              </w:rPr>
            </w:pPr>
            <w:r>
              <w:rPr>
                <w:rFonts w:ascii="Arial" w:hAnsi="Arial" w:cs="Arial"/>
              </w:rPr>
              <w:t xml:space="preserve">Feedback is </w:t>
            </w:r>
            <w:r w:rsidRPr="00170E4A">
              <w:rPr>
                <w:rFonts w:ascii="Arial" w:hAnsi="Arial" w:cs="Arial"/>
              </w:rPr>
              <w:t xml:space="preserve">proactively </w:t>
            </w:r>
            <w:r>
              <w:rPr>
                <w:rFonts w:ascii="Arial" w:hAnsi="Arial" w:cs="Arial"/>
              </w:rPr>
              <w:t xml:space="preserve">sought on </w:t>
            </w:r>
            <w:r w:rsidR="00404078">
              <w:rPr>
                <w:rFonts w:ascii="Arial" w:hAnsi="Arial" w:cs="Arial"/>
              </w:rPr>
              <w:t>key regulatory issues</w:t>
            </w:r>
            <w:r>
              <w:rPr>
                <w:rFonts w:ascii="Arial" w:hAnsi="Arial" w:cs="Arial"/>
              </w:rPr>
              <w:t xml:space="preserve"> and </w:t>
            </w:r>
            <w:r w:rsidRPr="00170E4A">
              <w:rPr>
                <w:rFonts w:ascii="Arial" w:hAnsi="Arial" w:cs="Arial"/>
              </w:rPr>
              <w:t>used to support continuous improvement.</w:t>
            </w:r>
          </w:p>
        </w:tc>
      </w:tr>
      <w:tr w:rsidR="009332DD" w14:paraId="0400E7F0" w14:textId="77777777" w:rsidTr="00CA6231">
        <w:trPr>
          <w:cantSplit/>
        </w:trPr>
        <w:tc>
          <w:tcPr>
            <w:tcW w:w="2235" w:type="dxa"/>
            <w:shd w:val="clear" w:color="auto" w:fill="FFC000"/>
            <w:vAlign w:val="center"/>
          </w:tcPr>
          <w:p w14:paraId="379774D3" w14:textId="35D0D1CA" w:rsidR="009332DD" w:rsidRPr="002C19BB" w:rsidRDefault="009332DD" w:rsidP="00CA6231">
            <w:pPr>
              <w:spacing w:before="120" w:after="120"/>
              <w:rPr>
                <w:rFonts w:ascii="Arial" w:hAnsi="Arial" w:cs="Arial"/>
                <w:b/>
              </w:rPr>
            </w:pPr>
            <w:r w:rsidRPr="002C19BB">
              <w:rPr>
                <w:rFonts w:ascii="Arial" w:hAnsi="Arial" w:cs="Arial"/>
                <w:b/>
              </w:rPr>
              <w:t>Partially effective</w:t>
            </w:r>
            <w:r>
              <w:rPr>
                <w:rFonts w:ascii="Arial" w:hAnsi="Arial" w:cs="Arial"/>
                <w:b/>
              </w:rPr>
              <w:br/>
              <w:t>(21-50% of optimum)</w:t>
            </w:r>
          </w:p>
        </w:tc>
        <w:tc>
          <w:tcPr>
            <w:tcW w:w="7007" w:type="dxa"/>
            <w:vAlign w:val="center"/>
          </w:tcPr>
          <w:p w14:paraId="5ED5CC41" w14:textId="371B4407" w:rsidR="00D44AA7" w:rsidRPr="00170E4A" w:rsidRDefault="00D44AA7" w:rsidP="00D44AA7">
            <w:pPr>
              <w:pStyle w:val="ListParagraph"/>
              <w:numPr>
                <w:ilvl w:val="0"/>
                <w:numId w:val="13"/>
              </w:numPr>
              <w:tabs>
                <w:tab w:val="clear" w:pos="720"/>
                <w:tab w:val="num" w:pos="459"/>
              </w:tabs>
              <w:ind w:left="459" w:hanging="426"/>
              <w:rPr>
                <w:rFonts w:ascii="Arial" w:hAnsi="Arial" w:cs="Arial"/>
              </w:rPr>
            </w:pPr>
            <w:r w:rsidRPr="00170E4A">
              <w:rPr>
                <w:rFonts w:ascii="Arial" w:hAnsi="Arial" w:cs="Arial"/>
              </w:rPr>
              <w:t xml:space="preserve">The organisation has </w:t>
            </w:r>
            <w:r w:rsidR="00AC0354">
              <w:rPr>
                <w:rFonts w:ascii="Arial" w:hAnsi="Arial" w:cs="Arial"/>
              </w:rPr>
              <w:t>agreed</w:t>
            </w:r>
            <w:r w:rsidRPr="00170E4A">
              <w:rPr>
                <w:rFonts w:ascii="Arial" w:hAnsi="Arial" w:cs="Arial"/>
              </w:rPr>
              <w:t xml:space="preserve"> compliance and enforcement and risk policies </w:t>
            </w:r>
            <w:r w:rsidR="00AC0354">
              <w:rPr>
                <w:rFonts w:ascii="Arial" w:hAnsi="Arial" w:cs="Arial"/>
              </w:rPr>
              <w:t xml:space="preserve">but these are not </w:t>
            </w:r>
            <w:r w:rsidR="00391A37">
              <w:rPr>
                <w:rFonts w:ascii="Arial" w:hAnsi="Arial" w:cs="Arial"/>
              </w:rPr>
              <w:t>published</w:t>
            </w:r>
            <w:r w:rsidRPr="00170E4A">
              <w:rPr>
                <w:rFonts w:ascii="Arial" w:hAnsi="Arial" w:cs="Arial"/>
              </w:rPr>
              <w:t xml:space="preserve">. </w:t>
            </w:r>
          </w:p>
          <w:p w14:paraId="4B09C343" w14:textId="5CF45C7D" w:rsidR="00D44AA7" w:rsidRPr="00170E4A" w:rsidRDefault="00D44AA7" w:rsidP="00D44AA7">
            <w:pPr>
              <w:pStyle w:val="ListParagraph"/>
              <w:numPr>
                <w:ilvl w:val="0"/>
                <w:numId w:val="13"/>
              </w:numPr>
              <w:tabs>
                <w:tab w:val="clear" w:pos="720"/>
                <w:tab w:val="num" w:pos="459"/>
              </w:tabs>
              <w:ind w:left="459" w:hanging="426"/>
              <w:rPr>
                <w:rFonts w:ascii="Arial" w:hAnsi="Arial" w:cs="Arial"/>
              </w:rPr>
            </w:pPr>
            <w:r w:rsidRPr="00170E4A">
              <w:rPr>
                <w:rFonts w:ascii="Arial" w:hAnsi="Arial" w:cs="Arial"/>
              </w:rPr>
              <w:t xml:space="preserve">Regulatory performance is </w:t>
            </w:r>
            <w:r w:rsidR="00AC0354">
              <w:rPr>
                <w:rFonts w:ascii="Arial" w:hAnsi="Arial" w:cs="Arial"/>
              </w:rPr>
              <w:t>considered internally on an ad hoc basis</w:t>
            </w:r>
            <w:r w:rsidRPr="00170E4A">
              <w:rPr>
                <w:rFonts w:ascii="Arial" w:hAnsi="Arial" w:cs="Arial"/>
              </w:rPr>
              <w:t>.</w:t>
            </w:r>
          </w:p>
          <w:p w14:paraId="5094BF86" w14:textId="2CDEE318" w:rsidR="00D44AA7" w:rsidRPr="00170E4A" w:rsidRDefault="00AC0354" w:rsidP="00D44AA7">
            <w:pPr>
              <w:pStyle w:val="ListParagraph"/>
              <w:numPr>
                <w:ilvl w:val="0"/>
                <w:numId w:val="13"/>
              </w:numPr>
              <w:tabs>
                <w:tab w:val="clear" w:pos="720"/>
                <w:tab w:val="num" w:pos="459"/>
              </w:tabs>
              <w:ind w:left="459" w:hanging="426"/>
              <w:rPr>
                <w:rFonts w:ascii="Arial" w:hAnsi="Arial" w:cs="Arial"/>
              </w:rPr>
            </w:pPr>
            <w:r>
              <w:rPr>
                <w:rFonts w:ascii="Arial" w:hAnsi="Arial" w:cs="Arial"/>
              </w:rPr>
              <w:t>U</w:t>
            </w:r>
            <w:r w:rsidR="00D44AA7" w:rsidRPr="00170E4A">
              <w:rPr>
                <w:rFonts w:ascii="Arial" w:hAnsi="Arial" w:cs="Arial"/>
              </w:rPr>
              <w:t>nderstanding of regulatory requirements and access to accurate and timely advice and guidance</w:t>
            </w:r>
            <w:r>
              <w:rPr>
                <w:rFonts w:ascii="Arial" w:hAnsi="Arial" w:cs="Arial"/>
              </w:rPr>
              <w:t xml:space="preserve"> is limited</w:t>
            </w:r>
            <w:r w:rsidR="00D44AA7" w:rsidRPr="00170E4A">
              <w:rPr>
                <w:rFonts w:ascii="Arial" w:hAnsi="Arial" w:cs="Arial"/>
              </w:rPr>
              <w:t>.</w:t>
            </w:r>
          </w:p>
          <w:p w14:paraId="75845DE1" w14:textId="2D77698B" w:rsidR="00D44AA7" w:rsidRDefault="00AC0354" w:rsidP="00D44AA7">
            <w:pPr>
              <w:pStyle w:val="ListParagraph"/>
              <w:numPr>
                <w:ilvl w:val="0"/>
                <w:numId w:val="13"/>
              </w:numPr>
              <w:tabs>
                <w:tab w:val="num" w:pos="459"/>
              </w:tabs>
              <w:ind w:left="459" w:hanging="426"/>
              <w:rPr>
                <w:rFonts w:ascii="Arial" w:hAnsi="Arial" w:cs="Arial"/>
              </w:rPr>
            </w:pPr>
            <w:r>
              <w:rPr>
                <w:rFonts w:ascii="Arial" w:hAnsi="Arial" w:cs="Arial"/>
              </w:rPr>
              <w:t>Less than half</w:t>
            </w:r>
            <w:r w:rsidR="00D44AA7">
              <w:rPr>
                <w:rFonts w:ascii="Arial" w:hAnsi="Arial" w:cs="Arial"/>
              </w:rPr>
              <w:t xml:space="preserve"> </w:t>
            </w:r>
            <w:r>
              <w:rPr>
                <w:rFonts w:ascii="Arial" w:hAnsi="Arial" w:cs="Arial"/>
              </w:rPr>
              <w:t xml:space="preserve">of the </w:t>
            </w:r>
            <w:r w:rsidR="00D44AA7">
              <w:rPr>
                <w:rFonts w:ascii="Arial" w:hAnsi="Arial" w:cs="Arial"/>
              </w:rPr>
              <w:t>regulatory s</w:t>
            </w:r>
            <w:r w:rsidR="00D44AA7" w:rsidRPr="00170E4A">
              <w:rPr>
                <w:rFonts w:ascii="Arial" w:hAnsi="Arial" w:cs="Arial"/>
              </w:rPr>
              <w:t xml:space="preserve">taff </w:t>
            </w:r>
            <w:proofErr w:type="gramStart"/>
            <w:r w:rsidR="00D44AA7" w:rsidRPr="00170E4A">
              <w:rPr>
                <w:rFonts w:ascii="Arial" w:hAnsi="Arial" w:cs="Arial"/>
              </w:rPr>
              <w:t>understand</w:t>
            </w:r>
            <w:proofErr w:type="gramEnd"/>
            <w:r w:rsidR="00D44AA7" w:rsidRPr="00170E4A">
              <w:rPr>
                <w:rFonts w:ascii="Arial" w:hAnsi="Arial" w:cs="Arial"/>
              </w:rPr>
              <w:t xml:space="preserve"> how to best provide guidance and advice to regulated entities. </w:t>
            </w:r>
          </w:p>
          <w:p w14:paraId="76DC7EFF" w14:textId="08A7C6DD" w:rsidR="009332DD" w:rsidRPr="00170E4A" w:rsidRDefault="00404078" w:rsidP="00404078">
            <w:pPr>
              <w:pStyle w:val="ListParagraph"/>
              <w:numPr>
                <w:ilvl w:val="0"/>
                <w:numId w:val="13"/>
              </w:numPr>
              <w:pBdr>
                <w:top w:val="nil"/>
                <w:left w:val="nil"/>
                <w:bottom w:val="nil"/>
                <w:right w:val="nil"/>
                <w:between w:val="nil"/>
                <w:bar w:val="nil"/>
              </w:pBdr>
              <w:tabs>
                <w:tab w:val="clear" w:pos="720"/>
                <w:tab w:val="num" w:pos="459"/>
              </w:tabs>
              <w:ind w:left="459" w:hanging="426"/>
              <w:rPr>
                <w:rFonts w:ascii="Arial" w:hAnsi="Arial" w:cs="Arial"/>
              </w:rPr>
            </w:pPr>
            <w:r>
              <w:rPr>
                <w:rFonts w:ascii="Arial" w:hAnsi="Arial" w:cs="Arial"/>
              </w:rPr>
              <w:t>Feedback is not proactively sought, but when provided it is</w:t>
            </w:r>
            <w:r w:rsidRPr="00170E4A">
              <w:rPr>
                <w:rFonts w:ascii="Arial" w:hAnsi="Arial" w:cs="Arial"/>
              </w:rPr>
              <w:t xml:space="preserve"> used to support continuous improvement.</w:t>
            </w:r>
          </w:p>
        </w:tc>
      </w:tr>
      <w:tr w:rsidR="009332DD" w14:paraId="10C3BB3B" w14:textId="77777777" w:rsidTr="00CA6231">
        <w:trPr>
          <w:cantSplit/>
        </w:trPr>
        <w:tc>
          <w:tcPr>
            <w:tcW w:w="2235" w:type="dxa"/>
            <w:shd w:val="clear" w:color="auto" w:fill="FF0000"/>
            <w:vAlign w:val="center"/>
          </w:tcPr>
          <w:p w14:paraId="1BFFCA36" w14:textId="270D01A9" w:rsidR="009332DD" w:rsidRPr="002C19BB" w:rsidRDefault="009332DD" w:rsidP="00CA6231">
            <w:pPr>
              <w:spacing w:before="120" w:after="120"/>
              <w:rPr>
                <w:rFonts w:ascii="Arial" w:hAnsi="Arial" w:cs="Arial"/>
                <w:b/>
              </w:rPr>
            </w:pPr>
            <w:r w:rsidRPr="002C19BB">
              <w:rPr>
                <w:rFonts w:ascii="Arial" w:hAnsi="Arial" w:cs="Arial"/>
                <w:b/>
              </w:rPr>
              <w:t>Ineffective</w:t>
            </w:r>
            <w:r>
              <w:rPr>
                <w:rFonts w:ascii="Arial" w:hAnsi="Arial" w:cs="Arial"/>
                <w:b/>
              </w:rPr>
              <w:br/>
              <w:t>(1-20% of optimum)</w:t>
            </w:r>
          </w:p>
        </w:tc>
        <w:tc>
          <w:tcPr>
            <w:tcW w:w="7007" w:type="dxa"/>
            <w:vAlign w:val="center"/>
          </w:tcPr>
          <w:p w14:paraId="1476C91B" w14:textId="11162D5A" w:rsidR="00D44AA7" w:rsidRPr="00170E4A" w:rsidRDefault="00D44AA7" w:rsidP="00D44AA7">
            <w:pPr>
              <w:pStyle w:val="ListParagraph"/>
              <w:numPr>
                <w:ilvl w:val="0"/>
                <w:numId w:val="13"/>
              </w:numPr>
              <w:tabs>
                <w:tab w:val="clear" w:pos="720"/>
                <w:tab w:val="num" w:pos="459"/>
              </w:tabs>
              <w:ind w:left="459" w:hanging="426"/>
              <w:rPr>
                <w:rFonts w:ascii="Arial" w:hAnsi="Arial" w:cs="Arial"/>
              </w:rPr>
            </w:pPr>
            <w:r w:rsidRPr="00170E4A">
              <w:rPr>
                <w:rFonts w:ascii="Arial" w:hAnsi="Arial" w:cs="Arial"/>
              </w:rPr>
              <w:t xml:space="preserve">The organisation </w:t>
            </w:r>
            <w:r>
              <w:rPr>
                <w:rFonts w:ascii="Arial" w:hAnsi="Arial" w:cs="Arial"/>
              </w:rPr>
              <w:t>does not have</w:t>
            </w:r>
            <w:r w:rsidRPr="00170E4A">
              <w:rPr>
                <w:rFonts w:ascii="Arial" w:hAnsi="Arial" w:cs="Arial"/>
              </w:rPr>
              <w:t xml:space="preserve"> </w:t>
            </w:r>
            <w:r>
              <w:rPr>
                <w:rFonts w:ascii="Arial" w:hAnsi="Arial" w:cs="Arial"/>
              </w:rPr>
              <w:t xml:space="preserve">an agreed approach to </w:t>
            </w:r>
            <w:r w:rsidRPr="00170E4A">
              <w:rPr>
                <w:rFonts w:ascii="Arial" w:hAnsi="Arial" w:cs="Arial"/>
              </w:rPr>
              <w:t xml:space="preserve">compliance and enforcement </w:t>
            </w:r>
            <w:r>
              <w:rPr>
                <w:rFonts w:ascii="Arial" w:hAnsi="Arial" w:cs="Arial"/>
              </w:rPr>
              <w:t>or</w:t>
            </w:r>
            <w:r w:rsidRPr="00170E4A">
              <w:rPr>
                <w:rFonts w:ascii="Arial" w:hAnsi="Arial" w:cs="Arial"/>
              </w:rPr>
              <w:t xml:space="preserve"> risk. </w:t>
            </w:r>
          </w:p>
          <w:p w14:paraId="2C0DCB7B" w14:textId="010870AC" w:rsidR="00D44AA7" w:rsidRPr="00170E4A" w:rsidRDefault="00D44AA7" w:rsidP="00D44AA7">
            <w:pPr>
              <w:pStyle w:val="ListParagraph"/>
              <w:numPr>
                <w:ilvl w:val="0"/>
                <w:numId w:val="13"/>
              </w:numPr>
              <w:tabs>
                <w:tab w:val="clear" w:pos="720"/>
                <w:tab w:val="num" w:pos="459"/>
              </w:tabs>
              <w:ind w:left="459" w:hanging="426"/>
              <w:rPr>
                <w:rFonts w:ascii="Arial" w:hAnsi="Arial" w:cs="Arial"/>
              </w:rPr>
            </w:pPr>
            <w:r>
              <w:rPr>
                <w:rFonts w:ascii="Arial" w:hAnsi="Arial" w:cs="Arial"/>
              </w:rPr>
              <w:t xml:space="preserve">There is no </w:t>
            </w:r>
            <w:r w:rsidR="00AC0354">
              <w:rPr>
                <w:rFonts w:ascii="Arial" w:hAnsi="Arial" w:cs="Arial"/>
              </w:rPr>
              <w:t>consideration</w:t>
            </w:r>
            <w:r>
              <w:rPr>
                <w:rFonts w:ascii="Arial" w:hAnsi="Arial" w:cs="Arial"/>
              </w:rPr>
              <w:t xml:space="preserve"> of r</w:t>
            </w:r>
            <w:r w:rsidRPr="00170E4A">
              <w:rPr>
                <w:rFonts w:ascii="Arial" w:hAnsi="Arial" w:cs="Arial"/>
              </w:rPr>
              <w:t>egulatory performance.</w:t>
            </w:r>
          </w:p>
          <w:p w14:paraId="2843E9C7" w14:textId="3D2A6236" w:rsidR="00D44AA7" w:rsidRPr="00170E4A" w:rsidRDefault="00D44AA7" w:rsidP="00D44AA7">
            <w:pPr>
              <w:pStyle w:val="ListParagraph"/>
              <w:numPr>
                <w:ilvl w:val="0"/>
                <w:numId w:val="13"/>
              </w:numPr>
              <w:tabs>
                <w:tab w:val="clear" w:pos="720"/>
                <w:tab w:val="num" w:pos="459"/>
              </w:tabs>
              <w:ind w:left="459" w:hanging="426"/>
              <w:rPr>
                <w:rFonts w:ascii="Arial" w:hAnsi="Arial" w:cs="Arial"/>
              </w:rPr>
            </w:pPr>
            <w:r>
              <w:rPr>
                <w:rFonts w:ascii="Arial" w:hAnsi="Arial" w:cs="Arial"/>
              </w:rPr>
              <w:t>T</w:t>
            </w:r>
            <w:r w:rsidRPr="00170E4A">
              <w:rPr>
                <w:rFonts w:ascii="Arial" w:hAnsi="Arial" w:cs="Arial"/>
              </w:rPr>
              <w:t xml:space="preserve">he regulated and wider community </w:t>
            </w:r>
            <w:r>
              <w:rPr>
                <w:rFonts w:ascii="Arial" w:hAnsi="Arial" w:cs="Arial"/>
              </w:rPr>
              <w:t xml:space="preserve">do not </w:t>
            </w:r>
            <w:r w:rsidRPr="00170E4A">
              <w:rPr>
                <w:rFonts w:ascii="Arial" w:hAnsi="Arial" w:cs="Arial"/>
              </w:rPr>
              <w:t xml:space="preserve">have a clear understanding of regulatory requirements </w:t>
            </w:r>
            <w:r>
              <w:rPr>
                <w:rFonts w:ascii="Arial" w:hAnsi="Arial" w:cs="Arial"/>
              </w:rPr>
              <w:t>or</w:t>
            </w:r>
            <w:r w:rsidRPr="00170E4A">
              <w:rPr>
                <w:rFonts w:ascii="Arial" w:hAnsi="Arial" w:cs="Arial"/>
              </w:rPr>
              <w:t xml:space="preserve"> access to accurate and timely advice and guidance.</w:t>
            </w:r>
          </w:p>
          <w:p w14:paraId="506C44B1" w14:textId="0EEE302F" w:rsidR="00D44AA7" w:rsidRDefault="00D44AA7" w:rsidP="00D44AA7">
            <w:pPr>
              <w:pStyle w:val="ListParagraph"/>
              <w:numPr>
                <w:ilvl w:val="0"/>
                <w:numId w:val="13"/>
              </w:numPr>
              <w:tabs>
                <w:tab w:val="num" w:pos="459"/>
              </w:tabs>
              <w:ind w:left="459" w:hanging="426"/>
              <w:rPr>
                <w:rFonts w:ascii="Arial" w:hAnsi="Arial" w:cs="Arial"/>
              </w:rPr>
            </w:pPr>
            <w:r>
              <w:rPr>
                <w:rFonts w:ascii="Arial" w:hAnsi="Arial" w:cs="Arial"/>
              </w:rPr>
              <w:t>G</w:t>
            </w:r>
            <w:r w:rsidRPr="00170E4A">
              <w:rPr>
                <w:rFonts w:ascii="Arial" w:hAnsi="Arial" w:cs="Arial"/>
              </w:rPr>
              <w:t>uidance and advice to regulated entities</w:t>
            </w:r>
            <w:r>
              <w:rPr>
                <w:rFonts w:ascii="Arial" w:hAnsi="Arial" w:cs="Arial"/>
              </w:rPr>
              <w:t xml:space="preserve"> is ad hoc in nature</w:t>
            </w:r>
            <w:r w:rsidRPr="00170E4A">
              <w:rPr>
                <w:rFonts w:ascii="Arial" w:hAnsi="Arial" w:cs="Arial"/>
              </w:rPr>
              <w:t xml:space="preserve">. </w:t>
            </w:r>
          </w:p>
          <w:p w14:paraId="5DF16530" w14:textId="7F4C9C48" w:rsidR="009332DD" w:rsidRDefault="00391A37" w:rsidP="00404078">
            <w:pPr>
              <w:pStyle w:val="ListParagraph"/>
              <w:numPr>
                <w:ilvl w:val="0"/>
                <w:numId w:val="13"/>
              </w:numPr>
              <w:tabs>
                <w:tab w:val="clear" w:pos="720"/>
                <w:tab w:val="num" w:pos="459"/>
              </w:tabs>
              <w:ind w:left="459" w:hanging="426"/>
              <w:rPr>
                <w:rFonts w:ascii="Arial" w:hAnsi="Arial" w:cs="Arial"/>
              </w:rPr>
            </w:pPr>
            <w:r>
              <w:rPr>
                <w:rFonts w:ascii="Arial" w:hAnsi="Arial" w:cs="Arial"/>
              </w:rPr>
              <w:t>Feedback is not</w:t>
            </w:r>
            <w:r w:rsidRPr="00170E4A">
              <w:rPr>
                <w:rFonts w:ascii="Arial" w:hAnsi="Arial" w:cs="Arial"/>
              </w:rPr>
              <w:t xml:space="preserve"> </w:t>
            </w:r>
            <w:r>
              <w:rPr>
                <w:rFonts w:ascii="Arial" w:hAnsi="Arial" w:cs="Arial"/>
              </w:rPr>
              <w:t xml:space="preserve">sought or </w:t>
            </w:r>
            <w:r w:rsidRPr="00170E4A">
              <w:rPr>
                <w:rFonts w:ascii="Arial" w:hAnsi="Arial" w:cs="Arial"/>
              </w:rPr>
              <w:t>used to support continuous improvement.</w:t>
            </w:r>
          </w:p>
        </w:tc>
      </w:tr>
    </w:tbl>
    <w:p w14:paraId="20614C9D" w14:textId="77777777" w:rsidR="003E305E" w:rsidRDefault="003E305E">
      <w:pPr>
        <w:rPr>
          <w:rFonts w:ascii="Arial" w:hAnsi="Arial" w:cs="Arial"/>
          <w:b/>
          <w:color w:val="1F497D" w:themeColor="text2"/>
        </w:rPr>
      </w:pPr>
      <w:r>
        <w:rPr>
          <w:rFonts w:ascii="Arial" w:hAnsi="Arial" w:cs="Arial"/>
          <w:b/>
          <w:color w:val="1F497D" w:themeColor="text2"/>
        </w:rPr>
        <w:br w:type="page"/>
      </w:r>
    </w:p>
    <w:p w14:paraId="6EB93DF6" w14:textId="362E117A" w:rsidR="00CA4E79" w:rsidRPr="002314F7" w:rsidRDefault="00CA4E79" w:rsidP="002314F7">
      <w:pPr>
        <w:keepNext/>
        <w:pBdr>
          <w:top w:val="single" w:sz="8" w:space="1" w:color="1F497D" w:themeColor="text2"/>
          <w:left w:val="single" w:sz="8" w:space="4" w:color="1F497D" w:themeColor="text2"/>
        </w:pBdr>
        <w:ind w:left="992" w:hanging="992"/>
        <w:rPr>
          <w:rFonts w:ascii="Arial" w:hAnsi="Arial" w:cs="Arial"/>
          <w:b/>
          <w:color w:val="1F497D" w:themeColor="text2"/>
        </w:rPr>
      </w:pPr>
      <w:r w:rsidRPr="002314F7">
        <w:rPr>
          <w:rFonts w:ascii="Arial" w:hAnsi="Arial" w:cs="Arial"/>
          <w:b/>
          <w:color w:val="1F497D" w:themeColor="text2"/>
        </w:rPr>
        <w:lastRenderedPageBreak/>
        <w:t xml:space="preserve">KPI 6 – </w:t>
      </w:r>
      <w:r w:rsidR="002C19BB" w:rsidRPr="002314F7">
        <w:rPr>
          <w:rFonts w:ascii="Arial" w:hAnsi="Arial" w:cs="Arial"/>
          <w:b/>
          <w:color w:val="1F497D" w:themeColor="text2"/>
        </w:rPr>
        <w:tab/>
      </w:r>
      <w:r w:rsidRPr="002314F7">
        <w:rPr>
          <w:rFonts w:ascii="Arial" w:hAnsi="Arial" w:cs="Arial"/>
          <w:b/>
          <w:color w:val="1F497D" w:themeColor="text2"/>
        </w:rPr>
        <w:t>GBRMPA actively contributes to the continuous improvement of regulatory frameworks</w:t>
      </w:r>
    </w:p>
    <w:p w14:paraId="151BF099" w14:textId="77777777" w:rsidR="009332DD" w:rsidRPr="009332DD" w:rsidRDefault="009332DD" w:rsidP="002314F7">
      <w:pPr>
        <w:spacing w:before="120" w:after="60"/>
        <w:rPr>
          <w:rFonts w:ascii="Arial" w:hAnsi="Arial" w:cs="Arial"/>
          <w:i/>
        </w:rPr>
      </w:pPr>
      <w:r w:rsidRPr="009332DD">
        <w:rPr>
          <w:rFonts w:ascii="Arial" w:hAnsi="Arial" w:cs="Arial"/>
          <w:i/>
        </w:rPr>
        <w:t>Approved metrics</w:t>
      </w:r>
    </w:p>
    <w:p w14:paraId="2AF9C1AC" w14:textId="77777777" w:rsidR="00BE41F8" w:rsidRP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Documented procedures are in place to allow active and regular engagement with stakeholders.</w:t>
      </w:r>
    </w:p>
    <w:p w14:paraId="4A87B049" w14:textId="77777777" w:rsidR="00BE41F8" w:rsidRP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Stakeholder events held regularly to facilitate participation in the development and/or amendment of regulatory frameworks.</w:t>
      </w:r>
    </w:p>
    <w:p w14:paraId="5282C153" w14:textId="77777777" w:rsidR="00BE41F8" w:rsidRPr="00BE41F8" w:rsidRDefault="00BE41F8" w:rsidP="002314F7">
      <w:pPr>
        <w:numPr>
          <w:ilvl w:val="0"/>
          <w:numId w:val="13"/>
        </w:numPr>
        <w:shd w:val="clear" w:color="auto" w:fill="FFFFFF"/>
        <w:tabs>
          <w:tab w:val="clear" w:pos="720"/>
          <w:tab w:val="num" w:pos="851"/>
        </w:tabs>
        <w:spacing w:after="120" w:line="240" w:lineRule="auto"/>
        <w:ind w:left="851" w:hanging="431"/>
        <w:rPr>
          <w:rFonts w:ascii="Arial" w:eastAsia="Times New Roman" w:hAnsi="Arial" w:cs="Arial"/>
          <w:color w:val="333333"/>
          <w:lang w:val="en" w:eastAsia="en-AU"/>
        </w:rPr>
      </w:pPr>
      <w:r w:rsidRPr="00BE41F8">
        <w:rPr>
          <w:rFonts w:ascii="Arial" w:eastAsia="Times New Roman" w:hAnsi="Arial" w:cs="Arial"/>
          <w:color w:val="333333"/>
          <w:lang w:val="en" w:eastAsia="en-AU"/>
        </w:rPr>
        <w:t>Documented procedures are in place to facilitate the flow of information between the regulator and policy departments.</w:t>
      </w:r>
    </w:p>
    <w:p w14:paraId="78F6F179" w14:textId="77777777" w:rsidR="005825E1" w:rsidRPr="002314F7" w:rsidRDefault="005825E1" w:rsidP="002314F7">
      <w:pPr>
        <w:shd w:val="clear" w:color="auto" w:fill="FFFFFF"/>
        <w:spacing w:after="240" w:line="240" w:lineRule="auto"/>
        <w:contextualSpacing/>
        <w:rPr>
          <w:rFonts w:ascii="Arial" w:eastAsia="Times New Roman" w:hAnsi="Arial" w:cs="Arial"/>
          <w:color w:val="333333"/>
          <w:lang w:val="en" w:eastAsia="en-AU"/>
        </w:rPr>
      </w:pPr>
    </w:p>
    <w:tbl>
      <w:tblPr>
        <w:tblStyle w:val="TableGrid"/>
        <w:tblW w:w="9242" w:type="dxa"/>
        <w:tblLook w:val="04A0" w:firstRow="1" w:lastRow="0" w:firstColumn="1" w:lastColumn="0" w:noHBand="0" w:noVBand="1"/>
      </w:tblPr>
      <w:tblGrid>
        <w:gridCol w:w="2235"/>
        <w:gridCol w:w="7007"/>
      </w:tblGrid>
      <w:tr w:rsidR="009332DD" w14:paraId="08BD134F" w14:textId="77777777" w:rsidTr="00CA6231">
        <w:trPr>
          <w:cantSplit/>
        </w:trPr>
        <w:tc>
          <w:tcPr>
            <w:tcW w:w="2235" w:type="dxa"/>
            <w:shd w:val="clear" w:color="auto" w:fill="00B050"/>
            <w:vAlign w:val="center"/>
          </w:tcPr>
          <w:p w14:paraId="32A80146" w14:textId="5623BAE9" w:rsidR="009332DD" w:rsidRPr="002C19BB" w:rsidRDefault="009332DD" w:rsidP="00CA6231">
            <w:pPr>
              <w:spacing w:before="120" w:after="120"/>
              <w:rPr>
                <w:rFonts w:ascii="Arial" w:hAnsi="Arial" w:cs="Arial"/>
                <w:b/>
              </w:rPr>
            </w:pPr>
            <w:r w:rsidRPr="002C19BB">
              <w:rPr>
                <w:rFonts w:ascii="Arial" w:hAnsi="Arial" w:cs="Arial"/>
                <w:b/>
              </w:rPr>
              <w:t>Effective</w:t>
            </w:r>
            <w:r>
              <w:rPr>
                <w:rFonts w:ascii="Arial" w:hAnsi="Arial" w:cs="Arial"/>
                <w:b/>
              </w:rPr>
              <w:br/>
              <w:t>(81-100% of optimum)</w:t>
            </w:r>
          </w:p>
        </w:tc>
        <w:tc>
          <w:tcPr>
            <w:tcW w:w="7007" w:type="dxa"/>
            <w:vAlign w:val="center"/>
          </w:tcPr>
          <w:p w14:paraId="0082BCE3" w14:textId="5D4A3960" w:rsidR="00F14FFB" w:rsidRPr="00170E4A" w:rsidRDefault="00F14FFB" w:rsidP="00F14FFB">
            <w:pPr>
              <w:pStyle w:val="ListParagraph"/>
              <w:numPr>
                <w:ilvl w:val="0"/>
                <w:numId w:val="13"/>
              </w:numPr>
              <w:pBdr>
                <w:top w:val="nil"/>
                <w:left w:val="nil"/>
                <w:bottom w:val="nil"/>
                <w:right w:val="nil"/>
                <w:between w:val="nil"/>
                <w:bar w:val="nil"/>
              </w:pBdr>
              <w:tabs>
                <w:tab w:val="clear" w:pos="720"/>
                <w:tab w:val="num" w:pos="459"/>
              </w:tabs>
              <w:ind w:left="459" w:hanging="426"/>
              <w:rPr>
                <w:rFonts w:ascii="Arial" w:hAnsi="Arial" w:cs="Arial"/>
              </w:rPr>
            </w:pPr>
            <w:r w:rsidRPr="00170E4A">
              <w:rPr>
                <w:rFonts w:ascii="Arial" w:hAnsi="Arial" w:cs="Arial"/>
              </w:rPr>
              <w:t xml:space="preserve">There are clear processes in place to facilitate active and regular engagement with stakeholders to seek contributions to the improvement of regulatory functions. </w:t>
            </w:r>
          </w:p>
          <w:p w14:paraId="32950777" w14:textId="77777777" w:rsidR="00F14FFB" w:rsidRPr="00170E4A" w:rsidRDefault="00F14FFB" w:rsidP="00F14FFB">
            <w:pPr>
              <w:pStyle w:val="ListParagraph"/>
              <w:numPr>
                <w:ilvl w:val="0"/>
                <w:numId w:val="13"/>
              </w:numPr>
              <w:pBdr>
                <w:top w:val="nil"/>
                <w:left w:val="nil"/>
                <w:bottom w:val="nil"/>
                <w:right w:val="nil"/>
                <w:between w:val="nil"/>
                <w:bar w:val="nil"/>
              </w:pBdr>
              <w:tabs>
                <w:tab w:val="clear" w:pos="720"/>
                <w:tab w:val="num" w:pos="459"/>
              </w:tabs>
              <w:ind w:left="459" w:hanging="426"/>
              <w:rPr>
                <w:rFonts w:ascii="Arial" w:hAnsi="Arial" w:cs="Arial"/>
              </w:rPr>
            </w:pPr>
            <w:r w:rsidRPr="00170E4A">
              <w:rPr>
                <w:rFonts w:ascii="Arial" w:hAnsi="Arial" w:cs="Arial"/>
              </w:rPr>
              <w:t xml:space="preserve">Networking, collaboration and exchange are core organisational principles and a key part of organisational culture. The organisation actively plants and organises regular events to facilitate stakeholder input into the development and maintenance of the organisations regulatory regimes. </w:t>
            </w:r>
          </w:p>
          <w:p w14:paraId="0387F085" w14:textId="77777777" w:rsidR="009332DD" w:rsidRDefault="00F14FFB" w:rsidP="005D7FD5">
            <w:pPr>
              <w:pStyle w:val="ListParagraph"/>
              <w:numPr>
                <w:ilvl w:val="0"/>
                <w:numId w:val="13"/>
              </w:numPr>
              <w:pBdr>
                <w:top w:val="nil"/>
                <w:left w:val="nil"/>
                <w:bottom w:val="nil"/>
                <w:right w:val="nil"/>
                <w:between w:val="nil"/>
                <w:bar w:val="nil"/>
              </w:pBdr>
              <w:tabs>
                <w:tab w:val="clear" w:pos="720"/>
                <w:tab w:val="num" w:pos="459"/>
              </w:tabs>
              <w:ind w:left="459" w:hanging="426"/>
              <w:rPr>
                <w:rFonts w:ascii="Arial" w:hAnsi="Arial" w:cs="Arial"/>
              </w:rPr>
            </w:pPr>
            <w:r w:rsidRPr="00170E4A">
              <w:rPr>
                <w:rFonts w:ascii="Arial" w:hAnsi="Arial" w:cs="Arial"/>
              </w:rPr>
              <w:t xml:space="preserve">There are clear and systematic processes in place to share information between policy and regulatory areas.  </w:t>
            </w:r>
          </w:p>
          <w:p w14:paraId="01AA9905" w14:textId="49062E73" w:rsidR="00887BEE" w:rsidRPr="00170E4A" w:rsidRDefault="00887BEE" w:rsidP="005D7FD5">
            <w:pPr>
              <w:pStyle w:val="ListParagraph"/>
              <w:numPr>
                <w:ilvl w:val="0"/>
                <w:numId w:val="13"/>
              </w:numPr>
              <w:pBdr>
                <w:top w:val="nil"/>
                <w:left w:val="nil"/>
                <w:bottom w:val="nil"/>
                <w:right w:val="nil"/>
                <w:between w:val="nil"/>
                <w:bar w:val="nil"/>
              </w:pBdr>
              <w:tabs>
                <w:tab w:val="clear" w:pos="720"/>
                <w:tab w:val="num" w:pos="459"/>
              </w:tabs>
              <w:ind w:left="459" w:hanging="426"/>
              <w:rPr>
                <w:rFonts w:ascii="Arial" w:hAnsi="Arial" w:cs="Arial"/>
              </w:rPr>
            </w:pPr>
            <w:r>
              <w:rPr>
                <w:rFonts w:ascii="Arial" w:hAnsi="Arial" w:cs="Arial"/>
              </w:rPr>
              <w:t>Resources are always available to deliver continuous improvement of regulatory frameworks.</w:t>
            </w:r>
          </w:p>
        </w:tc>
      </w:tr>
      <w:tr w:rsidR="009332DD" w14:paraId="726E2727" w14:textId="77777777" w:rsidTr="00CA6231">
        <w:trPr>
          <w:cantSplit/>
        </w:trPr>
        <w:tc>
          <w:tcPr>
            <w:tcW w:w="2235" w:type="dxa"/>
            <w:shd w:val="clear" w:color="auto" w:fill="92D050"/>
            <w:vAlign w:val="center"/>
          </w:tcPr>
          <w:p w14:paraId="193AACD2" w14:textId="33C668C4" w:rsidR="009332DD" w:rsidRPr="002C19BB" w:rsidRDefault="009332DD" w:rsidP="00CA6231">
            <w:pPr>
              <w:spacing w:before="120" w:after="120"/>
              <w:rPr>
                <w:rFonts w:ascii="Arial" w:hAnsi="Arial" w:cs="Arial"/>
                <w:b/>
              </w:rPr>
            </w:pPr>
            <w:r w:rsidRPr="002C19BB">
              <w:rPr>
                <w:rFonts w:ascii="Arial" w:hAnsi="Arial" w:cs="Arial"/>
                <w:b/>
              </w:rPr>
              <w:t>Mostly effective</w:t>
            </w:r>
            <w:r>
              <w:rPr>
                <w:rFonts w:ascii="Arial" w:hAnsi="Arial" w:cs="Arial"/>
                <w:b/>
              </w:rPr>
              <w:br/>
              <w:t>(51-80% of optimum)</w:t>
            </w:r>
          </w:p>
        </w:tc>
        <w:tc>
          <w:tcPr>
            <w:tcW w:w="7007" w:type="dxa"/>
            <w:vAlign w:val="center"/>
          </w:tcPr>
          <w:p w14:paraId="033EF64C" w14:textId="77777777" w:rsidR="00F14FFB" w:rsidRPr="00170E4A" w:rsidRDefault="00F14FFB" w:rsidP="00F14FFB">
            <w:pPr>
              <w:pStyle w:val="ListParagraph"/>
              <w:numPr>
                <w:ilvl w:val="0"/>
                <w:numId w:val="13"/>
              </w:numPr>
              <w:pBdr>
                <w:top w:val="nil"/>
                <w:left w:val="nil"/>
                <w:bottom w:val="nil"/>
                <w:right w:val="nil"/>
                <w:between w:val="nil"/>
                <w:bar w:val="nil"/>
              </w:pBdr>
              <w:tabs>
                <w:tab w:val="clear" w:pos="720"/>
                <w:tab w:val="num" w:pos="459"/>
              </w:tabs>
              <w:ind w:left="459" w:hanging="426"/>
              <w:rPr>
                <w:rFonts w:ascii="Arial" w:hAnsi="Arial" w:cs="Arial"/>
              </w:rPr>
            </w:pPr>
            <w:r w:rsidRPr="00170E4A">
              <w:rPr>
                <w:rFonts w:ascii="Arial" w:hAnsi="Arial" w:cs="Arial"/>
              </w:rPr>
              <w:t xml:space="preserve">There are formalised process in place to improve the organisations regulatory functions including involving stakeholders. </w:t>
            </w:r>
          </w:p>
          <w:p w14:paraId="217B7EFA" w14:textId="77777777" w:rsidR="00F14FFB" w:rsidRPr="00170E4A" w:rsidRDefault="00F14FFB" w:rsidP="00F14FFB">
            <w:pPr>
              <w:pStyle w:val="ListParagraph"/>
              <w:numPr>
                <w:ilvl w:val="0"/>
                <w:numId w:val="13"/>
              </w:numPr>
              <w:pBdr>
                <w:top w:val="nil"/>
                <w:left w:val="nil"/>
                <w:bottom w:val="nil"/>
                <w:right w:val="nil"/>
                <w:between w:val="nil"/>
                <w:bar w:val="nil"/>
              </w:pBdr>
              <w:tabs>
                <w:tab w:val="clear" w:pos="720"/>
                <w:tab w:val="num" w:pos="459"/>
              </w:tabs>
              <w:ind w:left="459" w:hanging="426"/>
              <w:rPr>
                <w:rFonts w:ascii="Arial" w:hAnsi="Arial" w:cs="Arial"/>
              </w:rPr>
            </w:pPr>
            <w:r w:rsidRPr="00170E4A">
              <w:rPr>
                <w:rFonts w:ascii="Arial" w:hAnsi="Arial" w:cs="Arial"/>
              </w:rPr>
              <w:t xml:space="preserve">The organisation regularly holds events to engage stakeholders to participate in the development of new and maintenance of existing regulatory regimes. </w:t>
            </w:r>
          </w:p>
          <w:p w14:paraId="064CD3C1" w14:textId="77777777" w:rsidR="009332DD" w:rsidRDefault="00F14FFB" w:rsidP="005D7FD5">
            <w:pPr>
              <w:pStyle w:val="ListParagraph"/>
              <w:numPr>
                <w:ilvl w:val="0"/>
                <w:numId w:val="13"/>
              </w:numPr>
              <w:pBdr>
                <w:top w:val="nil"/>
                <w:left w:val="nil"/>
                <w:bottom w:val="nil"/>
                <w:right w:val="nil"/>
                <w:between w:val="nil"/>
                <w:bar w:val="nil"/>
              </w:pBdr>
              <w:tabs>
                <w:tab w:val="clear" w:pos="720"/>
                <w:tab w:val="num" w:pos="459"/>
              </w:tabs>
              <w:ind w:left="459" w:hanging="426"/>
              <w:rPr>
                <w:rFonts w:ascii="Arial" w:hAnsi="Arial" w:cs="Arial"/>
              </w:rPr>
            </w:pPr>
            <w:r w:rsidRPr="00170E4A">
              <w:rPr>
                <w:rFonts w:ascii="Arial" w:hAnsi="Arial" w:cs="Arial"/>
              </w:rPr>
              <w:t>Information is routinely shared between policy and regulatory areas.</w:t>
            </w:r>
          </w:p>
          <w:p w14:paraId="3AC353AF" w14:textId="2DB9BA7A" w:rsidR="00887BEE" w:rsidRPr="00170E4A" w:rsidRDefault="00887BEE" w:rsidP="00887BEE">
            <w:pPr>
              <w:pStyle w:val="ListParagraph"/>
              <w:numPr>
                <w:ilvl w:val="0"/>
                <w:numId w:val="13"/>
              </w:numPr>
              <w:pBdr>
                <w:top w:val="nil"/>
                <w:left w:val="nil"/>
                <w:bottom w:val="nil"/>
                <w:right w:val="nil"/>
                <w:between w:val="nil"/>
                <w:bar w:val="nil"/>
              </w:pBdr>
              <w:tabs>
                <w:tab w:val="clear" w:pos="720"/>
                <w:tab w:val="num" w:pos="459"/>
              </w:tabs>
              <w:ind w:left="459" w:hanging="426"/>
              <w:rPr>
                <w:rFonts w:ascii="Arial" w:hAnsi="Arial" w:cs="Arial"/>
              </w:rPr>
            </w:pPr>
            <w:r>
              <w:rPr>
                <w:rFonts w:ascii="Arial" w:hAnsi="Arial" w:cs="Arial"/>
              </w:rPr>
              <w:t>Limited resources are available to deliver continuous improvement of regulatory frameworks.</w:t>
            </w:r>
          </w:p>
        </w:tc>
      </w:tr>
      <w:tr w:rsidR="009332DD" w14:paraId="7DBB8B6D" w14:textId="77777777" w:rsidTr="00CA6231">
        <w:trPr>
          <w:cantSplit/>
        </w:trPr>
        <w:tc>
          <w:tcPr>
            <w:tcW w:w="2235" w:type="dxa"/>
            <w:shd w:val="clear" w:color="auto" w:fill="FFC000"/>
            <w:vAlign w:val="center"/>
          </w:tcPr>
          <w:p w14:paraId="63C231A7" w14:textId="5DAE0529" w:rsidR="009332DD" w:rsidRPr="002C19BB" w:rsidRDefault="009332DD" w:rsidP="00CA6231">
            <w:pPr>
              <w:spacing w:before="120" w:after="120"/>
              <w:rPr>
                <w:rFonts w:ascii="Arial" w:hAnsi="Arial" w:cs="Arial"/>
                <w:b/>
              </w:rPr>
            </w:pPr>
            <w:r w:rsidRPr="002C19BB">
              <w:rPr>
                <w:rFonts w:ascii="Arial" w:hAnsi="Arial" w:cs="Arial"/>
                <w:b/>
              </w:rPr>
              <w:t>Partially effective</w:t>
            </w:r>
            <w:r>
              <w:rPr>
                <w:rFonts w:ascii="Arial" w:hAnsi="Arial" w:cs="Arial"/>
                <w:b/>
              </w:rPr>
              <w:br/>
              <w:t>(21-50% of optimum)</w:t>
            </w:r>
          </w:p>
        </w:tc>
        <w:tc>
          <w:tcPr>
            <w:tcW w:w="7007" w:type="dxa"/>
            <w:vAlign w:val="center"/>
          </w:tcPr>
          <w:p w14:paraId="6D51EC0D" w14:textId="77777777" w:rsidR="00F14FFB" w:rsidRPr="00170E4A" w:rsidRDefault="00F14FFB" w:rsidP="00F14FFB">
            <w:pPr>
              <w:pStyle w:val="ListParagraph"/>
              <w:numPr>
                <w:ilvl w:val="0"/>
                <w:numId w:val="13"/>
              </w:numPr>
              <w:pBdr>
                <w:top w:val="nil"/>
                <w:left w:val="nil"/>
                <w:bottom w:val="nil"/>
                <w:right w:val="nil"/>
                <w:between w:val="nil"/>
                <w:bar w:val="nil"/>
              </w:pBdr>
              <w:tabs>
                <w:tab w:val="clear" w:pos="720"/>
                <w:tab w:val="num" w:pos="459"/>
              </w:tabs>
              <w:ind w:left="459" w:hanging="426"/>
              <w:rPr>
                <w:rFonts w:ascii="Arial" w:hAnsi="Arial" w:cs="Arial"/>
              </w:rPr>
            </w:pPr>
            <w:r w:rsidRPr="00170E4A">
              <w:rPr>
                <w:rFonts w:ascii="Arial" w:hAnsi="Arial" w:cs="Arial"/>
              </w:rPr>
              <w:t xml:space="preserve">Some resources have been set aside to promote stakeholder involvement in the development, maintenance and improvement of regulatory regimes. </w:t>
            </w:r>
          </w:p>
          <w:p w14:paraId="4FA3A788" w14:textId="77777777" w:rsidR="009332DD" w:rsidRDefault="00F14FFB" w:rsidP="005D7FD5">
            <w:pPr>
              <w:pStyle w:val="ListParagraph"/>
              <w:numPr>
                <w:ilvl w:val="0"/>
                <w:numId w:val="13"/>
              </w:numPr>
              <w:pBdr>
                <w:top w:val="nil"/>
                <w:left w:val="nil"/>
                <w:bottom w:val="nil"/>
                <w:right w:val="nil"/>
                <w:between w:val="nil"/>
                <w:bar w:val="nil"/>
              </w:pBdr>
              <w:tabs>
                <w:tab w:val="clear" w:pos="720"/>
                <w:tab w:val="num" w:pos="459"/>
              </w:tabs>
              <w:ind w:left="459" w:hanging="426"/>
              <w:rPr>
                <w:rFonts w:ascii="Arial" w:hAnsi="Arial" w:cs="Arial"/>
              </w:rPr>
            </w:pPr>
            <w:proofErr w:type="gramStart"/>
            <w:r w:rsidRPr="00170E4A">
              <w:rPr>
                <w:rFonts w:ascii="Arial" w:hAnsi="Arial" w:cs="Arial"/>
              </w:rPr>
              <w:t>Staff are</w:t>
            </w:r>
            <w:proofErr w:type="gramEnd"/>
            <w:r w:rsidRPr="00170E4A">
              <w:rPr>
                <w:rFonts w:ascii="Arial" w:hAnsi="Arial" w:cs="Arial"/>
              </w:rPr>
              <w:t xml:space="preserve"> supported to share information between policy and regulatory areas, however there are no formalised processes.  </w:t>
            </w:r>
          </w:p>
          <w:p w14:paraId="01E65E47" w14:textId="7C58C390" w:rsidR="00887BEE" w:rsidRPr="00170E4A" w:rsidRDefault="00887BEE" w:rsidP="00887BEE">
            <w:pPr>
              <w:pStyle w:val="ListParagraph"/>
              <w:numPr>
                <w:ilvl w:val="0"/>
                <w:numId w:val="13"/>
              </w:numPr>
              <w:pBdr>
                <w:top w:val="nil"/>
                <w:left w:val="nil"/>
                <w:bottom w:val="nil"/>
                <w:right w:val="nil"/>
                <w:between w:val="nil"/>
                <w:bar w:val="nil"/>
              </w:pBdr>
              <w:tabs>
                <w:tab w:val="clear" w:pos="720"/>
                <w:tab w:val="num" w:pos="459"/>
              </w:tabs>
              <w:ind w:left="459" w:hanging="426"/>
              <w:rPr>
                <w:rFonts w:ascii="Arial" w:hAnsi="Arial" w:cs="Arial"/>
              </w:rPr>
            </w:pPr>
            <w:r>
              <w:rPr>
                <w:rFonts w:ascii="Arial" w:hAnsi="Arial" w:cs="Arial"/>
              </w:rPr>
              <w:t>Limited resources are available to deliver continuous improvement of regulatory frameworks, when competing priorities allow.</w:t>
            </w:r>
          </w:p>
        </w:tc>
      </w:tr>
      <w:tr w:rsidR="009332DD" w14:paraId="335D4492" w14:textId="77777777" w:rsidTr="00CA6231">
        <w:trPr>
          <w:cantSplit/>
        </w:trPr>
        <w:tc>
          <w:tcPr>
            <w:tcW w:w="2235" w:type="dxa"/>
            <w:shd w:val="clear" w:color="auto" w:fill="FF0000"/>
            <w:vAlign w:val="center"/>
          </w:tcPr>
          <w:p w14:paraId="2080AB2E" w14:textId="7808ED8D" w:rsidR="009332DD" w:rsidRPr="002C19BB" w:rsidRDefault="009332DD" w:rsidP="00CA6231">
            <w:pPr>
              <w:spacing w:before="120" w:after="120"/>
              <w:rPr>
                <w:rFonts w:ascii="Arial" w:hAnsi="Arial" w:cs="Arial"/>
                <w:b/>
              </w:rPr>
            </w:pPr>
            <w:r w:rsidRPr="002C19BB">
              <w:rPr>
                <w:rFonts w:ascii="Arial" w:hAnsi="Arial" w:cs="Arial"/>
                <w:b/>
              </w:rPr>
              <w:t>Ineffective</w:t>
            </w:r>
            <w:r>
              <w:rPr>
                <w:rFonts w:ascii="Arial" w:hAnsi="Arial" w:cs="Arial"/>
                <w:b/>
              </w:rPr>
              <w:br/>
              <w:t>(1-20% of optimum)</w:t>
            </w:r>
          </w:p>
        </w:tc>
        <w:tc>
          <w:tcPr>
            <w:tcW w:w="7007" w:type="dxa"/>
            <w:vAlign w:val="center"/>
          </w:tcPr>
          <w:p w14:paraId="7F23CCD5" w14:textId="77777777" w:rsidR="009332DD" w:rsidRDefault="00F14FFB" w:rsidP="003D145B">
            <w:pPr>
              <w:pStyle w:val="ListParagraph"/>
              <w:numPr>
                <w:ilvl w:val="0"/>
                <w:numId w:val="13"/>
              </w:numPr>
              <w:tabs>
                <w:tab w:val="clear" w:pos="720"/>
                <w:tab w:val="num" w:pos="459"/>
              </w:tabs>
              <w:ind w:left="459" w:hanging="426"/>
              <w:rPr>
                <w:rFonts w:ascii="Arial" w:hAnsi="Arial" w:cs="Arial"/>
              </w:rPr>
            </w:pPr>
            <w:r w:rsidRPr="00170E4A">
              <w:rPr>
                <w:rFonts w:ascii="Arial" w:hAnsi="Arial" w:cs="Arial"/>
              </w:rPr>
              <w:t xml:space="preserve">There are no active or formal procedures or mechanisms to maintain or improve regulatory functions or to involve stakeholders into </w:t>
            </w:r>
            <w:proofErr w:type="gramStart"/>
            <w:r w:rsidRPr="00170E4A">
              <w:rPr>
                <w:rFonts w:ascii="Arial" w:hAnsi="Arial" w:cs="Arial"/>
              </w:rPr>
              <w:t>these process</w:t>
            </w:r>
            <w:proofErr w:type="gramEnd"/>
            <w:r w:rsidRPr="00170E4A">
              <w:rPr>
                <w:rFonts w:ascii="Arial" w:hAnsi="Arial" w:cs="Arial"/>
              </w:rPr>
              <w:t>.</w:t>
            </w:r>
          </w:p>
          <w:p w14:paraId="25B1277F" w14:textId="77777777" w:rsidR="005D7FD5" w:rsidRDefault="005D7FD5" w:rsidP="003D145B">
            <w:pPr>
              <w:pStyle w:val="ListParagraph"/>
              <w:numPr>
                <w:ilvl w:val="0"/>
                <w:numId w:val="13"/>
              </w:numPr>
              <w:tabs>
                <w:tab w:val="clear" w:pos="720"/>
                <w:tab w:val="num" w:pos="459"/>
              </w:tabs>
              <w:ind w:left="459" w:hanging="426"/>
              <w:rPr>
                <w:rFonts w:ascii="Arial" w:hAnsi="Arial" w:cs="Arial"/>
              </w:rPr>
            </w:pPr>
            <w:r>
              <w:rPr>
                <w:rFonts w:ascii="Arial" w:hAnsi="Arial" w:cs="Arial"/>
              </w:rPr>
              <w:t>Information is not shared between regulator and policy areas.</w:t>
            </w:r>
          </w:p>
          <w:p w14:paraId="32FD1D64" w14:textId="03AF0ACF" w:rsidR="00887BEE" w:rsidRDefault="00887BEE" w:rsidP="003D145B">
            <w:pPr>
              <w:pStyle w:val="ListParagraph"/>
              <w:numPr>
                <w:ilvl w:val="0"/>
                <w:numId w:val="13"/>
              </w:numPr>
              <w:tabs>
                <w:tab w:val="clear" w:pos="720"/>
                <w:tab w:val="num" w:pos="459"/>
              </w:tabs>
              <w:ind w:left="459" w:hanging="426"/>
              <w:rPr>
                <w:rFonts w:ascii="Arial" w:hAnsi="Arial" w:cs="Arial"/>
              </w:rPr>
            </w:pPr>
            <w:r>
              <w:rPr>
                <w:rFonts w:ascii="Arial" w:hAnsi="Arial" w:cs="Arial"/>
              </w:rPr>
              <w:t>Resources are not available to deliver continuous improvement of regulatory frameworks.</w:t>
            </w:r>
          </w:p>
        </w:tc>
      </w:tr>
    </w:tbl>
    <w:p w14:paraId="3FF28347" w14:textId="77777777" w:rsidR="002C19BB" w:rsidRPr="0053529E" w:rsidRDefault="002C19BB" w:rsidP="005825E1">
      <w:pPr>
        <w:rPr>
          <w:rFonts w:ascii="Arial" w:hAnsi="Arial" w:cs="Arial"/>
        </w:rPr>
      </w:pPr>
    </w:p>
    <w:sectPr w:rsidR="002C19BB" w:rsidRPr="0053529E" w:rsidSect="00157AE5">
      <w:headerReference w:type="even" r:id="rId84"/>
      <w:headerReference w:type="default" r:id="rId85"/>
      <w:footerReference w:type="even" r:id="rId86"/>
      <w:footerReference w:type="default" r:id="rId87"/>
      <w:footerReference w:type="first" r:id="rId88"/>
      <w:pgSz w:w="11906" w:h="16838"/>
      <w:pgMar w:top="1440" w:right="1440" w:bottom="1135" w:left="1440" w:header="7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AD8B9" w14:textId="77777777" w:rsidR="00B82FE0" w:rsidRDefault="00B82FE0" w:rsidP="00734E8D">
      <w:pPr>
        <w:spacing w:after="0" w:line="240" w:lineRule="auto"/>
      </w:pPr>
      <w:r>
        <w:separator/>
      </w:r>
    </w:p>
  </w:endnote>
  <w:endnote w:type="continuationSeparator" w:id="0">
    <w:p w14:paraId="4F2C7CE7" w14:textId="77777777" w:rsidR="00B82FE0" w:rsidRDefault="00B82FE0" w:rsidP="0073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141882680"/>
      <w:docPartObj>
        <w:docPartGallery w:val="Page Numbers (Bottom of Page)"/>
        <w:docPartUnique/>
      </w:docPartObj>
    </w:sdtPr>
    <w:sdtEndPr/>
    <w:sdtContent>
      <w:sdt>
        <w:sdtPr>
          <w:rPr>
            <w:rFonts w:ascii="Arial" w:hAnsi="Arial" w:cs="Arial"/>
          </w:rPr>
          <w:id w:val="-1733609445"/>
          <w:docPartObj>
            <w:docPartGallery w:val="Page Numbers (Top of Page)"/>
            <w:docPartUnique/>
          </w:docPartObj>
        </w:sdtPr>
        <w:sdtEndPr/>
        <w:sdtContent>
          <w:p w14:paraId="202B7A30" w14:textId="5C3738B3" w:rsidR="00157AE5" w:rsidRPr="00FA325D" w:rsidRDefault="00157AE5" w:rsidP="00FA325D">
            <w:pPr>
              <w:pStyle w:val="Footer"/>
              <w:jc w:val="center"/>
              <w:rPr>
                <w:rFonts w:ascii="Arial" w:hAnsi="Arial" w:cs="Arial"/>
              </w:rPr>
            </w:pPr>
            <w:r w:rsidRPr="00734E8D">
              <w:rPr>
                <w:rFonts w:ascii="Arial" w:hAnsi="Arial" w:cs="Arial"/>
              </w:rPr>
              <w:t xml:space="preserve">Page </w:t>
            </w:r>
            <w:r w:rsidRPr="00734E8D">
              <w:rPr>
                <w:rFonts w:ascii="Arial" w:hAnsi="Arial" w:cs="Arial"/>
                <w:b/>
                <w:bCs/>
                <w:sz w:val="24"/>
                <w:szCs w:val="24"/>
              </w:rPr>
              <w:fldChar w:fldCharType="begin"/>
            </w:r>
            <w:r w:rsidRPr="00734E8D">
              <w:rPr>
                <w:rFonts w:ascii="Arial" w:hAnsi="Arial" w:cs="Arial"/>
                <w:b/>
                <w:bCs/>
              </w:rPr>
              <w:instrText xml:space="preserve"> PAGE </w:instrText>
            </w:r>
            <w:r w:rsidRPr="00734E8D">
              <w:rPr>
                <w:rFonts w:ascii="Arial" w:hAnsi="Arial" w:cs="Arial"/>
                <w:b/>
                <w:bCs/>
                <w:sz w:val="24"/>
                <w:szCs w:val="24"/>
              </w:rPr>
              <w:fldChar w:fldCharType="separate"/>
            </w:r>
            <w:r>
              <w:rPr>
                <w:rFonts w:ascii="Arial" w:hAnsi="Arial" w:cs="Arial"/>
                <w:b/>
                <w:bCs/>
                <w:noProof/>
              </w:rPr>
              <w:t>2</w:t>
            </w:r>
            <w:r w:rsidRPr="00734E8D">
              <w:rPr>
                <w:rFonts w:ascii="Arial" w:hAnsi="Arial" w:cs="Arial"/>
                <w:b/>
                <w:bCs/>
                <w:sz w:val="24"/>
                <w:szCs w:val="24"/>
              </w:rPr>
              <w:fldChar w:fldCharType="end"/>
            </w:r>
            <w:r w:rsidRPr="00734E8D">
              <w:rPr>
                <w:rFonts w:ascii="Arial" w:hAnsi="Arial" w:cs="Arial"/>
              </w:rPr>
              <w:t xml:space="preserve"> of </w:t>
            </w:r>
            <w:r w:rsidRPr="00734E8D">
              <w:rPr>
                <w:rFonts w:ascii="Arial" w:hAnsi="Arial" w:cs="Arial"/>
                <w:b/>
                <w:bCs/>
                <w:sz w:val="24"/>
                <w:szCs w:val="24"/>
              </w:rPr>
              <w:fldChar w:fldCharType="begin"/>
            </w:r>
            <w:r w:rsidRPr="00734E8D">
              <w:rPr>
                <w:rFonts w:ascii="Arial" w:hAnsi="Arial" w:cs="Arial"/>
                <w:b/>
                <w:bCs/>
              </w:rPr>
              <w:instrText xml:space="preserve"> NUMPAGES  </w:instrText>
            </w:r>
            <w:r w:rsidRPr="00734E8D">
              <w:rPr>
                <w:rFonts w:ascii="Arial" w:hAnsi="Arial" w:cs="Arial"/>
                <w:b/>
                <w:bCs/>
                <w:sz w:val="24"/>
                <w:szCs w:val="24"/>
              </w:rPr>
              <w:fldChar w:fldCharType="separate"/>
            </w:r>
            <w:r>
              <w:rPr>
                <w:rFonts w:ascii="Arial" w:hAnsi="Arial" w:cs="Arial"/>
                <w:b/>
                <w:bCs/>
                <w:noProof/>
              </w:rPr>
              <w:t>32</w:t>
            </w:r>
            <w:r w:rsidRPr="00734E8D">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21827950"/>
      <w:docPartObj>
        <w:docPartGallery w:val="Page Numbers (Bottom of Page)"/>
        <w:docPartUnique/>
      </w:docPartObj>
    </w:sdtPr>
    <w:sdtEndPr/>
    <w:sdtContent>
      <w:sdt>
        <w:sdtPr>
          <w:rPr>
            <w:rFonts w:ascii="Arial" w:hAnsi="Arial" w:cs="Arial"/>
          </w:rPr>
          <w:id w:val="537632913"/>
          <w:docPartObj>
            <w:docPartGallery w:val="Page Numbers (Top of Page)"/>
            <w:docPartUnique/>
          </w:docPartObj>
        </w:sdtPr>
        <w:sdtEndPr/>
        <w:sdtContent>
          <w:p w14:paraId="780ADAA3" w14:textId="77777777" w:rsidR="00157AE5" w:rsidRDefault="00157AE5" w:rsidP="00734E8D">
            <w:pPr>
              <w:pStyle w:val="Footer"/>
              <w:jc w:val="center"/>
              <w:rPr>
                <w:rFonts w:ascii="Arial" w:hAnsi="Arial" w:cs="Arial"/>
                <w:b/>
                <w:bCs/>
                <w:sz w:val="24"/>
                <w:szCs w:val="24"/>
              </w:rPr>
            </w:pPr>
            <w:r w:rsidRPr="00734E8D">
              <w:rPr>
                <w:rFonts w:ascii="Arial" w:hAnsi="Arial" w:cs="Arial"/>
              </w:rPr>
              <w:t xml:space="preserve">Page </w:t>
            </w:r>
            <w:r w:rsidRPr="00734E8D">
              <w:rPr>
                <w:rFonts w:ascii="Arial" w:hAnsi="Arial" w:cs="Arial"/>
                <w:b/>
                <w:bCs/>
                <w:sz w:val="24"/>
                <w:szCs w:val="24"/>
              </w:rPr>
              <w:fldChar w:fldCharType="begin"/>
            </w:r>
            <w:r w:rsidRPr="00734E8D">
              <w:rPr>
                <w:rFonts w:ascii="Arial" w:hAnsi="Arial" w:cs="Arial"/>
                <w:b/>
                <w:bCs/>
              </w:rPr>
              <w:instrText xml:space="preserve"> PAGE </w:instrText>
            </w:r>
            <w:r w:rsidRPr="00734E8D">
              <w:rPr>
                <w:rFonts w:ascii="Arial" w:hAnsi="Arial" w:cs="Arial"/>
                <w:b/>
                <w:bCs/>
                <w:sz w:val="24"/>
                <w:szCs w:val="24"/>
              </w:rPr>
              <w:fldChar w:fldCharType="separate"/>
            </w:r>
            <w:r w:rsidR="00A93978">
              <w:rPr>
                <w:rFonts w:ascii="Arial" w:hAnsi="Arial" w:cs="Arial"/>
                <w:b/>
                <w:bCs/>
                <w:noProof/>
              </w:rPr>
              <w:t>32</w:t>
            </w:r>
            <w:r w:rsidRPr="00734E8D">
              <w:rPr>
                <w:rFonts w:ascii="Arial" w:hAnsi="Arial" w:cs="Arial"/>
                <w:b/>
                <w:bCs/>
                <w:sz w:val="24"/>
                <w:szCs w:val="24"/>
              </w:rPr>
              <w:fldChar w:fldCharType="end"/>
            </w:r>
            <w:r w:rsidRPr="00734E8D">
              <w:rPr>
                <w:rFonts w:ascii="Arial" w:hAnsi="Arial" w:cs="Arial"/>
              </w:rPr>
              <w:t xml:space="preserve"> of </w:t>
            </w:r>
            <w:r w:rsidRPr="00734E8D">
              <w:rPr>
                <w:rFonts w:ascii="Arial" w:hAnsi="Arial" w:cs="Arial"/>
                <w:b/>
                <w:bCs/>
                <w:sz w:val="24"/>
                <w:szCs w:val="24"/>
              </w:rPr>
              <w:fldChar w:fldCharType="begin"/>
            </w:r>
            <w:r w:rsidRPr="00734E8D">
              <w:rPr>
                <w:rFonts w:ascii="Arial" w:hAnsi="Arial" w:cs="Arial"/>
                <w:b/>
                <w:bCs/>
              </w:rPr>
              <w:instrText xml:space="preserve"> NUMPAGES  </w:instrText>
            </w:r>
            <w:r w:rsidRPr="00734E8D">
              <w:rPr>
                <w:rFonts w:ascii="Arial" w:hAnsi="Arial" w:cs="Arial"/>
                <w:b/>
                <w:bCs/>
                <w:sz w:val="24"/>
                <w:szCs w:val="24"/>
              </w:rPr>
              <w:fldChar w:fldCharType="separate"/>
            </w:r>
            <w:r w:rsidR="00A93978">
              <w:rPr>
                <w:rFonts w:ascii="Arial" w:hAnsi="Arial" w:cs="Arial"/>
                <w:b/>
                <w:bCs/>
                <w:noProof/>
              </w:rPr>
              <w:t>32</w:t>
            </w:r>
            <w:r w:rsidRPr="00734E8D">
              <w:rPr>
                <w:rFonts w:ascii="Arial" w:hAnsi="Arial" w:cs="Arial"/>
                <w:b/>
                <w:bCs/>
                <w:sz w:val="24"/>
                <w:szCs w:val="24"/>
              </w:rPr>
              <w:fldChar w:fldCharType="end"/>
            </w:r>
          </w:p>
          <w:p w14:paraId="18AE5662" w14:textId="546BA5DF" w:rsidR="00157AE5" w:rsidRPr="00734E8D" w:rsidRDefault="00B82FE0" w:rsidP="00E8462A">
            <w:pPr>
              <w:pStyle w:val="Footer"/>
              <w:rPr>
                <w:rFonts w:ascii="Arial" w:hAnsi="Arial" w:cs="Arial"/>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40994714"/>
      <w:docPartObj>
        <w:docPartGallery w:val="Page Numbers (Bottom of Page)"/>
        <w:docPartUnique/>
      </w:docPartObj>
    </w:sdtPr>
    <w:sdtEndPr/>
    <w:sdtContent>
      <w:sdt>
        <w:sdtPr>
          <w:rPr>
            <w:rFonts w:ascii="Arial" w:hAnsi="Arial" w:cs="Arial"/>
          </w:rPr>
          <w:id w:val="-98333769"/>
          <w:docPartObj>
            <w:docPartGallery w:val="Page Numbers (Top of Page)"/>
            <w:docPartUnique/>
          </w:docPartObj>
        </w:sdtPr>
        <w:sdtEndPr/>
        <w:sdtContent>
          <w:p w14:paraId="18BF0EC8" w14:textId="055FF4F5" w:rsidR="00157AE5" w:rsidRPr="00FA325D" w:rsidRDefault="00157AE5" w:rsidP="00FA325D">
            <w:pPr>
              <w:pStyle w:val="Footer"/>
              <w:jc w:val="center"/>
              <w:rPr>
                <w:rFonts w:ascii="Arial" w:hAnsi="Arial" w:cs="Arial"/>
              </w:rPr>
            </w:pPr>
            <w:r w:rsidRPr="00734E8D">
              <w:rPr>
                <w:rFonts w:ascii="Arial" w:hAnsi="Arial" w:cs="Arial"/>
              </w:rPr>
              <w:t xml:space="preserve">Page </w:t>
            </w:r>
            <w:r w:rsidRPr="00734E8D">
              <w:rPr>
                <w:rFonts w:ascii="Arial" w:hAnsi="Arial" w:cs="Arial"/>
                <w:b/>
                <w:bCs/>
                <w:sz w:val="24"/>
                <w:szCs w:val="24"/>
              </w:rPr>
              <w:fldChar w:fldCharType="begin"/>
            </w:r>
            <w:r w:rsidRPr="00734E8D">
              <w:rPr>
                <w:rFonts w:ascii="Arial" w:hAnsi="Arial" w:cs="Arial"/>
                <w:b/>
                <w:bCs/>
              </w:rPr>
              <w:instrText xml:space="preserve"> PAGE </w:instrText>
            </w:r>
            <w:r w:rsidRPr="00734E8D">
              <w:rPr>
                <w:rFonts w:ascii="Arial" w:hAnsi="Arial" w:cs="Arial"/>
                <w:b/>
                <w:bCs/>
                <w:sz w:val="24"/>
                <w:szCs w:val="24"/>
              </w:rPr>
              <w:fldChar w:fldCharType="separate"/>
            </w:r>
            <w:r w:rsidR="00A93978">
              <w:rPr>
                <w:rFonts w:ascii="Arial" w:hAnsi="Arial" w:cs="Arial"/>
                <w:b/>
                <w:bCs/>
                <w:noProof/>
              </w:rPr>
              <w:t>1</w:t>
            </w:r>
            <w:r w:rsidRPr="00734E8D">
              <w:rPr>
                <w:rFonts w:ascii="Arial" w:hAnsi="Arial" w:cs="Arial"/>
                <w:b/>
                <w:bCs/>
                <w:sz w:val="24"/>
                <w:szCs w:val="24"/>
              </w:rPr>
              <w:fldChar w:fldCharType="end"/>
            </w:r>
            <w:r w:rsidRPr="00734E8D">
              <w:rPr>
                <w:rFonts w:ascii="Arial" w:hAnsi="Arial" w:cs="Arial"/>
              </w:rPr>
              <w:t xml:space="preserve"> of </w:t>
            </w:r>
            <w:r w:rsidRPr="00734E8D">
              <w:rPr>
                <w:rFonts w:ascii="Arial" w:hAnsi="Arial" w:cs="Arial"/>
                <w:b/>
                <w:bCs/>
                <w:sz w:val="24"/>
                <w:szCs w:val="24"/>
              </w:rPr>
              <w:fldChar w:fldCharType="begin"/>
            </w:r>
            <w:r w:rsidRPr="00734E8D">
              <w:rPr>
                <w:rFonts w:ascii="Arial" w:hAnsi="Arial" w:cs="Arial"/>
                <w:b/>
                <w:bCs/>
              </w:rPr>
              <w:instrText xml:space="preserve"> NUMPAGES  </w:instrText>
            </w:r>
            <w:r w:rsidRPr="00734E8D">
              <w:rPr>
                <w:rFonts w:ascii="Arial" w:hAnsi="Arial" w:cs="Arial"/>
                <w:b/>
                <w:bCs/>
                <w:sz w:val="24"/>
                <w:szCs w:val="24"/>
              </w:rPr>
              <w:fldChar w:fldCharType="separate"/>
            </w:r>
            <w:r w:rsidR="00A93978">
              <w:rPr>
                <w:rFonts w:ascii="Arial" w:hAnsi="Arial" w:cs="Arial"/>
                <w:b/>
                <w:bCs/>
                <w:noProof/>
              </w:rPr>
              <w:t>32</w:t>
            </w:r>
            <w:r w:rsidRPr="00734E8D">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A3C6" w14:textId="77777777" w:rsidR="00B82FE0" w:rsidRDefault="00B82FE0" w:rsidP="00734E8D">
      <w:pPr>
        <w:spacing w:after="0" w:line="240" w:lineRule="auto"/>
      </w:pPr>
      <w:r>
        <w:separator/>
      </w:r>
    </w:p>
  </w:footnote>
  <w:footnote w:type="continuationSeparator" w:id="0">
    <w:p w14:paraId="2ADA199E" w14:textId="77777777" w:rsidR="00B82FE0" w:rsidRDefault="00B82FE0" w:rsidP="00734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E1530" w14:textId="3CB88C27" w:rsidR="00157AE5" w:rsidRPr="00FA325D" w:rsidRDefault="00157AE5" w:rsidP="00FA325D">
    <w:pPr>
      <w:pStyle w:val="Header"/>
      <w:jc w:val="right"/>
      <w:rPr>
        <w:rFonts w:ascii="Arial" w:hAnsi="Arial" w:cs="Arial"/>
      </w:rPr>
    </w:pPr>
    <w:r w:rsidRPr="00FA325D">
      <w:rPr>
        <w:rFonts w:ascii="Arial" w:hAnsi="Arial" w:cs="Arial"/>
      </w:rPr>
      <w:t>GBRMPA - Regulator Performance Framework Self-assessment 2015-16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A621E" w14:textId="3A97804B" w:rsidR="00157AE5" w:rsidRPr="003B4559" w:rsidRDefault="00157AE5" w:rsidP="003B4559">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7E380C"/>
    <w:lvl w:ilvl="0">
      <w:start w:val="1"/>
      <w:numFmt w:val="bullet"/>
      <w:lvlText w:val=""/>
      <w:lvlJc w:val="left"/>
      <w:pPr>
        <w:tabs>
          <w:tab w:val="num" w:pos="643"/>
        </w:tabs>
        <w:ind w:left="643" w:hanging="360"/>
      </w:pPr>
      <w:rPr>
        <w:rFonts w:ascii="Symbol" w:hAnsi="Symbol" w:hint="default"/>
      </w:rPr>
    </w:lvl>
  </w:abstractNum>
  <w:abstractNum w:abstractNumId="1">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nsid w:val="00D76F2B"/>
    <w:multiLevelType w:val="hybridMultilevel"/>
    <w:tmpl w:val="23C22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91DB9"/>
    <w:multiLevelType w:val="hybridMultilevel"/>
    <w:tmpl w:val="9BC687E0"/>
    <w:lvl w:ilvl="0" w:tplc="A1B063CA">
      <w:start w:val="1"/>
      <w:numFmt w:val="lowerLetter"/>
      <w:lvlText w:val="(%1)"/>
      <w:lvlJc w:val="left"/>
      <w:pPr>
        <w:ind w:left="1799" w:hanging="360"/>
      </w:pPr>
      <w:rPr>
        <w:rFonts w:hint="default"/>
      </w:rPr>
    </w:lvl>
    <w:lvl w:ilvl="1" w:tplc="D3E4701E">
      <w:start w:val="1"/>
      <w:numFmt w:val="lowerRoman"/>
      <w:lvlText w:val="(%2)"/>
      <w:lvlJc w:val="left"/>
      <w:pPr>
        <w:ind w:left="2519" w:hanging="360"/>
      </w:pPr>
      <w:rPr>
        <w:rFonts w:hint="default"/>
      </w:rPr>
    </w:lvl>
    <w:lvl w:ilvl="2" w:tplc="0C09001B" w:tentative="1">
      <w:start w:val="1"/>
      <w:numFmt w:val="lowerRoman"/>
      <w:lvlText w:val="%3."/>
      <w:lvlJc w:val="right"/>
      <w:pPr>
        <w:ind w:left="3239" w:hanging="180"/>
      </w:pPr>
    </w:lvl>
    <w:lvl w:ilvl="3" w:tplc="0C09000F" w:tentative="1">
      <w:start w:val="1"/>
      <w:numFmt w:val="decimal"/>
      <w:lvlText w:val="%4."/>
      <w:lvlJc w:val="left"/>
      <w:pPr>
        <w:ind w:left="3959" w:hanging="360"/>
      </w:pPr>
    </w:lvl>
    <w:lvl w:ilvl="4" w:tplc="0C090019" w:tentative="1">
      <w:start w:val="1"/>
      <w:numFmt w:val="lowerLetter"/>
      <w:lvlText w:val="%5."/>
      <w:lvlJc w:val="left"/>
      <w:pPr>
        <w:ind w:left="4679" w:hanging="360"/>
      </w:pPr>
    </w:lvl>
    <w:lvl w:ilvl="5" w:tplc="0C09001B" w:tentative="1">
      <w:start w:val="1"/>
      <w:numFmt w:val="lowerRoman"/>
      <w:lvlText w:val="%6."/>
      <w:lvlJc w:val="right"/>
      <w:pPr>
        <w:ind w:left="5399" w:hanging="180"/>
      </w:pPr>
    </w:lvl>
    <w:lvl w:ilvl="6" w:tplc="0C09000F" w:tentative="1">
      <w:start w:val="1"/>
      <w:numFmt w:val="decimal"/>
      <w:lvlText w:val="%7."/>
      <w:lvlJc w:val="left"/>
      <w:pPr>
        <w:ind w:left="6119" w:hanging="360"/>
      </w:pPr>
    </w:lvl>
    <w:lvl w:ilvl="7" w:tplc="0C090019" w:tentative="1">
      <w:start w:val="1"/>
      <w:numFmt w:val="lowerLetter"/>
      <w:lvlText w:val="%8."/>
      <w:lvlJc w:val="left"/>
      <w:pPr>
        <w:ind w:left="6839" w:hanging="360"/>
      </w:pPr>
    </w:lvl>
    <w:lvl w:ilvl="8" w:tplc="0C09001B" w:tentative="1">
      <w:start w:val="1"/>
      <w:numFmt w:val="lowerRoman"/>
      <w:lvlText w:val="%9."/>
      <w:lvlJc w:val="right"/>
      <w:pPr>
        <w:ind w:left="7559" w:hanging="180"/>
      </w:pPr>
    </w:lvl>
  </w:abstractNum>
  <w:abstractNum w:abstractNumId="4">
    <w:nsid w:val="10251009"/>
    <w:multiLevelType w:val="hybridMultilevel"/>
    <w:tmpl w:val="A20E6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D60A46"/>
    <w:multiLevelType w:val="hybridMultilevel"/>
    <w:tmpl w:val="81923616"/>
    <w:lvl w:ilvl="0" w:tplc="45D21054">
      <w:start w:val="1"/>
      <w:numFmt w:val="decimal"/>
      <w:lvlText w:val="(%1)"/>
      <w:lvlJc w:val="left"/>
      <w:pPr>
        <w:ind w:left="720" w:hanging="360"/>
      </w:pPr>
      <w:rPr>
        <w:rFonts w:hint="default"/>
      </w:rPr>
    </w:lvl>
    <w:lvl w:ilvl="1" w:tplc="3C6A3BBA">
      <w:start w:val="1"/>
      <w:numFmt w:val="lowerLetter"/>
      <w:lvlText w:val="(%2)"/>
      <w:lvlJc w:val="left"/>
      <w:pPr>
        <w:ind w:left="1485" w:hanging="405"/>
      </w:pPr>
      <w:rPr>
        <w:rFonts w:hint="default"/>
      </w:rPr>
    </w:lvl>
    <w:lvl w:ilvl="2" w:tplc="56E2A8CC">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EA72C5"/>
    <w:multiLevelType w:val="hybridMultilevel"/>
    <w:tmpl w:val="2FAAF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745BC2"/>
    <w:multiLevelType w:val="multilevel"/>
    <w:tmpl w:val="E5E89F92"/>
    <w:numStyleLink w:val="BulletList"/>
  </w:abstractNum>
  <w:abstractNum w:abstractNumId="8">
    <w:nsid w:val="337714A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A35933"/>
    <w:multiLevelType w:val="multilevel"/>
    <w:tmpl w:val="A9D8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B1835"/>
    <w:multiLevelType w:val="hybridMultilevel"/>
    <w:tmpl w:val="B3009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A33BB2"/>
    <w:multiLevelType w:val="multilevel"/>
    <w:tmpl w:val="BAB0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123B3C"/>
    <w:multiLevelType w:val="hybridMultilevel"/>
    <w:tmpl w:val="7BCE1740"/>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3">
    <w:nsid w:val="437E7286"/>
    <w:multiLevelType w:val="multilevel"/>
    <w:tmpl w:val="C120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946411"/>
    <w:multiLevelType w:val="hybridMultilevel"/>
    <w:tmpl w:val="E534A242"/>
    <w:lvl w:ilvl="0" w:tplc="0C090001">
      <w:start w:val="1"/>
      <w:numFmt w:val="bullet"/>
      <w:lvlText w:val=""/>
      <w:lvlJc w:val="left"/>
      <w:pPr>
        <w:ind w:left="1089" w:hanging="360"/>
      </w:pPr>
      <w:rPr>
        <w:rFonts w:ascii="Symbol" w:hAnsi="Symbol" w:hint="default"/>
      </w:rPr>
    </w:lvl>
    <w:lvl w:ilvl="1" w:tplc="0C090003">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5">
    <w:nsid w:val="47803F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2A5AED"/>
    <w:multiLevelType w:val="hybridMultilevel"/>
    <w:tmpl w:val="22CC693E"/>
    <w:lvl w:ilvl="0" w:tplc="9D9634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8532144"/>
    <w:multiLevelType w:val="multilevel"/>
    <w:tmpl w:val="C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B460B"/>
    <w:multiLevelType w:val="hybridMultilevel"/>
    <w:tmpl w:val="CA92F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02A7C"/>
    <w:multiLevelType w:val="hybridMultilevel"/>
    <w:tmpl w:val="1A78C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251399"/>
    <w:multiLevelType w:val="hybridMultilevel"/>
    <w:tmpl w:val="0BE497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1425E0A"/>
    <w:multiLevelType w:val="hybridMultilevel"/>
    <w:tmpl w:val="D9F63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C323E6"/>
    <w:multiLevelType w:val="multilevel"/>
    <w:tmpl w:val="DCFE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614D8E"/>
    <w:multiLevelType w:val="hybridMultilevel"/>
    <w:tmpl w:val="2E167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E47459"/>
    <w:multiLevelType w:val="multilevel"/>
    <w:tmpl w:val="7B9A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D47E9B"/>
    <w:multiLevelType w:val="multilevel"/>
    <w:tmpl w:val="A732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D77E33"/>
    <w:multiLevelType w:val="hybridMultilevel"/>
    <w:tmpl w:val="64AEB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3"/>
  </w:num>
  <w:num w:numId="5">
    <w:abstractNumId w:val="5"/>
  </w:num>
  <w:num w:numId="6">
    <w:abstractNumId w:val="1"/>
  </w:num>
  <w:num w:numId="7">
    <w:abstractNumId w:val="7"/>
    <w:lvlOverride w:ilvl="0">
      <w:lvl w:ilvl="0">
        <w:start w:val="1"/>
        <w:numFmt w:val="bullet"/>
        <w:pStyle w:val="ListBullet"/>
        <w:lvlText w:val=""/>
        <w:lvlJc w:val="left"/>
        <w:pPr>
          <w:ind w:left="369" w:hanging="369"/>
        </w:pPr>
        <w:rPr>
          <w:rFonts w:ascii="Symbol" w:hAnsi="Symbol" w:hint="default"/>
          <w:color w:val="auto"/>
        </w:rPr>
      </w:lvl>
    </w:lvlOverride>
    <w:lvlOverride w:ilvl="1">
      <w:lvl w:ilvl="1">
        <w:start w:val="1"/>
        <w:numFmt w:val="none"/>
        <w:pStyle w:val="ListBullet2"/>
        <w:lvlText w:val="-"/>
        <w:lvlJc w:val="left"/>
        <w:pPr>
          <w:ind w:left="737" w:hanging="368"/>
        </w:pPr>
        <w:rPr>
          <w:rFonts w:hint="default"/>
        </w:rPr>
      </w:lvl>
    </w:lvlOverride>
    <w:lvlOverride w:ilvl="2">
      <w:lvl w:ilvl="2">
        <w:start w:val="1"/>
        <w:numFmt w:val="none"/>
        <w:pStyle w:val="ListBullet3"/>
        <w:lvlText w:val=":"/>
        <w:lvlJc w:val="left"/>
        <w:pPr>
          <w:ind w:left="1106" w:hanging="369"/>
        </w:pPr>
        <w:rPr>
          <w:rFonts w:hint="default"/>
        </w:rPr>
      </w:lvl>
    </w:lvlOverride>
    <w:lvlOverride w:ilvl="3">
      <w:lvl w:ilvl="3">
        <w:start w:val="1"/>
        <w:numFmt w:val="none"/>
        <w:pStyle w:val="ListBullet4"/>
        <w:lvlText w:val=""/>
        <w:lvlJc w:val="left"/>
        <w:pPr>
          <w:ind w:left="1474" w:hanging="368"/>
        </w:pPr>
        <w:rPr>
          <w:rFonts w:hint="default"/>
          <w:color w:val="auto"/>
        </w:rPr>
      </w:lvl>
    </w:lvlOverride>
    <w:lvlOverride w:ilvl="4">
      <w:lvl w:ilvl="4">
        <w:start w:val="1"/>
        <w:numFmt w:val="none"/>
        <w:pStyle w:val="ListBullet5"/>
        <w:lvlText w:val=""/>
        <w:lvlJc w:val="left"/>
        <w:pPr>
          <w:ind w:left="1800" w:hanging="360"/>
        </w:pPr>
        <w:rPr>
          <w:rFonts w:hint="default"/>
          <w:color w:val="auto"/>
        </w:rPr>
      </w:lvl>
    </w:lvlOverride>
    <w:lvlOverride w:ilvl="5">
      <w:lvl w:ilvl="5">
        <w:start w:val="1"/>
        <w:numFmt w:val="none"/>
        <w:lvlText w:val=""/>
        <w:lvlJc w:val="left"/>
        <w:pPr>
          <w:ind w:left="2160" w:hanging="360"/>
        </w:pPr>
        <w:rPr>
          <w:rFonts w:hint="default"/>
          <w:color w:val="auto"/>
        </w:rPr>
      </w:lvl>
    </w:lvlOverride>
    <w:lvlOverride w:ilvl="6">
      <w:lvl w:ilvl="6">
        <w:start w:val="1"/>
        <w:numFmt w:val="none"/>
        <w:lvlText w:val=""/>
        <w:lvlJc w:val="left"/>
        <w:pPr>
          <w:ind w:left="2520" w:hanging="360"/>
        </w:pPr>
        <w:rPr>
          <w:rFonts w:hint="default"/>
          <w:color w:val="auto"/>
        </w:rPr>
      </w:lvl>
    </w:lvlOverride>
    <w:lvlOverride w:ilvl="7">
      <w:lvl w:ilvl="7">
        <w:start w:val="1"/>
        <w:numFmt w:val="none"/>
        <w:lvlText w:val=""/>
        <w:lvlJc w:val="left"/>
        <w:pPr>
          <w:ind w:left="2880" w:hanging="360"/>
        </w:pPr>
        <w:rPr>
          <w:rFonts w:hint="default"/>
          <w:color w:val="auto"/>
        </w:rPr>
      </w:lvl>
    </w:lvlOverride>
    <w:lvlOverride w:ilvl="8">
      <w:lvl w:ilvl="8">
        <w:start w:val="1"/>
        <w:numFmt w:val="none"/>
        <w:lvlText w:val=""/>
        <w:lvlJc w:val="left"/>
        <w:pPr>
          <w:ind w:left="3240" w:hanging="360"/>
        </w:pPr>
        <w:rPr>
          <w:rFonts w:hint="default"/>
          <w:color w:val="auto"/>
        </w:rPr>
      </w:lvl>
    </w:lvlOverride>
  </w:num>
  <w:num w:numId="8">
    <w:abstractNumId w:val="14"/>
  </w:num>
  <w:num w:numId="9">
    <w:abstractNumId w:val="23"/>
  </w:num>
  <w:num w:numId="10">
    <w:abstractNumId w:val="15"/>
  </w:num>
  <w:num w:numId="11">
    <w:abstractNumId w:val="8"/>
  </w:num>
  <w:num w:numId="12">
    <w:abstractNumId w:val="26"/>
  </w:num>
  <w:num w:numId="13">
    <w:abstractNumId w:val="11"/>
  </w:num>
  <w:num w:numId="14">
    <w:abstractNumId w:val="13"/>
  </w:num>
  <w:num w:numId="15">
    <w:abstractNumId w:val="25"/>
  </w:num>
  <w:num w:numId="16">
    <w:abstractNumId w:val="9"/>
  </w:num>
  <w:num w:numId="17">
    <w:abstractNumId w:val="24"/>
  </w:num>
  <w:num w:numId="18">
    <w:abstractNumId w:val="17"/>
  </w:num>
  <w:num w:numId="19">
    <w:abstractNumId w:val="22"/>
  </w:num>
  <w:num w:numId="20">
    <w:abstractNumId w:val="7"/>
  </w:num>
  <w:num w:numId="21">
    <w:abstractNumId w:val="2"/>
  </w:num>
  <w:num w:numId="22">
    <w:abstractNumId w:val="12"/>
  </w:num>
  <w:num w:numId="23">
    <w:abstractNumId w:val="7"/>
    <w:lvlOverride w:ilvl="0">
      <w:lvl w:ilvl="0">
        <w:start w:val="1"/>
        <w:numFmt w:val="bullet"/>
        <w:pStyle w:val="ListBullet"/>
        <w:lvlText w:val=""/>
        <w:lvlJc w:val="left"/>
        <w:pPr>
          <w:ind w:left="369" w:hanging="369"/>
        </w:pPr>
        <w:rPr>
          <w:rFonts w:ascii="Symbol" w:hAnsi="Symbol" w:hint="default"/>
          <w:color w:val="auto"/>
        </w:rPr>
      </w:lvl>
    </w:lvlOverride>
    <w:lvlOverride w:ilvl="1">
      <w:lvl w:ilvl="1">
        <w:start w:val="1"/>
        <w:numFmt w:val="none"/>
        <w:pStyle w:val="ListBullet2"/>
        <w:lvlText w:val="-"/>
        <w:lvlJc w:val="left"/>
        <w:pPr>
          <w:ind w:left="737" w:hanging="368"/>
        </w:pPr>
        <w:rPr>
          <w:rFonts w:hint="default"/>
        </w:rPr>
      </w:lvl>
    </w:lvlOverride>
    <w:lvlOverride w:ilvl="2">
      <w:lvl w:ilvl="2">
        <w:start w:val="1"/>
        <w:numFmt w:val="none"/>
        <w:pStyle w:val="ListBullet3"/>
        <w:lvlText w:val=":"/>
        <w:lvlJc w:val="left"/>
        <w:pPr>
          <w:ind w:left="1106" w:hanging="369"/>
        </w:pPr>
        <w:rPr>
          <w:rFonts w:hint="default"/>
        </w:rPr>
      </w:lvl>
    </w:lvlOverride>
    <w:lvlOverride w:ilvl="3">
      <w:lvl w:ilvl="3">
        <w:start w:val="1"/>
        <w:numFmt w:val="none"/>
        <w:pStyle w:val="ListBullet4"/>
        <w:lvlText w:val=""/>
        <w:lvlJc w:val="left"/>
        <w:pPr>
          <w:ind w:left="1474" w:hanging="368"/>
        </w:pPr>
        <w:rPr>
          <w:rFonts w:hint="default"/>
          <w:color w:val="auto"/>
        </w:rPr>
      </w:lvl>
    </w:lvlOverride>
    <w:lvlOverride w:ilvl="4">
      <w:lvl w:ilvl="4">
        <w:start w:val="1"/>
        <w:numFmt w:val="none"/>
        <w:pStyle w:val="ListBullet5"/>
        <w:lvlText w:val=""/>
        <w:lvlJc w:val="left"/>
        <w:pPr>
          <w:ind w:left="1800" w:hanging="360"/>
        </w:pPr>
        <w:rPr>
          <w:rFonts w:hint="default"/>
          <w:color w:val="auto"/>
        </w:rPr>
      </w:lvl>
    </w:lvlOverride>
    <w:lvlOverride w:ilvl="5">
      <w:lvl w:ilvl="5">
        <w:start w:val="1"/>
        <w:numFmt w:val="none"/>
        <w:lvlText w:val=""/>
        <w:lvlJc w:val="left"/>
        <w:pPr>
          <w:ind w:left="2160" w:hanging="360"/>
        </w:pPr>
        <w:rPr>
          <w:rFonts w:hint="default"/>
          <w:color w:val="auto"/>
        </w:rPr>
      </w:lvl>
    </w:lvlOverride>
    <w:lvlOverride w:ilvl="6">
      <w:lvl w:ilvl="6">
        <w:start w:val="1"/>
        <w:numFmt w:val="none"/>
        <w:lvlText w:val=""/>
        <w:lvlJc w:val="left"/>
        <w:pPr>
          <w:ind w:left="2520" w:hanging="360"/>
        </w:pPr>
        <w:rPr>
          <w:rFonts w:hint="default"/>
          <w:color w:val="auto"/>
        </w:rPr>
      </w:lvl>
    </w:lvlOverride>
    <w:lvlOverride w:ilvl="7">
      <w:lvl w:ilvl="7">
        <w:start w:val="1"/>
        <w:numFmt w:val="none"/>
        <w:lvlText w:val=""/>
        <w:lvlJc w:val="left"/>
        <w:pPr>
          <w:ind w:left="2880" w:hanging="360"/>
        </w:pPr>
        <w:rPr>
          <w:rFonts w:hint="default"/>
          <w:color w:val="auto"/>
        </w:rPr>
      </w:lvl>
    </w:lvlOverride>
    <w:lvlOverride w:ilvl="8">
      <w:lvl w:ilvl="8">
        <w:start w:val="1"/>
        <w:numFmt w:val="none"/>
        <w:lvlText w:val=""/>
        <w:lvlJc w:val="left"/>
        <w:pPr>
          <w:ind w:left="3240" w:hanging="360"/>
        </w:pPr>
        <w:rPr>
          <w:rFonts w:hint="default"/>
          <w:color w:val="auto"/>
        </w:rPr>
      </w:lvl>
    </w:lvlOverride>
  </w:num>
  <w:num w:numId="24">
    <w:abstractNumId w:val="0"/>
  </w:num>
  <w:num w:numId="25">
    <w:abstractNumId w:val="19"/>
  </w:num>
  <w:num w:numId="26">
    <w:abstractNumId w:val="21"/>
  </w:num>
  <w:num w:numId="27">
    <w:abstractNumId w:val="10"/>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9E"/>
    <w:rsid w:val="000113A3"/>
    <w:rsid w:val="00016EA8"/>
    <w:rsid w:val="00037073"/>
    <w:rsid w:val="0003751D"/>
    <w:rsid w:val="00051698"/>
    <w:rsid w:val="000609E5"/>
    <w:rsid w:val="00060B0B"/>
    <w:rsid w:val="00067CB2"/>
    <w:rsid w:val="00074B85"/>
    <w:rsid w:val="00077C91"/>
    <w:rsid w:val="000870FC"/>
    <w:rsid w:val="000A3011"/>
    <w:rsid w:val="000A4178"/>
    <w:rsid w:val="000B7798"/>
    <w:rsid w:val="000C200F"/>
    <w:rsid w:val="000D420F"/>
    <w:rsid w:val="000F5B23"/>
    <w:rsid w:val="000F77C0"/>
    <w:rsid w:val="001006A3"/>
    <w:rsid w:val="00124935"/>
    <w:rsid w:val="00125CCE"/>
    <w:rsid w:val="00130BC0"/>
    <w:rsid w:val="00147042"/>
    <w:rsid w:val="00157AE5"/>
    <w:rsid w:val="00166785"/>
    <w:rsid w:val="00170E4A"/>
    <w:rsid w:val="00186003"/>
    <w:rsid w:val="00186782"/>
    <w:rsid w:val="001902F3"/>
    <w:rsid w:val="00192241"/>
    <w:rsid w:val="00194232"/>
    <w:rsid w:val="00196333"/>
    <w:rsid w:val="001A32D6"/>
    <w:rsid w:val="001D010A"/>
    <w:rsid w:val="001E1323"/>
    <w:rsid w:val="001E5915"/>
    <w:rsid w:val="001F391B"/>
    <w:rsid w:val="00201B23"/>
    <w:rsid w:val="00203241"/>
    <w:rsid w:val="00205E14"/>
    <w:rsid w:val="002149F9"/>
    <w:rsid w:val="00215BD4"/>
    <w:rsid w:val="00221691"/>
    <w:rsid w:val="002314F7"/>
    <w:rsid w:val="00245F7F"/>
    <w:rsid w:val="00246287"/>
    <w:rsid w:val="00247A8A"/>
    <w:rsid w:val="002545C7"/>
    <w:rsid w:val="00264A9B"/>
    <w:rsid w:val="0029145B"/>
    <w:rsid w:val="002B05F7"/>
    <w:rsid w:val="002C19BB"/>
    <w:rsid w:val="002C7559"/>
    <w:rsid w:val="002D30F4"/>
    <w:rsid w:val="002D5D1F"/>
    <w:rsid w:val="00323C83"/>
    <w:rsid w:val="003364FE"/>
    <w:rsid w:val="00362D65"/>
    <w:rsid w:val="00371F77"/>
    <w:rsid w:val="00373055"/>
    <w:rsid w:val="00374805"/>
    <w:rsid w:val="00384C42"/>
    <w:rsid w:val="00391A37"/>
    <w:rsid w:val="00394E83"/>
    <w:rsid w:val="003A0A17"/>
    <w:rsid w:val="003B1934"/>
    <w:rsid w:val="003B1E93"/>
    <w:rsid w:val="003B4559"/>
    <w:rsid w:val="003B6D20"/>
    <w:rsid w:val="003C09FE"/>
    <w:rsid w:val="003D130A"/>
    <w:rsid w:val="003D145B"/>
    <w:rsid w:val="003D4BAC"/>
    <w:rsid w:val="003E305E"/>
    <w:rsid w:val="003E3E64"/>
    <w:rsid w:val="00404078"/>
    <w:rsid w:val="00420CED"/>
    <w:rsid w:val="00434CA6"/>
    <w:rsid w:val="004350C9"/>
    <w:rsid w:val="00440B98"/>
    <w:rsid w:val="00442E49"/>
    <w:rsid w:val="0045379E"/>
    <w:rsid w:val="00467737"/>
    <w:rsid w:val="004703B2"/>
    <w:rsid w:val="0047302C"/>
    <w:rsid w:val="00474084"/>
    <w:rsid w:val="00485141"/>
    <w:rsid w:val="004866CB"/>
    <w:rsid w:val="004A55A1"/>
    <w:rsid w:val="004E242E"/>
    <w:rsid w:val="004E316E"/>
    <w:rsid w:val="004F43D9"/>
    <w:rsid w:val="004F5510"/>
    <w:rsid w:val="005155D3"/>
    <w:rsid w:val="00516EFE"/>
    <w:rsid w:val="00525DD5"/>
    <w:rsid w:val="005269FA"/>
    <w:rsid w:val="005274EB"/>
    <w:rsid w:val="0053529E"/>
    <w:rsid w:val="0053549C"/>
    <w:rsid w:val="005659CE"/>
    <w:rsid w:val="005755CB"/>
    <w:rsid w:val="005824E0"/>
    <w:rsid w:val="005825E1"/>
    <w:rsid w:val="00592273"/>
    <w:rsid w:val="005933F6"/>
    <w:rsid w:val="00597E3D"/>
    <w:rsid w:val="005B0F82"/>
    <w:rsid w:val="005B2877"/>
    <w:rsid w:val="005C36AB"/>
    <w:rsid w:val="005D559C"/>
    <w:rsid w:val="005D7FD5"/>
    <w:rsid w:val="005E4F66"/>
    <w:rsid w:val="005E7C87"/>
    <w:rsid w:val="005F21EF"/>
    <w:rsid w:val="005F6D70"/>
    <w:rsid w:val="00611E10"/>
    <w:rsid w:val="00616490"/>
    <w:rsid w:val="00625C93"/>
    <w:rsid w:val="00640C2E"/>
    <w:rsid w:val="006417DB"/>
    <w:rsid w:val="0066544B"/>
    <w:rsid w:val="00670FF7"/>
    <w:rsid w:val="006726B1"/>
    <w:rsid w:val="0067306A"/>
    <w:rsid w:val="00683083"/>
    <w:rsid w:val="00685DB0"/>
    <w:rsid w:val="00685DC8"/>
    <w:rsid w:val="00686622"/>
    <w:rsid w:val="00691FD4"/>
    <w:rsid w:val="006A6FBC"/>
    <w:rsid w:val="006C6A78"/>
    <w:rsid w:val="006E3786"/>
    <w:rsid w:val="006F1EC2"/>
    <w:rsid w:val="00705FA9"/>
    <w:rsid w:val="007060CF"/>
    <w:rsid w:val="00711862"/>
    <w:rsid w:val="00734E8D"/>
    <w:rsid w:val="00740037"/>
    <w:rsid w:val="00740A94"/>
    <w:rsid w:val="00745841"/>
    <w:rsid w:val="0075590A"/>
    <w:rsid w:val="00780B66"/>
    <w:rsid w:val="00793123"/>
    <w:rsid w:val="007A4E3C"/>
    <w:rsid w:val="007B39C7"/>
    <w:rsid w:val="007D1A0A"/>
    <w:rsid w:val="007D31AD"/>
    <w:rsid w:val="007D545D"/>
    <w:rsid w:val="007E7043"/>
    <w:rsid w:val="00800610"/>
    <w:rsid w:val="008032F1"/>
    <w:rsid w:val="008048A1"/>
    <w:rsid w:val="008053CD"/>
    <w:rsid w:val="00813ABF"/>
    <w:rsid w:val="0081642F"/>
    <w:rsid w:val="008322C7"/>
    <w:rsid w:val="008353AD"/>
    <w:rsid w:val="00841626"/>
    <w:rsid w:val="008463FC"/>
    <w:rsid w:val="008801C6"/>
    <w:rsid w:val="00880D00"/>
    <w:rsid w:val="00886405"/>
    <w:rsid w:val="00887BEE"/>
    <w:rsid w:val="00894043"/>
    <w:rsid w:val="00895785"/>
    <w:rsid w:val="00897BB1"/>
    <w:rsid w:val="008B0D0C"/>
    <w:rsid w:val="008B3A1E"/>
    <w:rsid w:val="008C3AF3"/>
    <w:rsid w:val="008D6DE4"/>
    <w:rsid w:val="008E035C"/>
    <w:rsid w:val="008E28FB"/>
    <w:rsid w:val="008E4A92"/>
    <w:rsid w:val="009332DD"/>
    <w:rsid w:val="009335F1"/>
    <w:rsid w:val="009360C8"/>
    <w:rsid w:val="00950D71"/>
    <w:rsid w:val="009727FA"/>
    <w:rsid w:val="00975AA7"/>
    <w:rsid w:val="00983645"/>
    <w:rsid w:val="00986D9D"/>
    <w:rsid w:val="00987C3D"/>
    <w:rsid w:val="0099055C"/>
    <w:rsid w:val="0099614F"/>
    <w:rsid w:val="009A2C52"/>
    <w:rsid w:val="009B5446"/>
    <w:rsid w:val="00A07C6C"/>
    <w:rsid w:val="00A16649"/>
    <w:rsid w:val="00A16A28"/>
    <w:rsid w:val="00A32BCC"/>
    <w:rsid w:val="00A32FF6"/>
    <w:rsid w:val="00A405EE"/>
    <w:rsid w:val="00A407AE"/>
    <w:rsid w:val="00A5384C"/>
    <w:rsid w:val="00A55337"/>
    <w:rsid w:val="00A564B2"/>
    <w:rsid w:val="00A628FF"/>
    <w:rsid w:val="00A85899"/>
    <w:rsid w:val="00A93978"/>
    <w:rsid w:val="00AB2009"/>
    <w:rsid w:val="00AC0354"/>
    <w:rsid w:val="00AC2471"/>
    <w:rsid w:val="00AE3C78"/>
    <w:rsid w:val="00AF476C"/>
    <w:rsid w:val="00AF675C"/>
    <w:rsid w:val="00B00B45"/>
    <w:rsid w:val="00B10530"/>
    <w:rsid w:val="00B11CFC"/>
    <w:rsid w:val="00B11F21"/>
    <w:rsid w:val="00B11F8A"/>
    <w:rsid w:val="00B12ED5"/>
    <w:rsid w:val="00B24E9A"/>
    <w:rsid w:val="00B41D13"/>
    <w:rsid w:val="00B431D2"/>
    <w:rsid w:val="00B43627"/>
    <w:rsid w:val="00B5198B"/>
    <w:rsid w:val="00B54D28"/>
    <w:rsid w:val="00B610E6"/>
    <w:rsid w:val="00B72E5E"/>
    <w:rsid w:val="00B746FE"/>
    <w:rsid w:val="00B74966"/>
    <w:rsid w:val="00B82FE0"/>
    <w:rsid w:val="00B846C7"/>
    <w:rsid w:val="00B84898"/>
    <w:rsid w:val="00BA04D4"/>
    <w:rsid w:val="00BA205B"/>
    <w:rsid w:val="00BC0FA0"/>
    <w:rsid w:val="00BC1D25"/>
    <w:rsid w:val="00BC2574"/>
    <w:rsid w:val="00BD3CD1"/>
    <w:rsid w:val="00BE2BB5"/>
    <w:rsid w:val="00BE41F8"/>
    <w:rsid w:val="00BE4B35"/>
    <w:rsid w:val="00BE6870"/>
    <w:rsid w:val="00BF2E2B"/>
    <w:rsid w:val="00BF47E5"/>
    <w:rsid w:val="00BF6426"/>
    <w:rsid w:val="00C002C0"/>
    <w:rsid w:val="00C17229"/>
    <w:rsid w:val="00C46391"/>
    <w:rsid w:val="00C54ADB"/>
    <w:rsid w:val="00C6082F"/>
    <w:rsid w:val="00C6190A"/>
    <w:rsid w:val="00C63592"/>
    <w:rsid w:val="00C63DCA"/>
    <w:rsid w:val="00C648A0"/>
    <w:rsid w:val="00C66337"/>
    <w:rsid w:val="00C70F8D"/>
    <w:rsid w:val="00C7474B"/>
    <w:rsid w:val="00C77ACA"/>
    <w:rsid w:val="00C9024C"/>
    <w:rsid w:val="00CA1FFA"/>
    <w:rsid w:val="00CA3821"/>
    <w:rsid w:val="00CA4E79"/>
    <w:rsid w:val="00CA6231"/>
    <w:rsid w:val="00CB6C39"/>
    <w:rsid w:val="00CC3A2D"/>
    <w:rsid w:val="00CD6498"/>
    <w:rsid w:val="00CD6E65"/>
    <w:rsid w:val="00D005FC"/>
    <w:rsid w:val="00D17173"/>
    <w:rsid w:val="00D321F5"/>
    <w:rsid w:val="00D32CD8"/>
    <w:rsid w:val="00D44AA7"/>
    <w:rsid w:val="00D55813"/>
    <w:rsid w:val="00D759B2"/>
    <w:rsid w:val="00D90C34"/>
    <w:rsid w:val="00D90EC8"/>
    <w:rsid w:val="00D97299"/>
    <w:rsid w:val="00DA7B7F"/>
    <w:rsid w:val="00DC6C08"/>
    <w:rsid w:val="00DE69AA"/>
    <w:rsid w:val="00DF7743"/>
    <w:rsid w:val="00E23A93"/>
    <w:rsid w:val="00E26220"/>
    <w:rsid w:val="00E40E49"/>
    <w:rsid w:val="00E44FBA"/>
    <w:rsid w:val="00E51452"/>
    <w:rsid w:val="00E538F1"/>
    <w:rsid w:val="00E77316"/>
    <w:rsid w:val="00E8462A"/>
    <w:rsid w:val="00E92782"/>
    <w:rsid w:val="00EB2E30"/>
    <w:rsid w:val="00EB6535"/>
    <w:rsid w:val="00EF037A"/>
    <w:rsid w:val="00EF7777"/>
    <w:rsid w:val="00F010DB"/>
    <w:rsid w:val="00F033C2"/>
    <w:rsid w:val="00F12365"/>
    <w:rsid w:val="00F12EF4"/>
    <w:rsid w:val="00F14FFB"/>
    <w:rsid w:val="00F20252"/>
    <w:rsid w:val="00F30941"/>
    <w:rsid w:val="00F43334"/>
    <w:rsid w:val="00F4519D"/>
    <w:rsid w:val="00F50703"/>
    <w:rsid w:val="00F556F6"/>
    <w:rsid w:val="00F74CAA"/>
    <w:rsid w:val="00F95C27"/>
    <w:rsid w:val="00FA2272"/>
    <w:rsid w:val="00FA325D"/>
    <w:rsid w:val="00FA7918"/>
    <w:rsid w:val="00FB3F85"/>
    <w:rsid w:val="00FB7F59"/>
    <w:rsid w:val="00FC2276"/>
    <w:rsid w:val="00FC2343"/>
    <w:rsid w:val="00FC7E94"/>
    <w:rsid w:val="00FD6D15"/>
    <w:rsid w:val="00FF04A1"/>
    <w:rsid w:val="00FF6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8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2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7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2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529E"/>
    <w:rPr>
      <w:rFonts w:asciiTheme="majorHAnsi" w:eastAsiaTheme="majorEastAsia" w:hAnsiTheme="majorHAnsi" w:cstheme="majorBidi"/>
      <w:b/>
      <w:bCs/>
      <w:color w:val="4F81BD" w:themeColor="accent1"/>
      <w:sz w:val="26"/>
      <w:szCs w:val="26"/>
    </w:rPr>
  </w:style>
  <w:style w:type="paragraph" w:styleId="ListParagraph">
    <w:name w:val="List Paragraph"/>
    <w:aliases w:val="DDM Gen Text,List Paragraph1"/>
    <w:basedOn w:val="Normal"/>
    <w:link w:val="ListParagraphChar"/>
    <w:uiPriority w:val="99"/>
    <w:qFormat/>
    <w:rsid w:val="0053529E"/>
    <w:pPr>
      <w:ind w:left="720"/>
      <w:contextualSpacing/>
    </w:pPr>
  </w:style>
  <w:style w:type="character" w:customStyle="1" w:styleId="Heading3Char">
    <w:name w:val="Heading 3 Char"/>
    <w:basedOn w:val="DefaultParagraphFont"/>
    <w:link w:val="Heading3"/>
    <w:uiPriority w:val="9"/>
    <w:semiHidden/>
    <w:rsid w:val="000F77C0"/>
    <w:rPr>
      <w:rFonts w:asciiTheme="majorHAnsi" w:eastAsiaTheme="majorEastAsia" w:hAnsiTheme="majorHAnsi" w:cstheme="majorBidi"/>
      <w:b/>
      <w:bCs/>
      <w:color w:val="4F81BD" w:themeColor="accent1"/>
    </w:rPr>
  </w:style>
  <w:style w:type="paragraph" w:customStyle="1" w:styleId="Default">
    <w:name w:val="Default"/>
    <w:rsid w:val="006164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DDM Gen Text Char,List Paragraph1 Char"/>
    <w:link w:val="ListParagraph"/>
    <w:uiPriority w:val="99"/>
    <w:locked/>
    <w:rsid w:val="00616490"/>
  </w:style>
  <w:style w:type="table" w:styleId="TableGrid">
    <w:name w:val="Table Grid"/>
    <w:basedOn w:val="TableNormal"/>
    <w:uiPriority w:val="59"/>
    <w:rsid w:val="0061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AD"/>
    <w:rPr>
      <w:rFonts w:ascii="Tahoma" w:hAnsi="Tahoma" w:cs="Tahoma"/>
      <w:sz w:val="16"/>
      <w:szCs w:val="16"/>
    </w:rPr>
  </w:style>
  <w:style w:type="character" w:styleId="Hyperlink">
    <w:name w:val="Hyperlink"/>
    <w:basedOn w:val="DefaultParagraphFont"/>
    <w:uiPriority w:val="99"/>
    <w:unhideWhenUsed/>
    <w:rsid w:val="001E1323"/>
    <w:rPr>
      <w:color w:val="0000FF" w:themeColor="hyperlink"/>
      <w:u w:val="single"/>
    </w:rPr>
  </w:style>
  <w:style w:type="paragraph" w:styleId="Caption">
    <w:name w:val="caption"/>
    <w:basedOn w:val="Normal"/>
    <w:next w:val="Normal"/>
    <w:uiPriority w:val="35"/>
    <w:semiHidden/>
    <w:unhideWhenUsed/>
    <w:qFormat/>
    <w:rsid w:val="00C6190A"/>
    <w:pPr>
      <w:spacing w:line="240" w:lineRule="auto"/>
    </w:pPr>
    <w:rPr>
      <w:b/>
      <w:bCs/>
      <w:color w:val="4F81BD" w:themeColor="accent1"/>
      <w:sz w:val="18"/>
      <w:szCs w:val="18"/>
    </w:rPr>
  </w:style>
  <w:style w:type="numbering" w:customStyle="1" w:styleId="BulletList">
    <w:name w:val="Bullet List"/>
    <w:uiPriority w:val="99"/>
    <w:rsid w:val="006C6A78"/>
    <w:pPr>
      <w:numPr>
        <w:numId w:val="6"/>
      </w:numPr>
    </w:pPr>
  </w:style>
  <w:style w:type="paragraph" w:styleId="ListBullet">
    <w:name w:val="List Bullet"/>
    <w:basedOn w:val="Normal"/>
    <w:uiPriority w:val="99"/>
    <w:unhideWhenUsed/>
    <w:qFormat/>
    <w:rsid w:val="006C6A78"/>
    <w:pPr>
      <w:numPr>
        <w:numId w:val="7"/>
      </w:numPr>
    </w:pPr>
    <w:rPr>
      <w:rFonts w:ascii="Arial" w:eastAsia="Calibri" w:hAnsi="Arial" w:cs="Times New Roman"/>
    </w:rPr>
  </w:style>
  <w:style w:type="paragraph" w:styleId="ListBullet2">
    <w:name w:val="List Bullet 2"/>
    <w:basedOn w:val="Normal"/>
    <w:uiPriority w:val="99"/>
    <w:unhideWhenUsed/>
    <w:rsid w:val="006C6A78"/>
    <w:pPr>
      <w:numPr>
        <w:ilvl w:val="1"/>
        <w:numId w:val="7"/>
      </w:numPr>
      <w:ind w:left="2160" w:hanging="360"/>
    </w:pPr>
    <w:rPr>
      <w:rFonts w:ascii="Arial" w:eastAsia="Calibri" w:hAnsi="Arial" w:cs="Times New Roman"/>
    </w:rPr>
  </w:style>
  <w:style w:type="paragraph" w:styleId="ListBullet3">
    <w:name w:val="List Bullet 3"/>
    <w:basedOn w:val="Normal"/>
    <w:uiPriority w:val="99"/>
    <w:unhideWhenUsed/>
    <w:rsid w:val="006C6A78"/>
    <w:pPr>
      <w:numPr>
        <w:ilvl w:val="2"/>
        <w:numId w:val="7"/>
      </w:numPr>
    </w:pPr>
    <w:rPr>
      <w:rFonts w:ascii="Arial" w:eastAsia="Calibri" w:hAnsi="Arial" w:cs="Times New Roman"/>
    </w:rPr>
  </w:style>
  <w:style w:type="paragraph" w:styleId="ListBullet4">
    <w:name w:val="List Bullet 4"/>
    <w:basedOn w:val="Normal"/>
    <w:uiPriority w:val="99"/>
    <w:unhideWhenUsed/>
    <w:rsid w:val="006C6A78"/>
    <w:pPr>
      <w:numPr>
        <w:ilvl w:val="3"/>
        <w:numId w:val="7"/>
      </w:numPr>
    </w:pPr>
    <w:rPr>
      <w:rFonts w:ascii="Arial" w:eastAsia="Calibri" w:hAnsi="Arial" w:cs="Times New Roman"/>
    </w:rPr>
  </w:style>
  <w:style w:type="paragraph" w:styleId="ListBullet5">
    <w:name w:val="List Bullet 5"/>
    <w:basedOn w:val="Normal"/>
    <w:uiPriority w:val="99"/>
    <w:unhideWhenUsed/>
    <w:rsid w:val="006C6A78"/>
    <w:pPr>
      <w:numPr>
        <w:ilvl w:val="4"/>
        <w:numId w:val="7"/>
      </w:numPr>
    </w:pPr>
    <w:rPr>
      <w:rFonts w:ascii="Arial" w:eastAsia="Calibri" w:hAnsi="Arial" w:cs="Times New Roman"/>
    </w:rPr>
  </w:style>
  <w:style w:type="paragraph" w:styleId="TOCHeading">
    <w:name w:val="TOC Heading"/>
    <w:basedOn w:val="Heading1"/>
    <w:next w:val="Normal"/>
    <w:uiPriority w:val="39"/>
    <w:semiHidden/>
    <w:unhideWhenUsed/>
    <w:qFormat/>
    <w:rsid w:val="002D5D1F"/>
    <w:pPr>
      <w:outlineLvl w:val="9"/>
    </w:pPr>
    <w:rPr>
      <w:lang w:val="en-US" w:eastAsia="ja-JP"/>
    </w:rPr>
  </w:style>
  <w:style w:type="paragraph" w:styleId="TOC1">
    <w:name w:val="toc 1"/>
    <w:basedOn w:val="Normal"/>
    <w:next w:val="Normal"/>
    <w:autoRedefine/>
    <w:uiPriority w:val="39"/>
    <w:unhideWhenUsed/>
    <w:qFormat/>
    <w:rsid w:val="002D5D1F"/>
    <w:pPr>
      <w:spacing w:after="100"/>
    </w:pPr>
  </w:style>
  <w:style w:type="paragraph" w:styleId="TOC2">
    <w:name w:val="toc 2"/>
    <w:basedOn w:val="Normal"/>
    <w:next w:val="Normal"/>
    <w:autoRedefine/>
    <w:uiPriority w:val="39"/>
    <w:unhideWhenUsed/>
    <w:qFormat/>
    <w:rsid w:val="00323C83"/>
    <w:pPr>
      <w:tabs>
        <w:tab w:val="left" w:pos="880"/>
        <w:tab w:val="left" w:pos="1418"/>
        <w:tab w:val="right" w:leader="dot" w:pos="9016"/>
      </w:tabs>
      <w:spacing w:after="100"/>
      <w:ind w:left="1418" w:hanging="709"/>
    </w:pPr>
  </w:style>
  <w:style w:type="paragraph" w:styleId="TOC3">
    <w:name w:val="toc 3"/>
    <w:basedOn w:val="Normal"/>
    <w:next w:val="Normal"/>
    <w:autoRedefine/>
    <w:uiPriority w:val="39"/>
    <w:unhideWhenUsed/>
    <w:qFormat/>
    <w:rsid w:val="002D5D1F"/>
    <w:pPr>
      <w:spacing w:after="100"/>
      <w:ind w:left="440"/>
    </w:pPr>
  </w:style>
  <w:style w:type="table" w:styleId="LightList-Accent1">
    <w:name w:val="Light List Accent 1"/>
    <w:basedOn w:val="TableNormal"/>
    <w:uiPriority w:val="61"/>
    <w:rsid w:val="00C635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er">
    <w:name w:val="footer"/>
    <w:basedOn w:val="Normal"/>
    <w:link w:val="FooterChar"/>
    <w:uiPriority w:val="99"/>
    <w:unhideWhenUsed/>
    <w:rsid w:val="00F14FFB"/>
    <w:pPr>
      <w:tabs>
        <w:tab w:val="center" w:pos="4513"/>
        <w:tab w:val="right" w:pos="9026"/>
      </w:tabs>
      <w:spacing w:before="200" w:after="0" w:line="240" w:lineRule="auto"/>
    </w:pPr>
    <w:rPr>
      <w:rFonts w:eastAsiaTheme="minorEastAsia"/>
      <w:sz w:val="20"/>
      <w:szCs w:val="20"/>
      <w:lang w:val="en-US" w:bidi="en-US"/>
    </w:rPr>
  </w:style>
  <w:style w:type="character" w:customStyle="1" w:styleId="FooterChar">
    <w:name w:val="Footer Char"/>
    <w:basedOn w:val="DefaultParagraphFont"/>
    <w:link w:val="Footer"/>
    <w:uiPriority w:val="99"/>
    <w:rsid w:val="00F14FFB"/>
    <w:rPr>
      <w:rFonts w:eastAsiaTheme="minorEastAsia"/>
      <w:sz w:val="20"/>
      <w:szCs w:val="20"/>
      <w:lang w:val="en-US" w:bidi="en-US"/>
    </w:rPr>
  </w:style>
  <w:style w:type="character" w:styleId="FollowedHyperlink">
    <w:name w:val="FollowedHyperlink"/>
    <w:basedOn w:val="DefaultParagraphFont"/>
    <w:uiPriority w:val="99"/>
    <w:semiHidden/>
    <w:unhideWhenUsed/>
    <w:rsid w:val="00C66337"/>
    <w:rPr>
      <w:color w:val="800080" w:themeColor="followedHyperlink"/>
      <w:u w:val="single"/>
    </w:rPr>
  </w:style>
  <w:style w:type="paragraph" w:styleId="Header">
    <w:name w:val="header"/>
    <w:basedOn w:val="Normal"/>
    <w:link w:val="HeaderChar"/>
    <w:uiPriority w:val="99"/>
    <w:unhideWhenUsed/>
    <w:rsid w:val="00734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E8D"/>
  </w:style>
  <w:style w:type="character" w:styleId="CommentReference">
    <w:name w:val="annotation reference"/>
    <w:basedOn w:val="DefaultParagraphFont"/>
    <w:uiPriority w:val="99"/>
    <w:semiHidden/>
    <w:unhideWhenUsed/>
    <w:rsid w:val="004F43D9"/>
    <w:rPr>
      <w:sz w:val="16"/>
      <w:szCs w:val="16"/>
    </w:rPr>
  </w:style>
  <w:style w:type="paragraph" w:styleId="CommentText">
    <w:name w:val="annotation text"/>
    <w:basedOn w:val="Normal"/>
    <w:link w:val="CommentTextChar"/>
    <w:uiPriority w:val="99"/>
    <w:semiHidden/>
    <w:unhideWhenUsed/>
    <w:rsid w:val="004F43D9"/>
    <w:pPr>
      <w:spacing w:line="240" w:lineRule="auto"/>
    </w:pPr>
    <w:rPr>
      <w:sz w:val="20"/>
      <w:szCs w:val="20"/>
    </w:rPr>
  </w:style>
  <w:style w:type="character" w:customStyle="1" w:styleId="CommentTextChar">
    <w:name w:val="Comment Text Char"/>
    <w:basedOn w:val="DefaultParagraphFont"/>
    <w:link w:val="CommentText"/>
    <w:uiPriority w:val="99"/>
    <w:semiHidden/>
    <w:rsid w:val="004F43D9"/>
    <w:rPr>
      <w:sz w:val="20"/>
      <w:szCs w:val="20"/>
    </w:rPr>
  </w:style>
  <w:style w:type="paragraph" w:styleId="CommentSubject">
    <w:name w:val="annotation subject"/>
    <w:basedOn w:val="CommentText"/>
    <w:next w:val="CommentText"/>
    <w:link w:val="CommentSubjectChar"/>
    <w:uiPriority w:val="99"/>
    <w:semiHidden/>
    <w:unhideWhenUsed/>
    <w:rsid w:val="004F43D9"/>
    <w:rPr>
      <w:b/>
      <w:bCs/>
    </w:rPr>
  </w:style>
  <w:style w:type="character" w:customStyle="1" w:styleId="CommentSubjectChar">
    <w:name w:val="Comment Subject Char"/>
    <w:basedOn w:val="CommentTextChar"/>
    <w:link w:val="CommentSubject"/>
    <w:uiPriority w:val="99"/>
    <w:semiHidden/>
    <w:rsid w:val="004F43D9"/>
    <w:rPr>
      <w:b/>
      <w:bCs/>
      <w:sz w:val="20"/>
      <w:szCs w:val="20"/>
    </w:rPr>
  </w:style>
  <w:style w:type="paragraph" w:styleId="Revision">
    <w:name w:val="Revision"/>
    <w:hidden/>
    <w:uiPriority w:val="99"/>
    <w:semiHidden/>
    <w:rsid w:val="00525D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2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7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2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529E"/>
    <w:rPr>
      <w:rFonts w:asciiTheme="majorHAnsi" w:eastAsiaTheme="majorEastAsia" w:hAnsiTheme="majorHAnsi" w:cstheme="majorBidi"/>
      <w:b/>
      <w:bCs/>
      <w:color w:val="4F81BD" w:themeColor="accent1"/>
      <w:sz w:val="26"/>
      <w:szCs w:val="26"/>
    </w:rPr>
  </w:style>
  <w:style w:type="paragraph" w:styleId="ListParagraph">
    <w:name w:val="List Paragraph"/>
    <w:aliases w:val="DDM Gen Text,List Paragraph1"/>
    <w:basedOn w:val="Normal"/>
    <w:link w:val="ListParagraphChar"/>
    <w:uiPriority w:val="99"/>
    <w:qFormat/>
    <w:rsid w:val="0053529E"/>
    <w:pPr>
      <w:ind w:left="720"/>
      <w:contextualSpacing/>
    </w:pPr>
  </w:style>
  <w:style w:type="character" w:customStyle="1" w:styleId="Heading3Char">
    <w:name w:val="Heading 3 Char"/>
    <w:basedOn w:val="DefaultParagraphFont"/>
    <w:link w:val="Heading3"/>
    <w:uiPriority w:val="9"/>
    <w:semiHidden/>
    <w:rsid w:val="000F77C0"/>
    <w:rPr>
      <w:rFonts w:asciiTheme="majorHAnsi" w:eastAsiaTheme="majorEastAsia" w:hAnsiTheme="majorHAnsi" w:cstheme="majorBidi"/>
      <w:b/>
      <w:bCs/>
      <w:color w:val="4F81BD" w:themeColor="accent1"/>
    </w:rPr>
  </w:style>
  <w:style w:type="paragraph" w:customStyle="1" w:styleId="Default">
    <w:name w:val="Default"/>
    <w:rsid w:val="006164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DDM Gen Text Char,List Paragraph1 Char"/>
    <w:link w:val="ListParagraph"/>
    <w:uiPriority w:val="99"/>
    <w:locked/>
    <w:rsid w:val="00616490"/>
  </w:style>
  <w:style w:type="table" w:styleId="TableGrid">
    <w:name w:val="Table Grid"/>
    <w:basedOn w:val="TableNormal"/>
    <w:uiPriority w:val="59"/>
    <w:rsid w:val="0061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AD"/>
    <w:rPr>
      <w:rFonts w:ascii="Tahoma" w:hAnsi="Tahoma" w:cs="Tahoma"/>
      <w:sz w:val="16"/>
      <w:szCs w:val="16"/>
    </w:rPr>
  </w:style>
  <w:style w:type="character" w:styleId="Hyperlink">
    <w:name w:val="Hyperlink"/>
    <w:basedOn w:val="DefaultParagraphFont"/>
    <w:uiPriority w:val="99"/>
    <w:unhideWhenUsed/>
    <w:rsid w:val="001E1323"/>
    <w:rPr>
      <w:color w:val="0000FF" w:themeColor="hyperlink"/>
      <w:u w:val="single"/>
    </w:rPr>
  </w:style>
  <w:style w:type="paragraph" w:styleId="Caption">
    <w:name w:val="caption"/>
    <w:basedOn w:val="Normal"/>
    <w:next w:val="Normal"/>
    <w:uiPriority w:val="35"/>
    <w:semiHidden/>
    <w:unhideWhenUsed/>
    <w:qFormat/>
    <w:rsid w:val="00C6190A"/>
    <w:pPr>
      <w:spacing w:line="240" w:lineRule="auto"/>
    </w:pPr>
    <w:rPr>
      <w:b/>
      <w:bCs/>
      <w:color w:val="4F81BD" w:themeColor="accent1"/>
      <w:sz w:val="18"/>
      <w:szCs w:val="18"/>
    </w:rPr>
  </w:style>
  <w:style w:type="numbering" w:customStyle="1" w:styleId="BulletList">
    <w:name w:val="Bullet List"/>
    <w:uiPriority w:val="99"/>
    <w:rsid w:val="006C6A78"/>
    <w:pPr>
      <w:numPr>
        <w:numId w:val="6"/>
      </w:numPr>
    </w:pPr>
  </w:style>
  <w:style w:type="paragraph" w:styleId="ListBullet">
    <w:name w:val="List Bullet"/>
    <w:basedOn w:val="Normal"/>
    <w:uiPriority w:val="99"/>
    <w:unhideWhenUsed/>
    <w:qFormat/>
    <w:rsid w:val="006C6A78"/>
    <w:pPr>
      <w:numPr>
        <w:numId w:val="7"/>
      </w:numPr>
    </w:pPr>
    <w:rPr>
      <w:rFonts w:ascii="Arial" w:eastAsia="Calibri" w:hAnsi="Arial" w:cs="Times New Roman"/>
    </w:rPr>
  </w:style>
  <w:style w:type="paragraph" w:styleId="ListBullet2">
    <w:name w:val="List Bullet 2"/>
    <w:basedOn w:val="Normal"/>
    <w:uiPriority w:val="99"/>
    <w:unhideWhenUsed/>
    <w:rsid w:val="006C6A78"/>
    <w:pPr>
      <w:numPr>
        <w:ilvl w:val="1"/>
        <w:numId w:val="7"/>
      </w:numPr>
      <w:ind w:left="2160" w:hanging="360"/>
    </w:pPr>
    <w:rPr>
      <w:rFonts w:ascii="Arial" w:eastAsia="Calibri" w:hAnsi="Arial" w:cs="Times New Roman"/>
    </w:rPr>
  </w:style>
  <w:style w:type="paragraph" w:styleId="ListBullet3">
    <w:name w:val="List Bullet 3"/>
    <w:basedOn w:val="Normal"/>
    <w:uiPriority w:val="99"/>
    <w:unhideWhenUsed/>
    <w:rsid w:val="006C6A78"/>
    <w:pPr>
      <w:numPr>
        <w:ilvl w:val="2"/>
        <w:numId w:val="7"/>
      </w:numPr>
    </w:pPr>
    <w:rPr>
      <w:rFonts w:ascii="Arial" w:eastAsia="Calibri" w:hAnsi="Arial" w:cs="Times New Roman"/>
    </w:rPr>
  </w:style>
  <w:style w:type="paragraph" w:styleId="ListBullet4">
    <w:name w:val="List Bullet 4"/>
    <w:basedOn w:val="Normal"/>
    <w:uiPriority w:val="99"/>
    <w:unhideWhenUsed/>
    <w:rsid w:val="006C6A78"/>
    <w:pPr>
      <w:numPr>
        <w:ilvl w:val="3"/>
        <w:numId w:val="7"/>
      </w:numPr>
    </w:pPr>
    <w:rPr>
      <w:rFonts w:ascii="Arial" w:eastAsia="Calibri" w:hAnsi="Arial" w:cs="Times New Roman"/>
    </w:rPr>
  </w:style>
  <w:style w:type="paragraph" w:styleId="ListBullet5">
    <w:name w:val="List Bullet 5"/>
    <w:basedOn w:val="Normal"/>
    <w:uiPriority w:val="99"/>
    <w:unhideWhenUsed/>
    <w:rsid w:val="006C6A78"/>
    <w:pPr>
      <w:numPr>
        <w:ilvl w:val="4"/>
        <w:numId w:val="7"/>
      </w:numPr>
    </w:pPr>
    <w:rPr>
      <w:rFonts w:ascii="Arial" w:eastAsia="Calibri" w:hAnsi="Arial" w:cs="Times New Roman"/>
    </w:rPr>
  </w:style>
  <w:style w:type="paragraph" w:styleId="TOCHeading">
    <w:name w:val="TOC Heading"/>
    <w:basedOn w:val="Heading1"/>
    <w:next w:val="Normal"/>
    <w:uiPriority w:val="39"/>
    <w:semiHidden/>
    <w:unhideWhenUsed/>
    <w:qFormat/>
    <w:rsid w:val="002D5D1F"/>
    <w:pPr>
      <w:outlineLvl w:val="9"/>
    </w:pPr>
    <w:rPr>
      <w:lang w:val="en-US" w:eastAsia="ja-JP"/>
    </w:rPr>
  </w:style>
  <w:style w:type="paragraph" w:styleId="TOC1">
    <w:name w:val="toc 1"/>
    <w:basedOn w:val="Normal"/>
    <w:next w:val="Normal"/>
    <w:autoRedefine/>
    <w:uiPriority w:val="39"/>
    <w:unhideWhenUsed/>
    <w:qFormat/>
    <w:rsid w:val="002D5D1F"/>
    <w:pPr>
      <w:spacing w:after="100"/>
    </w:pPr>
  </w:style>
  <w:style w:type="paragraph" w:styleId="TOC2">
    <w:name w:val="toc 2"/>
    <w:basedOn w:val="Normal"/>
    <w:next w:val="Normal"/>
    <w:autoRedefine/>
    <w:uiPriority w:val="39"/>
    <w:unhideWhenUsed/>
    <w:qFormat/>
    <w:rsid w:val="00323C83"/>
    <w:pPr>
      <w:tabs>
        <w:tab w:val="left" w:pos="880"/>
        <w:tab w:val="left" w:pos="1418"/>
        <w:tab w:val="right" w:leader="dot" w:pos="9016"/>
      </w:tabs>
      <w:spacing w:after="100"/>
      <w:ind w:left="1418" w:hanging="709"/>
    </w:pPr>
  </w:style>
  <w:style w:type="paragraph" w:styleId="TOC3">
    <w:name w:val="toc 3"/>
    <w:basedOn w:val="Normal"/>
    <w:next w:val="Normal"/>
    <w:autoRedefine/>
    <w:uiPriority w:val="39"/>
    <w:unhideWhenUsed/>
    <w:qFormat/>
    <w:rsid w:val="002D5D1F"/>
    <w:pPr>
      <w:spacing w:after="100"/>
      <w:ind w:left="440"/>
    </w:pPr>
  </w:style>
  <w:style w:type="table" w:styleId="LightList-Accent1">
    <w:name w:val="Light List Accent 1"/>
    <w:basedOn w:val="TableNormal"/>
    <w:uiPriority w:val="61"/>
    <w:rsid w:val="00C635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er">
    <w:name w:val="footer"/>
    <w:basedOn w:val="Normal"/>
    <w:link w:val="FooterChar"/>
    <w:uiPriority w:val="99"/>
    <w:unhideWhenUsed/>
    <w:rsid w:val="00F14FFB"/>
    <w:pPr>
      <w:tabs>
        <w:tab w:val="center" w:pos="4513"/>
        <w:tab w:val="right" w:pos="9026"/>
      </w:tabs>
      <w:spacing w:before="200" w:after="0" w:line="240" w:lineRule="auto"/>
    </w:pPr>
    <w:rPr>
      <w:rFonts w:eastAsiaTheme="minorEastAsia"/>
      <w:sz w:val="20"/>
      <w:szCs w:val="20"/>
      <w:lang w:val="en-US" w:bidi="en-US"/>
    </w:rPr>
  </w:style>
  <w:style w:type="character" w:customStyle="1" w:styleId="FooterChar">
    <w:name w:val="Footer Char"/>
    <w:basedOn w:val="DefaultParagraphFont"/>
    <w:link w:val="Footer"/>
    <w:uiPriority w:val="99"/>
    <w:rsid w:val="00F14FFB"/>
    <w:rPr>
      <w:rFonts w:eastAsiaTheme="minorEastAsia"/>
      <w:sz w:val="20"/>
      <w:szCs w:val="20"/>
      <w:lang w:val="en-US" w:bidi="en-US"/>
    </w:rPr>
  </w:style>
  <w:style w:type="character" w:styleId="FollowedHyperlink">
    <w:name w:val="FollowedHyperlink"/>
    <w:basedOn w:val="DefaultParagraphFont"/>
    <w:uiPriority w:val="99"/>
    <w:semiHidden/>
    <w:unhideWhenUsed/>
    <w:rsid w:val="00C66337"/>
    <w:rPr>
      <w:color w:val="800080" w:themeColor="followedHyperlink"/>
      <w:u w:val="single"/>
    </w:rPr>
  </w:style>
  <w:style w:type="paragraph" w:styleId="Header">
    <w:name w:val="header"/>
    <w:basedOn w:val="Normal"/>
    <w:link w:val="HeaderChar"/>
    <w:uiPriority w:val="99"/>
    <w:unhideWhenUsed/>
    <w:rsid w:val="00734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E8D"/>
  </w:style>
  <w:style w:type="character" w:styleId="CommentReference">
    <w:name w:val="annotation reference"/>
    <w:basedOn w:val="DefaultParagraphFont"/>
    <w:uiPriority w:val="99"/>
    <w:semiHidden/>
    <w:unhideWhenUsed/>
    <w:rsid w:val="004F43D9"/>
    <w:rPr>
      <w:sz w:val="16"/>
      <w:szCs w:val="16"/>
    </w:rPr>
  </w:style>
  <w:style w:type="paragraph" w:styleId="CommentText">
    <w:name w:val="annotation text"/>
    <w:basedOn w:val="Normal"/>
    <w:link w:val="CommentTextChar"/>
    <w:uiPriority w:val="99"/>
    <w:semiHidden/>
    <w:unhideWhenUsed/>
    <w:rsid w:val="004F43D9"/>
    <w:pPr>
      <w:spacing w:line="240" w:lineRule="auto"/>
    </w:pPr>
    <w:rPr>
      <w:sz w:val="20"/>
      <w:szCs w:val="20"/>
    </w:rPr>
  </w:style>
  <w:style w:type="character" w:customStyle="1" w:styleId="CommentTextChar">
    <w:name w:val="Comment Text Char"/>
    <w:basedOn w:val="DefaultParagraphFont"/>
    <w:link w:val="CommentText"/>
    <w:uiPriority w:val="99"/>
    <w:semiHidden/>
    <w:rsid w:val="004F43D9"/>
    <w:rPr>
      <w:sz w:val="20"/>
      <w:szCs w:val="20"/>
    </w:rPr>
  </w:style>
  <w:style w:type="paragraph" w:styleId="CommentSubject">
    <w:name w:val="annotation subject"/>
    <w:basedOn w:val="CommentText"/>
    <w:next w:val="CommentText"/>
    <w:link w:val="CommentSubjectChar"/>
    <w:uiPriority w:val="99"/>
    <w:semiHidden/>
    <w:unhideWhenUsed/>
    <w:rsid w:val="004F43D9"/>
    <w:rPr>
      <w:b/>
      <w:bCs/>
    </w:rPr>
  </w:style>
  <w:style w:type="character" w:customStyle="1" w:styleId="CommentSubjectChar">
    <w:name w:val="Comment Subject Char"/>
    <w:basedOn w:val="CommentTextChar"/>
    <w:link w:val="CommentSubject"/>
    <w:uiPriority w:val="99"/>
    <w:semiHidden/>
    <w:rsid w:val="004F43D9"/>
    <w:rPr>
      <w:b/>
      <w:bCs/>
      <w:sz w:val="20"/>
      <w:szCs w:val="20"/>
    </w:rPr>
  </w:style>
  <w:style w:type="paragraph" w:styleId="Revision">
    <w:name w:val="Revision"/>
    <w:hidden/>
    <w:uiPriority w:val="99"/>
    <w:semiHidden/>
    <w:rsid w:val="00525D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4876">
      <w:bodyDiv w:val="1"/>
      <w:marLeft w:val="0"/>
      <w:marRight w:val="0"/>
      <w:marTop w:val="0"/>
      <w:marBottom w:val="0"/>
      <w:divBdr>
        <w:top w:val="none" w:sz="0" w:space="0" w:color="auto"/>
        <w:left w:val="none" w:sz="0" w:space="0" w:color="auto"/>
        <w:bottom w:val="none" w:sz="0" w:space="0" w:color="auto"/>
        <w:right w:val="none" w:sz="0" w:space="0" w:color="auto"/>
      </w:divBdr>
      <w:divsChild>
        <w:div w:id="1881355455">
          <w:marLeft w:val="0"/>
          <w:marRight w:val="0"/>
          <w:marTop w:val="0"/>
          <w:marBottom w:val="0"/>
          <w:divBdr>
            <w:top w:val="none" w:sz="0" w:space="0" w:color="auto"/>
            <w:left w:val="none" w:sz="0" w:space="0" w:color="auto"/>
            <w:bottom w:val="none" w:sz="0" w:space="0" w:color="auto"/>
            <w:right w:val="none" w:sz="0" w:space="0" w:color="auto"/>
          </w:divBdr>
          <w:divsChild>
            <w:div w:id="612833531">
              <w:marLeft w:val="0"/>
              <w:marRight w:val="0"/>
              <w:marTop w:val="0"/>
              <w:marBottom w:val="0"/>
              <w:divBdr>
                <w:top w:val="none" w:sz="0" w:space="0" w:color="auto"/>
                <w:left w:val="none" w:sz="0" w:space="0" w:color="auto"/>
                <w:bottom w:val="none" w:sz="0" w:space="0" w:color="auto"/>
                <w:right w:val="none" w:sz="0" w:space="0" w:color="auto"/>
              </w:divBdr>
              <w:divsChild>
                <w:div w:id="1859930992">
                  <w:marLeft w:val="300"/>
                  <w:marRight w:val="300"/>
                  <w:marTop w:val="0"/>
                  <w:marBottom w:val="0"/>
                  <w:divBdr>
                    <w:top w:val="none" w:sz="0" w:space="0" w:color="auto"/>
                    <w:left w:val="none" w:sz="0" w:space="0" w:color="auto"/>
                    <w:bottom w:val="none" w:sz="0" w:space="0" w:color="auto"/>
                    <w:right w:val="none" w:sz="0" w:space="0" w:color="auto"/>
                  </w:divBdr>
                  <w:divsChild>
                    <w:div w:id="1754547194">
                      <w:marLeft w:val="0"/>
                      <w:marRight w:val="0"/>
                      <w:marTop w:val="0"/>
                      <w:marBottom w:val="0"/>
                      <w:divBdr>
                        <w:top w:val="none" w:sz="0" w:space="0" w:color="auto"/>
                        <w:left w:val="none" w:sz="0" w:space="0" w:color="auto"/>
                        <w:bottom w:val="none" w:sz="0" w:space="0" w:color="auto"/>
                        <w:right w:val="none" w:sz="0" w:space="0" w:color="auto"/>
                      </w:divBdr>
                      <w:divsChild>
                        <w:div w:id="1296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536709">
      <w:bodyDiv w:val="1"/>
      <w:marLeft w:val="0"/>
      <w:marRight w:val="0"/>
      <w:marTop w:val="0"/>
      <w:marBottom w:val="0"/>
      <w:divBdr>
        <w:top w:val="none" w:sz="0" w:space="0" w:color="auto"/>
        <w:left w:val="none" w:sz="0" w:space="0" w:color="auto"/>
        <w:bottom w:val="none" w:sz="0" w:space="0" w:color="auto"/>
        <w:right w:val="none" w:sz="0" w:space="0" w:color="auto"/>
      </w:divBdr>
      <w:divsChild>
        <w:div w:id="1793589746">
          <w:marLeft w:val="0"/>
          <w:marRight w:val="0"/>
          <w:marTop w:val="0"/>
          <w:marBottom w:val="0"/>
          <w:divBdr>
            <w:top w:val="none" w:sz="0" w:space="0" w:color="auto"/>
            <w:left w:val="none" w:sz="0" w:space="0" w:color="auto"/>
            <w:bottom w:val="none" w:sz="0" w:space="0" w:color="auto"/>
            <w:right w:val="none" w:sz="0" w:space="0" w:color="auto"/>
          </w:divBdr>
          <w:divsChild>
            <w:div w:id="1506359920">
              <w:marLeft w:val="0"/>
              <w:marRight w:val="0"/>
              <w:marTop w:val="0"/>
              <w:marBottom w:val="0"/>
              <w:divBdr>
                <w:top w:val="none" w:sz="0" w:space="0" w:color="auto"/>
                <w:left w:val="none" w:sz="0" w:space="0" w:color="auto"/>
                <w:bottom w:val="none" w:sz="0" w:space="0" w:color="auto"/>
                <w:right w:val="none" w:sz="0" w:space="0" w:color="auto"/>
              </w:divBdr>
              <w:divsChild>
                <w:div w:id="1532378812">
                  <w:marLeft w:val="300"/>
                  <w:marRight w:val="300"/>
                  <w:marTop w:val="0"/>
                  <w:marBottom w:val="0"/>
                  <w:divBdr>
                    <w:top w:val="none" w:sz="0" w:space="0" w:color="auto"/>
                    <w:left w:val="none" w:sz="0" w:space="0" w:color="auto"/>
                    <w:bottom w:val="none" w:sz="0" w:space="0" w:color="auto"/>
                    <w:right w:val="none" w:sz="0" w:space="0" w:color="auto"/>
                  </w:divBdr>
                  <w:divsChild>
                    <w:div w:id="9635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10157">
      <w:bodyDiv w:val="1"/>
      <w:marLeft w:val="0"/>
      <w:marRight w:val="0"/>
      <w:marTop w:val="0"/>
      <w:marBottom w:val="0"/>
      <w:divBdr>
        <w:top w:val="none" w:sz="0" w:space="0" w:color="auto"/>
        <w:left w:val="none" w:sz="0" w:space="0" w:color="auto"/>
        <w:bottom w:val="none" w:sz="0" w:space="0" w:color="auto"/>
        <w:right w:val="none" w:sz="0" w:space="0" w:color="auto"/>
      </w:divBdr>
      <w:divsChild>
        <w:div w:id="1167550920">
          <w:marLeft w:val="0"/>
          <w:marRight w:val="0"/>
          <w:marTop w:val="0"/>
          <w:marBottom w:val="0"/>
          <w:divBdr>
            <w:top w:val="none" w:sz="0" w:space="0" w:color="auto"/>
            <w:left w:val="none" w:sz="0" w:space="0" w:color="auto"/>
            <w:bottom w:val="none" w:sz="0" w:space="0" w:color="auto"/>
            <w:right w:val="none" w:sz="0" w:space="0" w:color="auto"/>
          </w:divBdr>
          <w:divsChild>
            <w:div w:id="489951495">
              <w:marLeft w:val="0"/>
              <w:marRight w:val="0"/>
              <w:marTop w:val="0"/>
              <w:marBottom w:val="0"/>
              <w:divBdr>
                <w:top w:val="none" w:sz="0" w:space="0" w:color="auto"/>
                <w:left w:val="none" w:sz="0" w:space="0" w:color="auto"/>
                <w:bottom w:val="none" w:sz="0" w:space="0" w:color="auto"/>
                <w:right w:val="none" w:sz="0" w:space="0" w:color="auto"/>
              </w:divBdr>
              <w:divsChild>
                <w:div w:id="1340155137">
                  <w:marLeft w:val="300"/>
                  <w:marRight w:val="300"/>
                  <w:marTop w:val="0"/>
                  <w:marBottom w:val="0"/>
                  <w:divBdr>
                    <w:top w:val="none" w:sz="0" w:space="0" w:color="auto"/>
                    <w:left w:val="none" w:sz="0" w:space="0" w:color="auto"/>
                    <w:bottom w:val="none" w:sz="0" w:space="0" w:color="auto"/>
                    <w:right w:val="none" w:sz="0" w:space="0" w:color="auto"/>
                  </w:divBdr>
                  <w:divsChild>
                    <w:div w:id="14020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30979">
      <w:bodyDiv w:val="1"/>
      <w:marLeft w:val="0"/>
      <w:marRight w:val="0"/>
      <w:marTop w:val="0"/>
      <w:marBottom w:val="0"/>
      <w:divBdr>
        <w:top w:val="none" w:sz="0" w:space="0" w:color="auto"/>
        <w:left w:val="none" w:sz="0" w:space="0" w:color="auto"/>
        <w:bottom w:val="none" w:sz="0" w:space="0" w:color="auto"/>
        <w:right w:val="none" w:sz="0" w:space="0" w:color="auto"/>
      </w:divBdr>
      <w:divsChild>
        <w:div w:id="269363054">
          <w:marLeft w:val="0"/>
          <w:marRight w:val="0"/>
          <w:marTop w:val="0"/>
          <w:marBottom w:val="0"/>
          <w:divBdr>
            <w:top w:val="none" w:sz="0" w:space="0" w:color="auto"/>
            <w:left w:val="none" w:sz="0" w:space="0" w:color="auto"/>
            <w:bottom w:val="none" w:sz="0" w:space="0" w:color="auto"/>
            <w:right w:val="none" w:sz="0" w:space="0" w:color="auto"/>
          </w:divBdr>
          <w:divsChild>
            <w:div w:id="1892885393">
              <w:marLeft w:val="0"/>
              <w:marRight w:val="0"/>
              <w:marTop w:val="0"/>
              <w:marBottom w:val="0"/>
              <w:divBdr>
                <w:top w:val="none" w:sz="0" w:space="0" w:color="auto"/>
                <w:left w:val="none" w:sz="0" w:space="0" w:color="auto"/>
                <w:bottom w:val="none" w:sz="0" w:space="0" w:color="auto"/>
                <w:right w:val="none" w:sz="0" w:space="0" w:color="auto"/>
              </w:divBdr>
              <w:divsChild>
                <w:div w:id="1243375906">
                  <w:marLeft w:val="300"/>
                  <w:marRight w:val="300"/>
                  <w:marTop w:val="0"/>
                  <w:marBottom w:val="0"/>
                  <w:divBdr>
                    <w:top w:val="none" w:sz="0" w:space="0" w:color="auto"/>
                    <w:left w:val="none" w:sz="0" w:space="0" w:color="auto"/>
                    <w:bottom w:val="none" w:sz="0" w:space="0" w:color="auto"/>
                    <w:right w:val="none" w:sz="0" w:space="0" w:color="auto"/>
                  </w:divBdr>
                  <w:divsChild>
                    <w:div w:id="1004866513">
                      <w:marLeft w:val="0"/>
                      <w:marRight w:val="0"/>
                      <w:marTop w:val="0"/>
                      <w:marBottom w:val="0"/>
                      <w:divBdr>
                        <w:top w:val="none" w:sz="0" w:space="0" w:color="auto"/>
                        <w:left w:val="none" w:sz="0" w:space="0" w:color="auto"/>
                        <w:bottom w:val="none" w:sz="0" w:space="0" w:color="auto"/>
                        <w:right w:val="none" w:sz="0" w:space="0" w:color="auto"/>
                      </w:divBdr>
                      <w:divsChild>
                        <w:div w:id="6660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685864">
      <w:bodyDiv w:val="1"/>
      <w:marLeft w:val="0"/>
      <w:marRight w:val="0"/>
      <w:marTop w:val="0"/>
      <w:marBottom w:val="0"/>
      <w:divBdr>
        <w:top w:val="none" w:sz="0" w:space="0" w:color="auto"/>
        <w:left w:val="none" w:sz="0" w:space="0" w:color="auto"/>
        <w:bottom w:val="none" w:sz="0" w:space="0" w:color="auto"/>
        <w:right w:val="none" w:sz="0" w:space="0" w:color="auto"/>
      </w:divBdr>
      <w:divsChild>
        <w:div w:id="1963531128">
          <w:marLeft w:val="0"/>
          <w:marRight w:val="0"/>
          <w:marTop w:val="0"/>
          <w:marBottom w:val="0"/>
          <w:divBdr>
            <w:top w:val="none" w:sz="0" w:space="0" w:color="auto"/>
            <w:left w:val="none" w:sz="0" w:space="0" w:color="auto"/>
            <w:bottom w:val="none" w:sz="0" w:space="0" w:color="auto"/>
            <w:right w:val="none" w:sz="0" w:space="0" w:color="auto"/>
          </w:divBdr>
          <w:divsChild>
            <w:div w:id="993340185">
              <w:marLeft w:val="0"/>
              <w:marRight w:val="0"/>
              <w:marTop w:val="0"/>
              <w:marBottom w:val="0"/>
              <w:divBdr>
                <w:top w:val="none" w:sz="0" w:space="0" w:color="auto"/>
                <w:left w:val="none" w:sz="0" w:space="0" w:color="auto"/>
                <w:bottom w:val="none" w:sz="0" w:space="0" w:color="auto"/>
                <w:right w:val="none" w:sz="0" w:space="0" w:color="auto"/>
              </w:divBdr>
              <w:divsChild>
                <w:div w:id="1674335927">
                  <w:marLeft w:val="300"/>
                  <w:marRight w:val="300"/>
                  <w:marTop w:val="0"/>
                  <w:marBottom w:val="0"/>
                  <w:divBdr>
                    <w:top w:val="none" w:sz="0" w:space="0" w:color="auto"/>
                    <w:left w:val="none" w:sz="0" w:space="0" w:color="auto"/>
                    <w:bottom w:val="none" w:sz="0" w:space="0" w:color="auto"/>
                    <w:right w:val="none" w:sz="0" w:space="0" w:color="auto"/>
                  </w:divBdr>
                  <w:divsChild>
                    <w:div w:id="13894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60563">
      <w:bodyDiv w:val="1"/>
      <w:marLeft w:val="0"/>
      <w:marRight w:val="0"/>
      <w:marTop w:val="0"/>
      <w:marBottom w:val="0"/>
      <w:divBdr>
        <w:top w:val="none" w:sz="0" w:space="0" w:color="auto"/>
        <w:left w:val="none" w:sz="0" w:space="0" w:color="auto"/>
        <w:bottom w:val="none" w:sz="0" w:space="0" w:color="auto"/>
        <w:right w:val="none" w:sz="0" w:space="0" w:color="auto"/>
      </w:divBdr>
      <w:divsChild>
        <w:div w:id="1455639246">
          <w:marLeft w:val="0"/>
          <w:marRight w:val="0"/>
          <w:marTop w:val="0"/>
          <w:marBottom w:val="0"/>
          <w:divBdr>
            <w:top w:val="none" w:sz="0" w:space="0" w:color="auto"/>
            <w:left w:val="none" w:sz="0" w:space="0" w:color="auto"/>
            <w:bottom w:val="none" w:sz="0" w:space="0" w:color="auto"/>
            <w:right w:val="none" w:sz="0" w:space="0" w:color="auto"/>
          </w:divBdr>
          <w:divsChild>
            <w:div w:id="482815605">
              <w:marLeft w:val="0"/>
              <w:marRight w:val="0"/>
              <w:marTop w:val="0"/>
              <w:marBottom w:val="0"/>
              <w:divBdr>
                <w:top w:val="none" w:sz="0" w:space="0" w:color="auto"/>
                <w:left w:val="none" w:sz="0" w:space="0" w:color="auto"/>
                <w:bottom w:val="none" w:sz="0" w:space="0" w:color="auto"/>
                <w:right w:val="none" w:sz="0" w:space="0" w:color="auto"/>
              </w:divBdr>
              <w:divsChild>
                <w:div w:id="531184738">
                  <w:marLeft w:val="300"/>
                  <w:marRight w:val="300"/>
                  <w:marTop w:val="0"/>
                  <w:marBottom w:val="0"/>
                  <w:divBdr>
                    <w:top w:val="none" w:sz="0" w:space="0" w:color="auto"/>
                    <w:left w:val="none" w:sz="0" w:space="0" w:color="auto"/>
                    <w:bottom w:val="none" w:sz="0" w:space="0" w:color="auto"/>
                    <w:right w:val="none" w:sz="0" w:space="0" w:color="auto"/>
                  </w:divBdr>
                  <w:divsChild>
                    <w:div w:id="7131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2295">
      <w:bodyDiv w:val="1"/>
      <w:marLeft w:val="0"/>
      <w:marRight w:val="0"/>
      <w:marTop w:val="0"/>
      <w:marBottom w:val="0"/>
      <w:divBdr>
        <w:top w:val="none" w:sz="0" w:space="0" w:color="auto"/>
        <w:left w:val="none" w:sz="0" w:space="0" w:color="auto"/>
        <w:bottom w:val="none" w:sz="0" w:space="0" w:color="auto"/>
        <w:right w:val="none" w:sz="0" w:space="0" w:color="auto"/>
      </w:divBdr>
      <w:divsChild>
        <w:div w:id="1772387373">
          <w:marLeft w:val="0"/>
          <w:marRight w:val="0"/>
          <w:marTop w:val="0"/>
          <w:marBottom w:val="0"/>
          <w:divBdr>
            <w:top w:val="none" w:sz="0" w:space="0" w:color="auto"/>
            <w:left w:val="none" w:sz="0" w:space="0" w:color="auto"/>
            <w:bottom w:val="none" w:sz="0" w:space="0" w:color="auto"/>
            <w:right w:val="none" w:sz="0" w:space="0" w:color="auto"/>
          </w:divBdr>
          <w:divsChild>
            <w:div w:id="492110754">
              <w:marLeft w:val="0"/>
              <w:marRight w:val="0"/>
              <w:marTop w:val="0"/>
              <w:marBottom w:val="0"/>
              <w:divBdr>
                <w:top w:val="none" w:sz="0" w:space="0" w:color="auto"/>
                <w:left w:val="none" w:sz="0" w:space="0" w:color="auto"/>
                <w:bottom w:val="none" w:sz="0" w:space="0" w:color="auto"/>
                <w:right w:val="none" w:sz="0" w:space="0" w:color="auto"/>
              </w:divBdr>
              <w:divsChild>
                <w:div w:id="124812908">
                  <w:marLeft w:val="300"/>
                  <w:marRight w:val="300"/>
                  <w:marTop w:val="0"/>
                  <w:marBottom w:val="0"/>
                  <w:divBdr>
                    <w:top w:val="none" w:sz="0" w:space="0" w:color="auto"/>
                    <w:left w:val="none" w:sz="0" w:space="0" w:color="auto"/>
                    <w:bottom w:val="none" w:sz="0" w:space="0" w:color="auto"/>
                    <w:right w:val="none" w:sz="0" w:space="0" w:color="auto"/>
                  </w:divBdr>
                  <w:divsChild>
                    <w:div w:id="16582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ph.gov.au/~/media/02%20Parliamentary%20Business/24%20Committees/244%20Joint%20Committees/JCPAA/44p/Report456/Chapter%203.pdf?la=en" TargetMode="External"/><Relationship Id="rId21" Type="http://schemas.openxmlformats.org/officeDocument/2006/relationships/hyperlink" Target="http://hdl.handle.net/11017/2862" TargetMode="External"/><Relationship Id="rId42" Type="http://schemas.openxmlformats.org/officeDocument/2006/relationships/hyperlink" Target="http://www.gbrmpa.gov.au/about-us/local-marine-advisory-committees/burrnett/burnett-communique" TargetMode="External"/><Relationship Id="rId47" Type="http://schemas.openxmlformats.org/officeDocument/2006/relationships/hyperlink" Target="http://www.gbrmpa.gov.au/our-partners/traditional-owners/traditional-use-of-marine-resources-agreements" TargetMode="External"/><Relationship Id="rId63" Type="http://schemas.openxmlformats.org/officeDocument/2006/relationships/hyperlink" Target="http://www.gbrmpa.gov.au/our-partners/tourism-industry/high-standard-tourism" TargetMode="External"/><Relationship Id="rId68" Type="http://schemas.openxmlformats.org/officeDocument/2006/relationships/hyperlink" Target="http://www.gbrmpa.gov.au/managing-the-reef/how-the-reefs-managed/field-management-of-the-great-barrier-reef-marine-park" TargetMode="External"/><Relationship Id="rId84" Type="http://schemas.openxmlformats.org/officeDocument/2006/relationships/header" Target="header1.xml"/><Relationship Id="rId89" Type="http://schemas.openxmlformats.org/officeDocument/2006/relationships/fontTable" Target="fontTable.xml"/><Relationship Id="rId16" Type="http://schemas.openxmlformats.org/officeDocument/2006/relationships/hyperlink" Target="http://hdl.handle.net/11017/2857" TargetMode="External"/><Relationship Id="rId11" Type="http://schemas.openxmlformats.org/officeDocument/2006/relationships/footnotes" Target="footnotes.xml"/><Relationship Id="rId32" Type="http://schemas.openxmlformats.org/officeDocument/2006/relationships/hyperlink" Target="http://www.gbrmpa.gov.au/about-us/local-marine-advisory-committees/douglas/douglas-communique" TargetMode="External"/><Relationship Id="rId37" Type="http://schemas.openxmlformats.org/officeDocument/2006/relationships/hyperlink" Target="http://www.gbrmpa.gov.au/about-us/local-marine-advisory-committees/bowen-burdekin/bowen-burdekin-communique" TargetMode="External"/><Relationship Id="rId53" Type="http://schemas.openxmlformats.org/officeDocument/2006/relationships/hyperlink" Target="http://www.gbrmpa.gov.au/visit-the-reef" TargetMode="External"/><Relationship Id="rId58" Type="http://schemas.openxmlformats.org/officeDocument/2006/relationships/hyperlink" Target="http://www.gbrmpa.gov.au/__data/assets/pdf_file/0008/4949/gbrmpa_EAMRiskManagementFramework.pdf" TargetMode="External"/><Relationship Id="rId74" Type="http://schemas.openxmlformats.org/officeDocument/2006/relationships/hyperlink" Target="http://hdl.handle.net/11017/3109" TargetMode="External"/><Relationship Id="rId79" Type="http://schemas.openxmlformats.org/officeDocument/2006/relationships/hyperlink" Target="http://www.gbrmpa.gov.au/zoning-permits-and-plans/plans-of-management"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hyperlink" Target="https://www.legislation.gov.au/Details/C2016C00778" TargetMode="External"/><Relationship Id="rId22" Type="http://schemas.openxmlformats.org/officeDocument/2006/relationships/hyperlink" Target="http://hdl.handle.net/11017/2862" TargetMode="External"/><Relationship Id="rId27" Type="http://schemas.openxmlformats.org/officeDocument/2006/relationships/hyperlink" Target="http://www.gbrmpa.gov.au/about-us/legislation-regulations-and-policies/regulator-performance-framework" TargetMode="External"/><Relationship Id="rId30" Type="http://schemas.openxmlformats.org/officeDocument/2006/relationships/hyperlink" Target="http://www.gbrmpa.gov.au/about-us/local-marine-advisory-committees" TargetMode="External"/><Relationship Id="rId35" Type="http://schemas.openxmlformats.org/officeDocument/2006/relationships/hyperlink" Target="http://www.gbrmpa.gov.au/about-us/local-marine-advisory-committees/hinchinbrook/hinchinbrook-communique" TargetMode="External"/><Relationship Id="rId43" Type="http://schemas.openxmlformats.org/officeDocument/2006/relationships/hyperlink" Target="http://www.gbrmpa.gov.au/our-partners/reef-advisory-committee/tourism-reef-advisory-committee" TargetMode="External"/><Relationship Id="rId48" Type="http://schemas.openxmlformats.org/officeDocument/2006/relationships/hyperlink" Target="http://www.gbrmpa.gov.au/zoning-permits-and-plans/plans-of-management/whitsunday-plan-of-management" TargetMode="External"/><Relationship Id="rId56" Type="http://schemas.openxmlformats.org/officeDocument/2006/relationships/hyperlink" Target="http://www.gbrmpa.gov.au/zoning-permits-and-plans/permits" TargetMode="External"/><Relationship Id="rId64" Type="http://schemas.openxmlformats.org/officeDocument/2006/relationships/hyperlink" Target="http://www.gbrmpa.gov.au/our-partners/reef-guardians/reef-guardian-fishers" TargetMode="External"/><Relationship Id="rId69" Type="http://schemas.openxmlformats.org/officeDocument/2006/relationships/hyperlink" Target="https://www.anao.gov.au/sites/g/files/net1661/f/ANAO_Report_2015-2016_03.pdf" TargetMode="External"/><Relationship Id="rId77" Type="http://schemas.openxmlformats.org/officeDocument/2006/relationships/hyperlink" Target="http://www.gbrmpa.gov.au/zoning-permits-and-plans/zoning" TargetMode="External"/><Relationship Id="rId8" Type="http://schemas.microsoft.com/office/2007/relationships/stylesWithEffects" Target="stylesWithEffects.xml"/><Relationship Id="rId51" Type="http://schemas.openxmlformats.org/officeDocument/2006/relationships/hyperlink" Target="http://www.gbrmpa.gov.au/about-us/legislation-regulations-and-policies/policies-and-position-statements" TargetMode="External"/><Relationship Id="rId72" Type="http://schemas.openxmlformats.org/officeDocument/2006/relationships/hyperlink" Target="http://www.gbrmpa.gov.au/__data/assets/pdf_file/0008/4949/gbrmpa_EAMRiskManagementFramework.pdf" TargetMode="External"/><Relationship Id="rId80" Type="http://schemas.openxmlformats.org/officeDocument/2006/relationships/hyperlink" Target="http://www.gbrmpa.gov.au/__data/assets/pdf_file/0008/4949/gbrmpa_EAMRiskManagementFramework.pdf"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hyperlink" Target="http://hdl.handle.net/11017/2860" TargetMode="External"/><Relationship Id="rId33" Type="http://schemas.openxmlformats.org/officeDocument/2006/relationships/hyperlink" Target="http://www.gbrmpa.gov.au/about-us/local-marine-advisory-committees/cairns/cairns-communique" TargetMode="External"/><Relationship Id="rId38" Type="http://schemas.openxmlformats.org/officeDocument/2006/relationships/hyperlink" Target="http://www.gbrmpa.gov.au/about-us/local-marine-advisory-committees/whitsunday-lmac/cape-york-communique" TargetMode="External"/><Relationship Id="rId46" Type="http://schemas.openxmlformats.org/officeDocument/2006/relationships/hyperlink" Target="http://elibrary.gbrmpa.gov.au/jspui/browse?type=series&amp;value=Indigenous+Reef+Advisory+Committee+%28IRAC%29&amp;sort_by=2&amp;order=DESC&amp;rpp=35&amp;etal=0&amp;submit_browse=Update" TargetMode="External"/><Relationship Id="rId59" Type="http://schemas.openxmlformats.org/officeDocument/2006/relationships/hyperlink" Target="http://www.gbrmpa.gov.au/__data/assets/pdf_file/0004/3847/gbrmpa_EnvironmentalImpactManagementPolicy_2004.pdf" TargetMode="External"/><Relationship Id="rId67" Type="http://schemas.openxmlformats.org/officeDocument/2006/relationships/hyperlink" Target="http://www.environment.gov.au/marine/gbr/protecting-the-reef/intergovernmental-agreement" TargetMode="External"/><Relationship Id="rId20" Type="http://schemas.openxmlformats.org/officeDocument/2006/relationships/hyperlink" Target="http://hdl.handle.net/11017/2861" TargetMode="External"/><Relationship Id="rId41" Type="http://schemas.openxmlformats.org/officeDocument/2006/relationships/hyperlink" Target="http://www.gbrmpa.gov.au/about-us/local-marine-advisory-committees/gladstone-region/gladstone-communique" TargetMode="External"/><Relationship Id="rId54" Type="http://schemas.openxmlformats.org/officeDocument/2006/relationships/hyperlink" Target="http://www.gbrmpa.gov.au/zoning-permits-and-plans/zoning" TargetMode="External"/><Relationship Id="rId62" Type="http://schemas.openxmlformats.org/officeDocument/2006/relationships/hyperlink" Target="http://www.comlaw.gov.au/Series/F1996B01950" TargetMode="External"/><Relationship Id="rId70" Type="http://schemas.openxmlformats.org/officeDocument/2006/relationships/hyperlink" Target="http://www.gbrmpa.gov.au/about-us/corporate-information/annual-report/annual-report-2015-16" TargetMode="External"/><Relationship Id="rId75" Type="http://schemas.openxmlformats.org/officeDocument/2006/relationships/hyperlink" Target="http://www.gbrmpa.gov.au/about-us/corporate-information/annual-report/annual-report-2015-16" TargetMode="External"/><Relationship Id="rId83" Type="http://schemas.openxmlformats.org/officeDocument/2006/relationships/hyperlink" Target="http://www.gbrmpa.gov.au/__data/assets/pdf_file/0008/4976/RAC_Charter_as_at_29_November_2010.pdf"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au/Details/F2016C00383" TargetMode="External"/><Relationship Id="rId23" Type="http://schemas.openxmlformats.org/officeDocument/2006/relationships/hyperlink" Target="http://hdl.handle.net/11017/2860" TargetMode="External"/><Relationship Id="rId28" Type="http://schemas.openxmlformats.org/officeDocument/2006/relationships/hyperlink" Target="https://www.anao.gov.au/sites/g/files/net1661/f/ANAO_Report_2015-2016_03.pdf" TargetMode="External"/><Relationship Id="rId36" Type="http://schemas.openxmlformats.org/officeDocument/2006/relationships/hyperlink" Target="http://www.gbrmpa.gov.au/about-us/local-marine-advisory-committees/townsville/townsville-communique" TargetMode="External"/><Relationship Id="rId49" Type="http://schemas.openxmlformats.org/officeDocument/2006/relationships/hyperlink" Target="https://www.anao.gov.au/sites/g/files/net1661/f/ANAO_Report_2015-2016_03.pdf" TargetMode="External"/><Relationship Id="rId57" Type="http://schemas.openxmlformats.org/officeDocument/2006/relationships/hyperlink" Target="http://www.gbrmpa.gov.au/our-partners/traditional-owners/traditional-use-of-marine-resources-agreements" TargetMode="External"/><Relationship Id="rId10" Type="http://schemas.openxmlformats.org/officeDocument/2006/relationships/webSettings" Target="webSettings.xml"/><Relationship Id="rId31" Type="http://schemas.openxmlformats.org/officeDocument/2006/relationships/hyperlink" Target="http://www.gbrmpa.gov.au/about-us/local-marine-advisory-committees/cape-york-lmac/cape-york-communique" TargetMode="External"/><Relationship Id="rId44" Type="http://schemas.openxmlformats.org/officeDocument/2006/relationships/hyperlink" Target="http://www.gbrmpa.gov.au/about-us/reef-advisory-committee/tourism-reef-advisory-committee" TargetMode="External"/><Relationship Id="rId52" Type="http://schemas.openxmlformats.org/officeDocument/2006/relationships/hyperlink" Target="http://www.gbrmpa.gov.au/__data/assets/pdf_file/0015/3390/GBRMPA-zoning-plan-2003.pdf" TargetMode="External"/><Relationship Id="rId60" Type="http://schemas.openxmlformats.org/officeDocument/2006/relationships/hyperlink" Target="http://www.gbrmpa.gov.au/zoning-permits-and-plans/permits" TargetMode="External"/><Relationship Id="rId65" Type="http://schemas.openxmlformats.org/officeDocument/2006/relationships/hyperlink" Target="http://www.gbrmpa.gov.au/about-us/corporate-information/annual-report/annual-report-2015-16" TargetMode="External"/><Relationship Id="rId73" Type="http://schemas.openxmlformats.org/officeDocument/2006/relationships/hyperlink" Target="http://www.gbrmpa.gov.au/about-us/corporate-information/annual-report/annual-report-2015-16" TargetMode="External"/><Relationship Id="rId78" Type="http://schemas.openxmlformats.org/officeDocument/2006/relationships/hyperlink" Target="mailto:Permit%20applications" TargetMode="External"/><Relationship Id="rId81" Type="http://schemas.openxmlformats.org/officeDocument/2006/relationships/hyperlink" Target="http://www.gbrmpa.gov.au/__data/assets/pdf_file/0004/3847/gbrmpa_EnvironmentalImpactManagementPolicy_2004.pdf"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legislation.gov.au/Details/C2016C00551" TargetMode="External"/><Relationship Id="rId18" Type="http://schemas.openxmlformats.org/officeDocument/2006/relationships/hyperlink" Target="https://www.iucn.org/content/evaluating-effectiveness-framework-assessing-management-protected-areas-2nd-edition" TargetMode="External"/><Relationship Id="rId39" Type="http://schemas.openxmlformats.org/officeDocument/2006/relationships/hyperlink" Target="http://www.gbrmpa.gov.au/about-us/local-marine-advisory-committees/mackay/mackay-communique" TargetMode="External"/><Relationship Id="rId34" Type="http://schemas.openxmlformats.org/officeDocument/2006/relationships/hyperlink" Target="http://www.gbrmpa.gov.au/about-us/local-marine-advisory-committees/cassowary-coast/cassowary-coast-communique" TargetMode="External"/><Relationship Id="rId50" Type="http://schemas.openxmlformats.org/officeDocument/2006/relationships/hyperlink" Target="http://www.gbrmpa.gov.au/managing-the-reef/how-the-reefs-managed/Managing-multiple-uses/ports/dredging-and-dredge-material-disposal" TargetMode="External"/><Relationship Id="rId55" Type="http://schemas.openxmlformats.org/officeDocument/2006/relationships/hyperlink" Target="http://www.gbrmpa.gov.au/zoning-permits-and-plans/plans-of-management" TargetMode="External"/><Relationship Id="rId76" Type="http://schemas.openxmlformats.org/officeDocument/2006/relationships/hyperlink" Target="http://www.gbrmpa.gov.au/visit-the-reef" TargetMode="External"/><Relationship Id="rId7" Type="http://schemas.openxmlformats.org/officeDocument/2006/relationships/styles" Target="styles.xml"/><Relationship Id="rId71" Type="http://schemas.openxmlformats.org/officeDocument/2006/relationships/hyperlink" Target="http://www.gbrmpa.gov.au/about-us/corporate-information/annual-report/annual-report-2015-16" TargetMode="External"/><Relationship Id="rId2" Type="http://schemas.openxmlformats.org/officeDocument/2006/relationships/customXml" Target="../customXml/item2.xml"/><Relationship Id="rId29" Type="http://schemas.openxmlformats.org/officeDocument/2006/relationships/hyperlink" Target="mailto:consultation@gbrmpa.gov.au" TargetMode="External"/><Relationship Id="rId24" Type="http://schemas.openxmlformats.org/officeDocument/2006/relationships/hyperlink" Target="https://www.anao.gov.au/sites/g/files/net1661/f/ANAO_Report_2015-2016_03.pdf" TargetMode="External"/><Relationship Id="rId40" Type="http://schemas.openxmlformats.org/officeDocument/2006/relationships/hyperlink" Target="http://www.gbrmpa.gov.au/about-us/local-marine-advisory-committees/capricorn-coast/capricorn-coast-communique" TargetMode="External"/><Relationship Id="rId45" Type="http://schemas.openxmlformats.org/officeDocument/2006/relationships/hyperlink" Target="http://www.gbrmpa.gov.au/about-us/reef-advisory-committee/indigenous-reef-advisory-committee" TargetMode="External"/><Relationship Id="rId66" Type="http://schemas.openxmlformats.org/officeDocument/2006/relationships/hyperlink" Target="http://hdl.handle.net/11017/3109" TargetMode="External"/><Relationship Id="rId87" Type="http://schemas.openxmlformats.org/officeDocument/2006/relationships/footer" Target="footer2.xml"/><Relationship Id="rId61" Type="http://schemas.openxmlformats.org/officeDocument/2006/relationships/hyperlink" Target="mailto:assessments@gbrmpa.gov.au" TargetMode="External"/><Relationship Id="rId82" Type="http://schemas.openxmlformats.org/officeDocument/2006/relationships/hyperlink" Target="http://www.gbrmpa.gov.au/zoning-permits-and-plans/environmental-management-charge" TargetMode="External"/><Relationship Id="rId19" Type="http://schemas.openxmlformats.org/officeDocument/2006/relationships/hyperlink" Target="http://hdl.handle.net/11017/2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ccc4631-9afc-4718-b120-5e2e37a03cc7">PROJ-332-59</_dlc_DocId>
    <_dlc_DocIdUrl xmlns="8ccc4631-9afc-4718-b120-5e2e37a03cc7">
      <Url>http://thedock.gbrmpa.gov.au/sites/Projects/P000090/_layouts/DocIdRedir.aspx?ID=PROJ-332-59</Url>
      <Description>PROJ-332-59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1511FAB48B3F004EB99ACA0D55DA6C56" ma:contentTypeVersion="8" ma:contentTypeDescription="" ma:contentTypeScope="" ma:versionID="075b29fb223d32a401fb82e5d073fb96">
  <xsd:schema xmlns:xsd="http://www.w3.org/2001/XMLSchema" xmlns:xs="http://www.w3.org/2001/XMLSchema" xmlns:p="http://schemas.microsoft.com/office/2006/metadata/properties" xmlns:ns2="8ccc4631-9afc-4718-b120-5e2e37a03cc7" targetNamespace="http://schemas.microsoft.com/office/2006/metadata/properties" ma:root="true" ma:fieldsID="0d79b9ce97a217435aa8336158bc29d5" ns2:_="">
    <xsd:import namespace="8ccc4631-9afc-4718-b120-5e2e37a03c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470A-5FBF-4584-8B55-FA43AC61A8E2}">
  <ds:schemaRefs>
    <ds:schemaRef ds:uri="http://schemas.microsoft.com/office/2006/metadata/properties"/>
    <ds:schemaRef ds:uri="http://schemas.microsoft.com/office/infopath/2007/PartnerControls"/>
    <ds:schemaRef ds:uri="8ccc4631-9afc-4718-b120-5e2e37a03cc7"/>
  </ds:schemaRefs>
</ds:datastoreItem>
</file>

<file path=customXml/itemProps2.xml><?xml version="1.0" encoding="utf-8"?>
<ds:datastoreItem xmlns:ds="http://schemas.openxmlformats.org/officeDocument/2006/customXml" ds:itemID="{1B460A6E-E2B6-4B07-9408-B07692EAE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EC903-002F-4625-B5C7-43D263E9A0AD}">
  <ds:schemaRefs>
    <ds:schemaRef ds:uri="http://schemas.microsoft.com/sharepoint/v3/contenttype/forms"/>
  </ds:schemaRefs>
</ds:datastoreItem>
</file>

<file path=customXml/itemProps4.xml><?xml version="1.0" encoding="utf-8"?>
<ds:datastoreItem xmlns:ds="http://schemas.openxmlformats.org/officeDocument/2006/customXml" ds:itemID="{157C0640-FABC-444C-8CA4-6736EB991A7D}">
  <ds:schemaRefs>
    <ds:schemaRef ds:uri="http://schemas.microsoft.com/sharepoint/events"/>
  </ds:schemaRefs>
</ds:datastoreItem>
</file>

<file path=customXml/itemProps5.xml><?xml version="1.0" encoding="utf-8"?>
<ds:datastoreItem xmlns:ds="http://schemas.openxmlformats.org/officeDocument/2006/customXml" ds:itemID="{CED7B1EC-365E-417D-AEC2-19E0540E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12308</Words>
  <Characters>70158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GBRMPA-RPF-self-assess-2015-16</vt:lpstr>
    </vt:vector>
  </TitlesOfParts>
  <Company>GBRMPA</Company>
  <LinksUpToDate>false</LinksUpToDate>
  <CharactersWithSpaces>82302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GBRMPA-RPF-self-assess-2015-16</dc:title>
  <dc:creator>Amanda Brigdale</dc:creator>
  <cp:lastModifiedBy>Joanna Ruxton</cp:lastModifiedBy>
  <cp:revision>2</cp:revision>
  <cp:lastPrinted>2017-01-25T03:24:00Z</cp:lastPrinted>
  <dcterms:created xsi:type="dcterms:W3CDTF">2017-02-14T04:52:00Z</dcterms:created>
  <dcterms:modified xsi:type="dcterms:W3CDTF">2017-02-14T04:52:00Z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0x010100441936E5D27A4AF2935B3316DA024CF2001511FAB48B3F004EB99ACA0D55DA6C56</vt:lpwstr>
  </property>
  <property fmtid="{D5CDD505-2E9C-101B-9397-08002B2CF9AE}" pid="3" name="_dlc_DocIdItemGuid">
    <vt:lpwstr>2f1e2e2b-0140-409b-8a82-56f55513e91b</vt:lpwstr>
  </property>
  <property fmtid="{D5CDD505-2E9C-101B-9397-08002B2CF9AE}" pid="4" name="Order">
    <vt:r8>5900</vt:r8>
  </property>
  <property fmtid="{D5CDD505-2E9C-101B-9397-08002B2CF9AE}" pid="5" name="TaxCatchAll">
    <vt:lpwstr/>
  </property>
  <property fmtid="{D5CDD505-2E9C-101B-9397-08002B2CF9AE}" pid="6" name="ProjectPhase">
    <vt:lpwstr/>
  </property>
  <property fmtid="{D5CDD505-2E9C-101B-9397-08002B2CF9AE}" pid="7" name="a2118650a77a4a97b805ceb1a6b3e3dc">
    <vt:lpwstr/>
  </property>
  <property fmtid="{D5CDD505-2E9C-101B-9397-08002B2CF9AE}" pid="8" name="RecordPoint_ActiveItemUniqueId">
    <vt:lpwstr>{2f1e2e2b-0140-409b-8a82-56f55513e91b}</vt:lpwstr>
  </property>
  <property fmtid="{D5CDD505-2E9C-101B-9397-08002B2CF9AE}" pid="9" name="RecordPoint_SubmissionCompleted">
    <vt:lpwstr>2017-02-13T17:24:44.3320347+10:00</vt:lpwstr>
  </property>
  <property fmtid="{D5CDD505-2E9C-101B-9397-08002B2CF9AE}" pid="10" name="RecordPoint_WorkflowType">
    <vt:lpwstr>ActiveSubmit</vt:lpwstr>
  </property>
  <property fmtid="{D5CDD505-2E9C-101B-9397-08002B2CF9AE}" pid="11" name="RecordPoint_RecordNumberSubmitted">
    <vt:lpwstr>R0000376987</vt:lpwstr>
  </property>
  <property fmtid="{D5CDD505-2E9C-101B-9397-08002B2CF9AE}" pid="12" name="IconOverlay">
    <vt:lpwstr/>
  </property>
  <property fmtid="{D5CDD505-2E9C-101B-9397-08002B2CF9AE}" pid="13" name="RecordPoint_ActiveItemSiteId">
    <vt:lpwstr>{8ce9eba2-d4a5-4da0-9276-1d47a92e9210}</vt:lpwstr>
  </property>
  <property fmtid="{D5CDD505-2E9C-101B-9397-08002B2CF9AE}" pid="14" name="RecordPoint_ActiveItemListId">
    <vt:lpwstr>{779e9a45-86b3-4bae-87e5-11c294ef5488}</vt:lpwstr>
  </property>
  <property fmtid="{D5CDD505-2E9C-101B-9397-08002B2CF9AE}" pid="15" name="RecordPoint_ActiveItemWebId">
    <vt:lpwstr>{63c3fe2f-45cc-4821-b85b-68c67ceae6b6}</vt:lpwstr>
  </property>
</Properties>
</file>